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both"/>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p>
      <w:pPr>
        <w:pStyle w:val="TextBody"/>
        <w:bidi w:val="0"/>
        <w:spacing w:lineRule="auto" w:line="288" w:before="180" w:after="283"/>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tbl>
      <w:tblPr>
        <w:tblW w:w="9930" w:type="dxa"/>
        <w:jc w:val="center"/>
        <w:tblInd w:w="0" w:type="dxa"/>
        <w:tblLayout w:type="fixed"/>
        <w:tblCellMar>
          <w:top w:w="28" w:type="dxa"/>
          <w:left w:w="28" w:type="dxa"/>
          <w:bottom w:w="28" w:type="dxa"/>
          <w:right w:w="28" w:type="dxa"/>
        </w:tblCellMar>
      </w:tblPr>
      <w:tblGrid>
        <w:gridCol w:w="124"/>
        <w:gridCol w:w="109"/>
        <w:gridCol w:w="109"/>
        <w:gridCol w:w="109"/>
        <w:gridCol w:w="2773"/>
        <w:gridCol w:w="2773"/>
        <w:gridCol w:w="3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September 30, 2024</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930" w:type="dxa"/>
        <w:jc w:val="center"/>
        <w:tblInd w:w="0" w:type="dxa"/>
        <w:tblLayout w:type="fixed"/>
        <w:tblCellMar>
          <w:top w:w="28" w:type="dxa"/>
          <w:left w:w="28" w:type="dxa"/>
          <w:bottom w:w="28" w:type="dxa"/>
          <w:right w:w="28" w:type="dxa"/>
        </w:tblCellMar>
      </w:tblPr>
      <w:tblGrid>
        <w:gridCol w:w="124"/>
        <w:gridCol w:w="109"/>
        <w:gridCol w:w="109"/>
        <w:gridCol w:w="109"/>
        <w:gridCol w:w="2773"/>
        <w:gridCol w:w="2773"/>
        <w:gridCol w:w="3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_________ to __________</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001-38372 (VICI Properties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333-264352-01 (VICI Properties L.P.)</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 xml:space="preserve">VICI Properties Inc. </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VICI Properties L.P.</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tbl>
      <w:tblPr>
        <w:tblW w:w="9268" w:type="dxa"/>
        <w:jc w:val="center"/>
        <w:tblInd w:w="0" w:type="dxa"/>
        <w:tblLayout w:type="fixed"/>
        <w:tblCellMar>
          <w:top w:w="28" w:type="dxa"/>
          <w:left w:w="28" w:type="dxa"/>
          <w:bottom w:w="28" w:type="dxa"/>
          <w:right w:w="28" w:type="dxa"/>
        </w:tblCellMar>
      </w:tblPr>
      <w:tblGrid>
        <w:gridCol w:w="1648"/>
        <w:gridCol w:w="1450"/>
        <w:gridCol w:w="1462"/>
        <w:gridCol w:w="654"/>
        <w:gridCol w:w="654"/>
        <w:gridCol w:w="656"/>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Maryland</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(VICI Properties Inc.)</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81-4177147</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(VICI Properties L.P.)</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35-2576503</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535 Madison Avenue, 28th Floor New York, New York 10022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(646) 949-4631 </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881" w:type="dxa"/>
        <w:jc w:val="left"/>
        <w:tblInd w:w="0" w:type="dxa"/>
        <w:tblLayout w:type="fixed"/>
        <w:tblCellMar>
          <w:top w:w="28" w:type="dxa"/>
          <w:left w:w="28" w:type="dxa"/>
          <w:bottom w:w="28" w:type="dxa"/>
          <w:right w:w="28" w:type="dxa"/>
        </w:tblCellMar>
      </w:tblPr>
      <w:tblGrid>
        <w:gridCol w:w="861"/>
        <w:gridCol w:w="757"/>
        <w:gridCol w:w="766"/>
        <w:gridCol w:w="109"/>
        <w:gridCol w:w="109"/>
        <w:gridCol w:w="109"/>
        <w:gridCol w:w="454"/>
        <w:gridCol w:w="454"/>
        <w:gridCol w:w="456"/>
        <w:gridCol w:w="109"/>
        <w:gridCol w:w="109"/>
        <w:gridCol w:w="109"/>
        <w:gridCol w:w="1019"/>
        <w:gridCol w:w="1019"/>
        <w:gridCol w:w="1441"/>
      </w:tblGrid>
      <w:tr>
        <w:trPr/>
        <w:tc>
          <w:tcPr>
            <w:tcW w:w="86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VICI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tbl>
      <w:tblPr>
        <w:tblW w:w="7091" w:type="dxa"/>
        <w:jc w:val="left"/>
        <w:tblInd w:w="0" w:type="dxa"/>
        <w:tblLayout w:type="fixed"/>
        <w:tblCellMar>
          <w:top w:w="28" w:type="dxa"/>
          <w:left w:w="28" w:type="dxa"/>
          <w:bottom w:w="28" w:type="dxa"/>
          <w:right w:w="28" w:type="dxa"/>
        </w:tblCellMar>
      </w:tblPr>
      <w:tblGrid>
        <w:gridCol w:w="1206"/>
        <w:gridCol w:w="1060"/>
        <w:gridCol w:w="1064"/>
        <w:gridCol w:w="109"/>
        <w:gridCol w:w="109"/>
        <w:gridCol w:w="109"/>
        <w:gridCol w:w="1005"/>
        <w:gridCol w:w="1005"/>
        <w:gridCol w:w="142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ans-serif" w:hAnsi="Times New Roman;sans-serif"/>
                <w:b w:val="false"/>
                <w:color w:val="000000"/>
                <w:sz w:val="18"/>
              </w:rPr>
              <w:t>VICI Properties Inc. Yes  </w:t>
            </w:r>
            <w:r>
              <w:rPr>
                <w:color w:val="000000"/>
              </w:rPr>
              <w:t>☒    </w:t>
            </w:r>
            <w:r>
              <w:rPr>
                <w:rFonts w:ascii="Times New Roman;sans-serif" w:hAnsi="Times New Roman;sans-serif"/>
                <w:b w:val="false"/>
                <w:color w:val="000000"/>
                <w:sz w:val="18"/>
              </w:rPr>
              <w:t>No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18"/>
              </w:rPr>
              <w:t>VICI Properties L.P.  Yes  </w:t>
            </w:r>
            <w:r>
              <w:rPr>
                <w:color w:val="000000"/>
              </w:rPr>
              <w:t>☒    </w:t>
            </w:r>
            <w:r>
              <w:rPr>
                <w:rFonts w:ascii="Times New Roman;sans-serif" w:hAnsi="Times New Roman;sans-serif"/>
                <w:b w:val="false"/>
                <w:color w:val="000000"/>
                <w:sz w:val="18"/>
              </w:rPr>
              <w:t>No  </w:t>
            </w:r>
            <w:r>
              <w:rPr>
                <w:color w:val="000000"/>
              </w:rPr>
              <w:t>☐</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p>
    <w:tbl>
      <w:tblPr>
        <w:tblW w:w="7091" w:type="dxa"/>
        <w:jc w:val="left"/>
        <w:tblInd w:w="0" w:type="dxa"/>
        <w:tblLayout w:type="fixed"/>
        <w:tblCellMar>
          <w:top w:w="28" w:type="dxa"/>
          <w:left w:w="28" w:type="dxa"/>
          <w:bottom w:w="28" w:type="dxa"/>
          <w:right w:w="28" w:type="dxa"/>
        </w:tblCellMar>
      </w:tblPr>
      <w:tblGrid>
        <w:gridCol w:w="1206"/>
        <w:gridCol w:w="1060"/>
        <w:gridCol w:w="1064"/>
        <w:gridCol w:w="109"/>
        <w:gridCol w:w="109"/>
        <w:gridCol w:w="109"/>
        <w:gridCol w:w="1005"/>
        <w:gridCol w:w="1005"/>
        <w:gridCol w:w="142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ans-serif" w:hAnsi="Times New Roman;sans-serif"/>
                <w:b w:val="false"/>
                <w:color w:val="000000"/>
                <w:sz w:val="18"/>
              </w:rPr>
              <w:t>VICI Properties Inc. Yes  </w:t>
            </w:r>
            <w:r>
              <w:rPr>
                <w:color w:val="000000"/>
              </w:rPr>
              <w:t>☒    </w:t>
            </w:r>
            <w:r>
              <w:rPr>
                <w:rFonts w:ascii="Times New Roman;sans-serif" w:hAnsi="Times New Roman;sans-serif"/>
                <w:b w:val="false"/>
                <w:color w:val="000000"/>
                <w:sz w:val="18"/>
              </w:rPr>
              <w:t>No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18"/>
              </w:rPr>
              <w:t>VICI Properties L.P.  Yes  </w:t>
            </w:r>
            <w:r>
              <w:rPr>
                <w:color w:val="000000"/>
              </w:rPr>
              <w:t>☒    </w:t>
            </w:r>
            <w:r>
              <w:rPr>
                <w:rFonts w:ascii="Times New Roman;sans-serif" w:hAnsi="Times New Roman;sans-serif"/>
                <w:b w:val="false"/>
                <w:color w:val="000000"/>
                <w:sz w:val="18"/>
              </w:rPr>
              <w:t>No  </w:t>
            </w:r>
            <w:r>
              <w:rPr>
                <w:color w:val="000000"/>
              </w:rPr>
              <w:t>☐</w:t>
            </w:r>
          </w:p>
        </w:tc>
      </w:tr>
    </w:tbl>
    <w:p>
      <w:pPr>
        <w:pStyle w:val="TextBody"/>
        <w:bidi w:val="0"/>
        <w:spacing w:lineRule="auto" w:line="288" w:before="6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9544" w:type="dxa"/>
        <w:jc w:val="left"/>
        <w:tblInd w:w="0" w:type="dxa"/>
        <w:tblLayout w:type="fixed"/>
        <w:tblCellMar>
          <w:top w:w="28" w:type="dxa"/>
          <w:left w:w="28" w:type="dxa"/>
          <w:bottom w:w="28" w:type="dxa"/>
          <w:right w:w="28" w:type="dxa"/>
        </w:tblCellMar>
      </w:tblPr>
      <w:tblGrid>
        <w:gridCol w:w="640"/>
        <w:gridCol w:w="563"/>
        <w:gridCol w:w="567"/>
        <w:gridCol w:w="129"/>
        <w:gridCol w:w="129"/>
        <w:gridCol w:w="129"/>
        <w:gridCol w:w="678"/>
        <w:gridCol w:w="678"/>
        <w:gridCol w:w="683"/>
        <w:gridCol w:w="129"/>
        <w:gridCol w:w="129"/>
        <w:gridCol w:w="129"/>
        <w:gridCol w:w="109"/>
        <w:gridCol w:w="109"/>
        <w:gridCol w:w="109"/>
        <w:gridCol w:w="584"/>
        <w:gridCol w:w="584"/>
        <w:gridCol w:w="586"/>
        <w:gridCol w:w="131"/>
        <w:gridCol w:w="131"/>
        <w:gridCol w:w="131"/>
        <w:gridCol w:w="678"/>
        <w:gridCol w:w="678"/>
        <w:gridCol w:w="683"/>
        <w:gridCol w:w="131"/>
        <w:gridCol w:w="131"/>
        <w:gridCol w:w="186"/>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58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VICI Properties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VICI Properties L.P.</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bl>
      <w:tblPr>
        <w:tblW w:w="4932" w:type="dxa"/>
        <w:jc w:val="left"/>
        <w:tblInd w:w="0" w:type="dxa"/>
        <w:tblLayout w:type="fixed"/>
        <w:tblCellMar>
          <w:top w:w="28" w:type="dxa"/>
          <w:left w:w="28" w:type="dxa"/>
          <w:bottom w:w="28" w:type="dxa"/>
          <w:right w:w="28" w:type="dxa"/>
        </w:tblCellMar>
      </w:tblPr>
      <w:tblGrid>
        <w:gridCol w:w="837"/>
        <w:gridCol w:w="735"/>
        <w:gridCol w:w="738"/>
        <w:gridCol w:w="109"/>
        <w:gridCol w:w="109"/>
        <w:gridCol w:w="109"/>
        <w:gridCol w:w="671"/>
        <w:gridCol w:w="671"/>
        <w:gridCol w:w="953"/>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ans-serif" w:hAnsi="Times New Roman;sans-serif"/>
                <w:b w:val="false"/>
                <w:color w:val="000000"/>
                <w:sz w:val="18"/>
              </w:rPr>
              <w:t>VICI Properties Inc.  ☐</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VICI Properties L.P.  ☐ </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w:t>
      </w:r>
    </w:p>
    <w:tbl>
      <w:tblPr>
        <w:tblW w:w="6882" w:type="dxa"/>
        <w:jc w:val="left"/>
        <w:tblInd w:w="0" w:type="dxa"/>
        <w:tblLayout w:type="fixed"/>
        <w:tblCellMar>
          <w:top w:w="28" w:type="dxa"/>
          <w:left w:w="28" w:type="dxa"/>
          <w:bottom w:w="28" w:type="dxa"/>
          <w:right w:w="28" w:type="dxa"/>
        </w:tblCellMar>
      </w:tblPr>
      <w:tblGrid>
        <w:gridCol w:w="1184"/>
        <w:gridCol w:w="1042"/>
        <w:gridCol w:w="1044"/>
        <w:gridCol w:w="109"/>
        <w:gridCol w:w="109"/>
        <w:gridCol w:w="109"/>
        <w:gridCol w:w="961"/>
        <w:gridCol w:w="961"/>
        <w:gridCol w:w="1363"/>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ans-serif" w:hAnsi="Times New Roman;sans-serif"/>
                <w:b w:val="false"/>
                <w:color w:val="000000"/>
                <w:sz w:val="18"/>
              </w:rPr>
              <w:t>VICI Properties Inc. Yes   </w:t>
            </w:r>
            <w:r>
              <w:rPr>
                <w:color w:val="000000"/>
              </w:rPr>
              <w:t>☐   </w:t>
            </w:r>
            <w:r>
              <w:rPr>
                <w:rFonts w:ascii="Times New Roman;sans-serif" w:hAnsi="Times New Roman;sans-serif"/>
                <w:b w:val="false"/>
                <w:color w:val="000000"/>
                <w:sz w:val="18"/>
              </w:rPr>
              <w:t>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VICI Properties L.P.  Yes  ☐   No  ☒ </w:t>
            </w:r>
          </w:p>
        </w:tc>
      </w:tr>
    </w:tbl>
    <w:p>
      <w:pPr>
        <w:pStyle w:val="TextBody"/>
        <w:bidi w:val="0"/>
        <w:spacing w:lineRule="auto" w:line="288" w:before="120" w:after="283"/>
        <w:ind w:left="0" w:right="0" w:firstLine="360"/>
        <w:jc w:val="both"/>
        <w:rPr/>
      </w:pPr>
      <w:r>
        <w:rPr>
          <w:rFonts w:ascii="Times New Roman;sans-serif" w:hAnsi="Times New Roman;sans-serif"/>
          <w:b w:val="false"/>
          <w:color w:val="000000"/>
          <w:sz w:val="18"/>
        </w:rPr>
        <w:t xml:space="preserve">As of </w:t>
      </w:r>
      <w:r>
        <w:rPr>
          <w:rFonts w:ascii="Times New Roman;sans-serif" w:hAnsi="Times New Roman;sans-serif"/>
          <w:b w:val="false"/>
          <w:color w:val="000000"/>
          <w:sz w:val="20"/>
        </w:rPr>
        <w:t>October 30, 2024</w:t>
      </w:r>
      <w:r>
        <w:rPr>
          <w:rFonts w:ascii="Times New Roman;sans-serif" w:hAnsi="Times New Roman;sans-serif"/>
          <w:b w:val="false"/>
          <w:color w:val="000000"/>
          <w:sz w:val="18"/>
        </w:rPr>
        <w:t>, VICI Properties Inc. had 1,054,174,145 shares of common stock, $0.01 par value per share, outstanding. VICI Properties L.P. has no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89560"/>
                <wp:effectExtent l="0" t="0" r="0" b="0"/>
                <wp:wrapNone/>
                <wp:docPr id="1"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combines the quarterly reports on Form 10-Q for the three and nine months ended September 30, 2024 of VICI Properties Inc. and VICI Properties L.P. Unless stated otherwise or the context otherwise requires, references to “VICI” mean VICI Properties Inc. and its consolidated subsidiaries, including VICI Properties OP LLC (“VICI OP”), and references to “VICI LP” mean VICI Properties L.P. and its consolidated subsidiaries. Unless stated otherwise or the context otherwise requires, the terms “the Company,” “we,” “our” and “us” mean VICI and VICI LP, including, collectively, their consolidated subsidiaries.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highlight the differences between VICI and VICI LP, the separate sections in this report for VICI and VICI LP described below specifically refer to VICI and VICI LP. In the sections that combine disclosure of VICI and VICI LP, this report refers to actions or holdings of VICI and VICI LP as being “our” actions or holdings. Although VICI LP is the entity that generally, directly or indirectly, enters into contracts and joint ventures, holds assets and incurs debt, we believe that references to “we,” “us” or “our” in this context is appropriate because the business is one enterprise and we operate substantially all of our business and own, either directly or through subsidiaries, substantially all of our assets through VICI LP.</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VICI is a real estate investment trust (“REIT”) that is the sole owner of VICI Properties GP LLC, the sole general partner of VICI LP. As of September 30, 2024, VICI owns 100% of the limited liability company interests of VICI Properties HoldCo LLC (“HoldCo”), which in turn owns approximately 98.8% of the limited liability company interest of VICI OP (such interests, “VICI OP Units”), our operating partnership, which in turns owns 100% of the limited partnership interest in VICI LP. The balance of the VICI OP Units not held by HoldCo are held by third-party unit holders.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diagram details VICI’s organizational structure as of September 30, 2024.</w:t>
      </w:r>
    </w:p>
    <w:p>
      <w:pPr>
        <w:pStyle w:val="TextBody"/>
        <w:bidi w:val="0"/>
        <w:spacing w:before="180" w:after="283"/>
        <w:jc w:val="center"/>
        <w:rPr/>
      </w:pPr>
      <w:r>
        <w:rPr/>
        <w:drawing>
          <wp:inline distT="0" distB="0" distL="0" distR="0">
            <wp:extent cx="4762500" cy="29337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4762500" cy="2933700"/>
                    </a:xfrm>
                    <a:prstGeom prst="rect">
                      <a:avLst/>
                    </a:prstGeom>
                  </pic:spPr>
                </pic:pic>
              </a:graphicData>
            </a:graphic>
          </wp:inline>
        </w:drawing>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combining the quarterly reports on Form 10-Q of VICI and VICI LP into this single report:</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enhances investors’ understanding of VICI and VICI LP by enabling investors to view the business as a whole in the same manner as management views and operates the business;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eliminates duplicative disclosure and provides a more streamlined and readable presentation;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creates time and cost efficiencies through the preparation of one combined report instead of two separate reports.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VICI and VICI LP as one business. Because VICI LP is managed by VICI, and VICI conducts substantially all of its operations and owns, either directly or through subsidiaries, substantially all of its assets indirectly through VICI LP, VICI’s executive officers are VICI LP’s executive officers, although, as a partnership, VICI LP does not have a board of directors.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it is important to understand the few differences between VICI and VICI LP in the context of how VICI and VICI LP operate as a consolidated company. VICI is a REIT whose only material assets are its indirect interest in VICI LP, through which it conducts its real property business. VICI also conducts its golf course business through a taxable REIT subsidiary (a “TRS”), VICI Golf LLC, a Delaware limited liability company (“VICI Golf”). As a result, VICI does not conduct business itself other than issuing public equity from time to time and does not directly incur any material indebtedness, rather VICI LP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84785"/>
                <wp:effectExtent l="0" t="0" r="0" b="0"/>
                <wp:wrapNone/>
                <wp:docPr id="3" name="Frame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holds substantially all of our assets, except for those held in VICI Golf. Except for net proceeds from public equity issuances by VICI, VICI LP generates all capital required by the Company’s business, which sources include VICI LP’s operations and its direct or indirect incurrence of indebtedness.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consolidates VICI LP for financial reporting purposes, and VICI does not have material assets other than its indirect investment in VICI LP. Therefore, while there are some areas of difference between the unaudited consolidated financial statements of VICI and those of VICI LP, the assets and liabilities of VICI and VICI LP are materially the same on their respective financial statements. As of September 30, 2024, the primary areas of difference between the unaudited consolidated financial statements of VICI and those of VICI LP were cash and cash equivalents, stockholders’ equity and partners’ capital, non-controlling interests and golf operations, which include the assets and liabilities and income and expenses of VICI Golf.</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help investors understand the differences between VICI and VICI LP, this report provides: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separate consolidated financial statements for VICI and VICI LP;</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single set of notes to such consolidated financial statements that includes separate discussions of stockholders’ equity or partners’ equity and per share and per unit data, as applicable;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a combined Management’s Discussion and Analysis of Financial Condition and Results of Operations section that also includes discrete information related to each entity, as applicable;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separate Part I, Item 4. Controls and Procedures sections;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separate Part II, Item 2. Issuer Purchases of Equity Securities sections related to each entity;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separate Exhibits 31 and 32 certifications for each of VICI and VICI LP in order to establish that the requisite certifications have been made and that VICI and VICI LP are each compliant with Rule 13a-14(a) or Rule 15d-14(a) of the Securities Exchange Act of 1934 and 18 U.S.C. §1350.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separate discussions of VICI and VICI LP in this report should be read in conjunction with each other to understand our results on a consolidated basis and how management operates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84785"/>
                <wp:effectExtent l="0" t="0" r="0" b="0"/>
                <wp:wrapNone/>
                <wp:docPr id="4" name="Frame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49"/>
        <w:gridCol w:w="286"/>
        <w:gridCol w:w="286"/>
        <w:gridCol w:w="612"/>
        <w:gridCol w:w="612"/>
        <w:gridCol w:w="527"/>
        <w:gridCol w:w="2364"/>
        <w:gridCol w:w="2040"/>
        <w:gridCol w:w="1957"/>
        <w:gridCol w:w="348"/>
        <w:gridCol w:w="286"/>
        <w:gridCol w:w="438"/>
      </w:tblGrid>
      <w:tr>
        <w:trPr/>
        <w:tc>
          <w:tcPr>
            <w:tcW w:w="44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VICI PROPERTIES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VICI PROPERTIES L.P.</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FORM 10-Q</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FOR THE QUARTER ENDED SEPTEMBER 30, 2024</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TABLE OF CONTENTS</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13">
              <w:r>
                <w:rPr>
                  <w:rStyle w:val="InternetLink"/>
                  <w:rFonts w:ascii="Times New Roman;sans-serif" w:hAnsi="Times New Roman;sans-serif"/>
                  <w:b/>
                  <w:color w:val="0000FF"/>
                  <w:sz w:val="20"/>
                  <w:u w:val="single"/>
                </w:rPr>
                <w:t>PART I.</w:t>
              </w:r>
            </w:hyperlink>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13">
              <w:r>
                <w:rPr>
                  <w:rStyle w:val="InternetLink"/>
                  <w:rFonts w:ascii="Times New Roman;sans-serif" w:hAnsi="Times New Roman;sans-serif"/>
                  <w:b/>
                  <w:color w:val="0000FF"/>
                  <w:sz w:val="20"/>
                  <w:u w:val="single"/>
                </w:rPr>
                <w:t>FINANCIAL INFORMATION</w:t>
              </w:r>
            </w:hyperlink>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13">
              <w:r>
                <w:rPr>
                  <w:rStyle w:val="InternetLink"/>
                  <w:rFonts w:ascii="Times New Roman;sans-serif" w:hAnsi="Times New Roman;sans-serif"/>
                  <w:b w:val="false"/>
                  <w:color w:val="0000FF"/>
                  <w:sz w:val="20"/>
                  <w:u w:val="single"/>
                </w:rPr>
                <w:t>Item 1.</w:t>
              </w:r>
            </w:hyperlink>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13">
              <w:r>
                <w:rPr>
                  <w:rStyle w:val="InternetLink"/>
                  <w:rFonts w:ascii="Times New Roman;sans-serif" w:hAnsi="Times New Roman;sans-serif"/>
                  <w:b w:val="false"/>
                  <w:color w:val="0000FF"/>
                  <w:sz w:val="20"/>
                  <w:u w:val="single"/>
                </w:rPr>
                <w:t>Financial Statements of VICI Properties Inc. (Unaudited)</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dd323ab1d248519cd6bbc987f2a646_13">
              <w:r>
                <w:rPr>
                  <w:rStyle w:val="InternetLink"/>
                  <w:rFonts w:ascii="Times New Roman;sans-serif" w:hAnsi="Times New Roman;sans-serif"/>
                  <w:b w:val="false"/>
                  <w:color w:val="0000FF"/>
                  <w:sz w:val="20"/>
                  <w:u w:val="single"/>
                </w:rPr>
                <w:t>5</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19">
              <w:r>
                <w:rPr>
                  <w:rStyle w:val="InternetLink"/>
                  <w:rFonts w:ascii="Times New Roman;sans-serif" w:hAnsi="Times New Roman;sans-serif"/>
                  <w:b w:val="false"/>
                  <w:color w:val="0000FF"/>
                  <w:sz w:val="20"/>
                  <w:u w:val="single"/>
                </w:rPr>
                <w:t>Consolidated Balance Sheets as of September 30, 2024 and December 31, 2023</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dd323ab1d248519cd6bbc987f2a646_19">
              <w:r>
                <w:rPr>
                  <w:rStyle w:val="InternetLink"/>
                  <w:rFonts w:ascii="Times New Roman;sans-serif" w:hAnsi="Times New Roman;sans-serif"/>
                  <w:b w:val="false"/>
                  <w:color w:val="0000FF"/>
                  <w:sz w:val="20"/>
                  <w:u w:val="single"/>
                </w:rPr>
                <w:t>5</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22">
              <w:r>
                <w:rPr>
                  <w:rStyle w:val="InternetLink"/>
                  <w:rFonts w:ascii="Times New Roman;sans-serif" w:hAnsi="Times New Roman;sans-serif"/>
                  <w:b w:val="false"/>
                  <w:color w:val="0000FF"/>
                  <w:sz w:val="20"/>
                  <w:u w:val="single"/>
                </w:rPr>
                <w:t>Consolidated Statements of Operations and Comprehensive Income for the Three and Nine Months Ended September 30, 2024 and 2023</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dd323ab1d248519cd6bbc987f2a646_22">
              <w:r>
                <w:rPr>
                  <w:rStyle w:val="InternetLink"/>
                  <w:rFonts w:ascii="Times New Roman;sans-serif" w:hAnsi="Times New Roman;sans-serif"/>
                  <w:b w:val="false"/>
                  <w:color w:val="0000FF"/>
                  <w:sz w:val="20"/>
                  <w:u w:val="single"/>
                </w:rPr>
                <w:t>6</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25">
              <w:r>
                <w:rPr>
                  <w:rStyle w:val="InternetLink"/>
                  <w:rFonts w:ascii="Times New Roman;sans-serif" w:hAnsi="Times New Roman;sans-serif"/>
                  <w:b w:val="false"/>
                  <w:color w:val="0000FF"/>
                  <w:sz w:val="20"/>
                  <w:u w:val="single"/>
                </w:rPr>
                <w:t>Consolidated Statements of Stockholders’ Equity for the Three and Nine Months Ended September 30, 2024 and 2023</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dd323ab1d248519cd6bbc987f2a646_25">
              <w:r>
                <w:rPr>
                  <w:rStyle w:val="InternetLink"/>
                  <w:rFonts w:ascii="Times New Roman;sans-serif" w:hAnsi="Times New Roman;sans-serif"/>
                  <w:b w:val="false"/>
                  <w:color w:val="0000FF"/>
                  <w:sz w:val="20"/>
                  <w:u w:val="single"/>
                </w:rPr>
                <w:t>7</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28">
              <w:r>
                <w:rPr>
                  <w:rStyle w:val="InternetLink"/>
                  <w:rFonts w:ascii="Times New Roman;sans-serif" w:hAnsi="Times New Roman;sans-serif"/>
                  <w:b w:val="false"/>
                  <w:color w:val="0000FF"/>
                  <w:sz w:val="20"/>
                  <w:u w:val="single"/>
                </w:rPr>
                <w:t>Consolidated Statements of Cash Flows for the Nine Months Ended September 30, 2024 and 2023</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dd323ab1d248519cd6bbc987f2a646_28">
              <w:r>
                <w:rPr>
                  <w:rStyle w:val="InternetLink"/>
                  <w:rFonts w:ascii="Times New Roman;sans-serif" w:hAnsi="Times New Roman;sans-serif"/>
                  <w:b w:val="false"/>
                  <w:color w:val="0000FF"/>
                  <w:sz w:val="20"/>
                  <w:u w:val="single"/>
                </w:rPr>
                <w:t>9</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31">
              <w:r>
                <w:rPr>
                  <w:rStyle w:val="InternetLink"/>
                  <w:rFonts w:ascii="Times New Roman;sans-serif" w:hAnsi="Times New Roman;sans-serif"/>
                  <w:b w:val="false"/>
                  <w:color w:val="0000FF"/>
                  <w:sz w:val="20"/>
                  <w:u w:val="single"/>
                </w:rPr>
                <w:t>Financial Statements of VICI Properties L.P. (Unaudited)</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dd323ab1d248519cd6bbc987f2a646_31">
              <w:r>
                <w:rPr>
                  <w:rStyle w:val="InternetLink"/>
                  <w:rFonts w:ascii="Times New Roman;sans-serif" w:hAnsi="Times New Roman;sans-serif"/>
                  <w:b w:val="false"/>
                  <w:color w:val="0000FF"/>
                  <w:sz w:val="20"/>
                  <w:u w:val="single"/>
                </w:rPr>
                <w:t>11</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34">
              <w:r>
                <w:rPr>
                  <w:rStyle w:val="InternetLink"/>
                  <w:rFonts w:ascii="Times New Roman;sans-serif" w:hAnsi="Times New Roman;sans-serif"/>
                  <w:b w:val="false"/>
                  <w:color w:val="0000FF"/>
                  <w:sz w:val="20"/>
                  <w:u w:val="single"/>
                </w:rPr>
                <w:t>Consolidated Balance Sheets as of September 30, 2024 and December 31, 2023</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dd323ab1d248519cd6bbc987f2a646_34">
              <w:r>
                <w:rPr>
                  <w:rStyle w:val="InternetLink"/>
                  <w:rFonts w:ascii="Times New Roman;sans-serif" w:hAnsi="Times New Roman;sans-serif"/>
                  <w:b w:val="false"/>
                  <w:color w:val="0000FF"/>
                  <w:sz w:val="20"/>
                  <w:u w:val="single"/>
                </w:rPr>
                <w:t>11</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37">
              <w:r>
                <w:rPr>
                  <w:rStyle w:val="InternetLink"/>
                  <w:rFonts w:ascii="Times New Roman;sans-serif" w:hAnsi="Times New Roman;sans-serif"/>
                  <w:b w:val="false"/>
                  <w:color w:val="0000FF"/>
                  <w:sz w:val="20"/>
                  <w:u w:val="single"/>
                </w:rPr>
                <w:t>Consolidated Statements of Operations and Comprehensive Income for the Three and Nine Months Ended September 30, 2024 and 2023</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dd323ab1d248519cd6bbc987f2a646_37">
              <w:r>
                <w:rPr>
                  <w:rStyle w:val="InternetLink"/>
                  <w:rFonts w:ascii="Times New Roman;sans-serif" w:hAnsi="Times New Roman;sans-serif"/>
                  <w:b w:val="false"/>
                  <w:color w:val="0000FF"/>
                  <w:sz w:val="20"/>
                  <w:u w:val="single"/>
                </w:rPr>
                <w:t>12</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40">
              <w:r>
                <w:rPr>
                  <w:rStyle w:val="InternetLink"/>
                  <w:rFonts w:ascii="Times New Roman;sans-serif" w:hAnsi="Times New Roman;sans-serif"/>
                  <w:b w:val="false"/>
                  <w:color w:val="0000FF"/>
                  <w:sz w:val="20"/>
                  <w:u w:val="single"/>
                </w:rPr>
                <w:t>Consolidated Statements of Partners’ Capital for the Three and Nine Months Ended September 30, 2024 and 2023</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dd323ab1d248519cd6bbc987f2a646_40">
              <w:r>
                <w:rPr>
                  <w:rStyle w:val="InternetLink"/>
                  <w:rFonts w:ascii="Times New Roman;sans-serif" w:hAnsi="Times New Roman;sans-serif"/>
                  <w:b w:val="false"/>
                  <w:color w:val="0000FF"/>
                  <w:sz w:val="20"/>
                  <w:u w:val="single"/>
                </w:rPr>
                <w:t>13</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43">
              <w:r>
                <w:rPr>
                  <w:rStyle w:val="InternetLink"/>
                  <w:rFonts w:ascii="Times New Roman;sans-serif" w:hAnsi="Times New Roman;sans-serif"/>
                  <w:b w:val="false"/>
                  <w:color w:val="0000FF"/>
                  <w:sz w:val="20"/>
                  <w:u w:val="single"/>
                </w:rPr>
                <w:t>Consolidated Statements of Cash Flows for the Nine Months Ended September 30, 2024 and 2023</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dd323ab1d248519cd6bbc987f2a646_43">
              <w:r>
                <w:rPr>
                  <w:rStyle w:val="InternetLink"/>
                  <w:rFonts w:ascii="Times New Roman;sans-serif" w:hAnsi="Times New Roman;sans-serif"/>
                  <w:b w:val="false"/>
                  <w:color w:val="0000FF"/>
                  <w:sz w:val="20"/>
                  <w:u w:val="single"/>
                </w:rPr>
                <w:t>15</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46">
              <w:r>
                <w:rPr>
                  <w:rStyle w:val="InternetLink"/>
                  <w:rFonts w:ascii="Times New Roman;sans-serif" w:hAnsi="Times New Roman;sans-serif"/>
                  <w:b w:val="false"/>
                  <w:color w:val="0000FF"/>
                  <w:sz w:val="20"/>
                  <w:u w:val="single"/>
                </w:rPr>
                <w:t>Notes to Consolidated Financial Statements</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dd323ab1d248519cd6bbc987f2a646_46">
              <w:r>
                <w:rPr>
                  <w:rStyle w:val="InternetLink"/>
                  <w:rFonts w:ascii="Times New Roman;sans-serif" w:hAnsi="Times New Roman;sans-serif"/>
                  <w:b w:val="false"/>
                  <w:color w:val="0000FF"/>
                  <w:sz w:val="20"/>
                  <w:u w:val="single"/>
                </w:rPr>
                <w:t>17</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91">
              <w:r>
                <w:rPr>
                  <w:rStyle w:val="InternetLink"/>
                  <w:rFonts w:ascii="Times New Roman;sans-serif" w:hAnsi="Times New Roman;sans-serif"/>
                  <w:b w:val="false"/>
                  <w:color w:val="0000FF"/>
                  <w:sz w:val="20"/>
                  <w:u w:val="single"/>
                </w:rPr>
                <w:t>Item 2.</w:t>
              </w:r>
            </w:hyperlink>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9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dd323ab1d248519cd6bbc987f2a646_91">
              <w:r>
                <w:rPr>
                  <w:rStyle w:val="InternetLink"/>
                  <w:rFonts w:ascii="Times New Roman;sans-serif" w:hAnsi="Times New Roman;sans-serif"/>
                  <w:b w:val="false"/>
                  <w:color w:val="0000FF"/>
                  <w:sz w:val="20"/>
                  <w:u w:val="single"/>
                </w:rPr>
                <w:t>45</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94">
              <w:r>
                <w:rPr>
                  <w:rStyle w:val="InternetLink"/>
                  <w:rFonts w:ascii="Times New Roman;sans-serif" w:hAnsi="Times New Roman;sans-serif"/>
                  <w:b w:val="false"/>
                  <w:color w:val="0000FF"/>
                  <w:sz w:val="20"/>
                  <w:u w:val="single"/>
                </w:rPr>
                <w:t>Item 3.</w:t>
              </w:r>
            </w:hyperlink>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94">
              <w:r>
                <w:rPr>
                  <w:rStyle w:val="InternetLink"/>
                  <w:rFonts w:ascii="Times New Roman;sans-serif" w:hAnsi="Times New Roman;sans-serif"/>
                  <w:b w:val="false"/>
                  <w:color w:val="0000FF"/>
                  <w:sz w:val="20"/>
                  <w:u w:val="single"/>
                </w:rPr>
                <w:t>Quantitative and Qualitative Disclosures About Market Risk</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dd323ab1d248519cd6bbc987f2a646_94">
              <w:r>
                <w:rPr>
                  <w:rStyle w:val="InternetLink"/>
                  <w:rFonts w:ascii="Times New Roman;sans-serif" w:hAnsi="Times New Roman;sans-serif"/>
                  <w:b w:val="false"/>
                  <w:color w:val="0000FF"/>
                  <w:sz w:val="20"/>
                  <w:u w:val="single"/>
                </w:rPr>
                <w:t>59</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97">
              <w:r>
                <w:rPr>
                  <w:rStyle w:val="InternetLink"/>
                  <w:rFonts w:ascii="Times New Roman;sans-serif" w:hAnsi="Times New Roman;sans-serif"/>
                  <w:b w:val="false"/>
                  <w:color w:val="0000FF"/>
                  <w:sz w:val="20"/>
                  <w:u w:val="single"/>
                </w:rPr>
                <w:t>Item 4.</w:t>
              </w:r>
            </w:hyperlink>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97">
              <w:r>
                <w:rPr>
                  <w:rStyle w:val="InternetLink"/>
                  <w:rFonts w:ascii="Times New Roman;sans-serif" w:hAnsi="Times New Roman;sans-serif"/>
                  <w:b w:val="false"/>
                  <w:color w:val="0000FF"/>
                  <w:sz w:val="20"/>
                  <w:u w:val="single"/>
                </w:rPr>
                <w:t>Controls and Procedures</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dd323ab1d248519cd6bbc987f2a646_97">
              <w:r>
                <w:rPr>
                  <w:rStyle w:val="InternetLink"/>
                  <w:rFonts w:ascii="Times New Roman;sans-serif" w:hAnsi="Times New Roman;sans-serif"/>
                  <w:b w:val="false"/>
                  <w:color w:val="0000FF"/>
                  <w:sz w:val="20"/>
                  <w:u w:val="single"/>
                </w:rPr>
                <w:t>60</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100">
              <w:r>
                <w:rPr>
                  <w:rStyle w:val="InternetLink"/>
                  <w:rFonts w:ascii="Times New Roman;sans-serif" w:hAnsi="Times New Roman;sans-serif"/>
                  <w:b/>
                  <w:color w:val="0000FF"/>
                  <w:sz w:val="20"/>
                  <w:u w:val="single"/>
                </w:rPr>
                <w:t>PART II.</w:t>
              </w:r>
            </w:hyperlink>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100">
              <w:r>
                <w:rPr>
                  <w:rStyle w:val="InternetLink"/>
                  <w:rFonts w:ascii="Times New Roman;sans-serif" w:hAnsi="Times New Roman;sans-serif"/>
                  <w:b/>
                  <w:color w:val="0000FF"/>
                  <w:sz w:val="20"/>
                  <w:u w:val="single"/>
                </w:rPr>
                <w:t>OTHER INFORMATION</w:t>
              </w:r>
            </w:hyperlink>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103">
              <w:r>
                <w:rPr>
                  <w:rStyle w:val="InternetLink"/>
                  <w:rFonts w:ascii="Times New Roman;sans-serif" w:hAnsi="Times New Roman;sans-serif"/>
                  <w:b w:val="false"/>
                  <w:color w:val="0000FF"/>
                  <w:sz w:val="20"/>
                  <w:u w:val="single"/>
                </w:rPr>
                <w:t>Item 1.</w:t>
              </w:r>
            </w:hyperlink>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103">
              <w:r>
                <w:rPr>
                  <w:rStyle w:val="InternetLink"/>
                  <w:rFonts w:ascii="Times New Roman;sans-serif" w:hAnsi="Times New Roman;sans-serif"/>
                  <w:b w:val="false"/>
                  <w:color w:val="0000FF"/>
                  <w:sz w:val="20"/>
                  <w:u w:val="single"/>
                </w:rPr>
                <w:t>Legal Proceedings</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dd323ab1d248519cd6bbc987f2a646_103">
              <w:r>
                <w:rPr>
                  <w:rStyle w:val="InternetLink"/>
                  <w:rFonts w:ascii="Times New Roman;sans-serif" w:hAnsi="Times New Roman;sans-serif"/>
                  <w:b w:val="false"/>
                  <w:color w:val="0000FF"/>
                  <w:sz w:val="20"/>
                  <w:u w:val="single"/>
                </w:rPr>
                <w:t>61</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106">
              <w:r>
                <w:rPr>
                  <w:rStyle w:val="InternetLink"/>
                  <w:rFonts w:ascii="Times New Roman;sans-serif" w:hAnsi="Times New Roman;sans-serif"/>
                  <w:b w:val="false"/>
                  <w:color w:val="0000FF"/>
                  <w:sz w:val="20"/>
                  <w:u w:val="single"/>
                </w:rPr>
                <w:t>Item 1A.</w:t>
              </w:r>
            </w:hyperlink>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106">
              <w:r>
                <w:rPr>
                  <w:rStyle w:val="InternetLink"/>
                  <w:rFonts w:ascii="Times New Roman;sans-serif" w:hAnsi="Times New Roman;sans-serif"/>
                  <w:b w:val="false"/>
                  <w:color w:val="0000FF"/>
                  <w:sz w:val="20"/>
                  <w:u w:val="single"/>
                </w:rPr>
                <w:t>Risk Factors</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dd323ab1d248519cd6bbc987f2a646_106">
              <w:r>
                <w:rPr>
                  <w:rStyle w:val="InternetLink"/>
                  <w:rFonts w:ascii="Times New Roman;sans-serif" w:hAnsi="Times New Roman;sans-serif"/>
                  <w:b w:val="false"/>
                  <w:color w:val="0000FF"/>
                  <w:sz w:val="20"/>
                  <w:u w:val="single"/>
                </w:rPr>
                <w:t>61</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109">
              <w:r>
                <w:rPr>
                  <w:rStyle w:val="InternetLink"/>
                  <w:rFonts w:ascii="Times New Roman;sans-serif" w:hAnsi="Times New Roman;sans-serif"/>
                  <w:b w:val="false"/>
                  <w:color w:val="0000FF"/>
                  <w:sz w:val="20"/>
                  <w:u w:val="single"/>
                </w:rPr>
                <w:t>Item 2.</w:t>
              </w:r>
            </w:hyperlink>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109">
              <w:r>
                <w:rPr>
                  <w:rStyle w:val="InternetLink"/>
                  <w:rFonts w:ascii="Times New Roman;sans-serif" w:hAnsi="Times New Roman;sans-serif"/>
                  <w:b w:val="false"/>
                  <w:color w:val="0000FF"/>
                  <w:sz w:val="20"/>
                  <w:u w:val="single"/>
                </w:rPr>
                <w:t>Unregistered Sales of Equity Securities and Use of Proceeds</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dd323ab1d248519cd6bbc987f2a646_109">
              <w:r>
                <w:rPr>
                  <w:rStyle w:val="InternetLink"/>
                  <w:rFonts w:ascii="Times New Roman;sans-serif" w:hAnsi="Times New Roman;sans-serif"/>
                  <w:b w:val="false"/>
                  <w:color w:val="0000FF"/>
                  <w:sz w:val="20"/>
                  <w:u w:val="single"/>
                </w:rPr>
                <w:t>61</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112">
              <w:r>
                <w:rPr>
                  <w:rStyle w:val="InternetLink"/>
                  <w:rFonts w:ascii="Times New Roman;sans-serif" w:hAnsi="Times New Roman;sans-serif"/>
                  <w:b w:val="false"/>
                  <w:color w:val="0000FF"/>
                  <w:sz w:val="20"/>
                  <w:u w:val="single"/>
                </w:rPr>
                <w:t>Item 3.</w:t>
              </w:r>
            </w:hyperlink>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112">
              <w:r>
                <w:rPr>
                  <w:rStyle w:val="InternetLink"/>
                  <w:rFonts w:ascii="Times New Roman;sans-serif" w:hAnsi="Times New Roman;sans-serif"/>
                  <w:b w:val="false"/>
                  <w:color w:val="0000FF"/>
                  <w:sz w:val="20"/>
                  <w:u w:val="single"/>
                </w:rPr>
                <w:t>Defaults Upon Senior Securities</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dd323ab1d248519cd6bbc987f2a646_112">
              <w:r>
                <w:rPr>
                  <w:rStyle w:val="InternetLink"/>
                  <w:rFonts w:ascii="Times New Roman;sans-serif" w:hAnsi="Times New Roman;sans-serif"/>
                  <w:b w:val="false"/>
                  <w:color w:val="0000FF"/>
                  <w:sz w:val="20"/>
                  <w:u w:val="single"/>
                </w:rPr>
                <w:t>61</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115">
              <w:r>
                <w:rPr>
                  <w:rStyle w:val="InternetLink"/>
                  <w:rFonts w:ascii="Times New Roman;sans-serif" w:hAnsi="Times New Roman;sans-serif"/>
                  <w:b w:val="false"/>
                  <w:color w:val="0000FF"/>
                  <w:sz w:val="20"/>
                  <w:u w:val="single"/>
                </w:rPr>
                <w:t>Item 4.</w:t>
              </w:r>
            </w:hyperlink>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115">
              <w:r>
                <w:rPr>
                  <w:rStyle w:val="InternetLink"/>
                  <w:rFonts w:ascii="Times New Roman;sans-serif" w:hAnsi="Times New Roman;sans-serif"/>
                  <w:b w:val="false"/>
                  <w:color w:val="0000FF"/>
                  <w:sz w:val="20"/>
                  <w:u w:val="single"/>
                </w:rPr>
                <w:t>Mine Safety Disclosures</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dd323ab1d248519cd6bbc987f2a646_115">
              <w:r>
                <w:rPr>
                  <w:rStyle w:val="InternetLink"/>
                  <w:rFonts w:ascii="Times New Roman;sans-serif" w:hAnsi="Times New Roman;sans-serif"/>
                  <w:b w:val="false"/>
                  <w:color w:val="0000FF"/>
                  <w:sz w:val="20"/>
                  <w:u w:val="single"/>
                </w:rPr>
                <w:t>62</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118">
              <w:r>
                <w:rPr>
                  <w:rStyle w:val="InternetLink"/>
                  <w:rFonts w:ascii="Times New Roman;sans-serif" w:hAnsi="Times New Roman;sans-serif"/>
                  <w:b w:val="false"/>
                  <w:color w:val="0000FF"/>
                  <w:sz w:val="20"/>
                  <w:u w:val="single"/>
                </w:rPr>
                <w:t>Item 5</w:t>
              </w:r>
            </w:hyperlink>
            <w:r>
              <w:rPr>
                <w:rFonts w:ascii="Times New Roman;sans-serif" w:hAnsi="Times New Roman;sans-serif"/>
                <w:b w:val="false"/>
                <w:color w:val="000000"/>
                <w:sz w:val="20"/>
              </w:rPr>
              <w:t>.</w:t>
            </w:r>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118">
              <w:r>
                <w:rPr>
                  <w:rStyle w:val="InternetLink"/>
                  <w:rFonts w:ascii="Times New Roman;sans-serif" w:hAnsi="Times New Roman;sans-serif"/>
                  <w:b w:val="false"/>
                  <w:color w:val="0000FF"/>
                  <w:sz w:val="20"/>
                  <w:u w:val="single"/>
                </w:rPr>
                <w:t>Other Information</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dd323ab1d248519cd6bbc987f2a646_118">
              <w:r>
                <w:rPr>
                  <w:rStyle w:val="InternetLink"/>
                  <w:rFonts w:ascii="Times New Roman;sans-serif" w:hAnsi="Times New Roman;sans-serif"/>
                  <w:b w:val="false"/>
                  <w:color w:val="0000FF"/>
                  <w:sz w:val="20"/>
                  <w:u w:val="single"/>
                </w:rPr>
                <w:t>62</w:t>
              </w:r>
            </w:hyperlink>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121">
              <w:r>
                <w:rPr>
                  <w:rStyle w:val="InternetLink"/>
                  <w:rFonts w:ascii="Times New Roman;sans-serif" w:hAnsi="Times New Roman;sans-serif"/>
                  <w:b w:val="false"/>
                  <w:color w:val="0000FF"/>
                  <w:sz w:val="20"/>
                  <w:u w:val="single"/>
                </w:rPr>
                <w:t>Item 6.</w:t>
              </w:r>
            </w:hyperlink>
          </w:p>
        </w:tc>
        <w:tc>
          <w:tcPr>
            <w:tcW w:w="811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121">
              <w:r>
                <w:rPr>
                  <w:rStyle w:val="InternetLink"/>
                  <w:rFonts w:ascii="Times New Roman;sans-serif" w:hAnsi="Times New Roman;sans-serif"/>
                  <w:b w:val="false"/>
                  <w:color w:val="0000FF"/>
                  <w:sz w:val="20"/>
                  <w:u w:val="single"/>
                </w:rPr>
                <w:t>Exhibits</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dd323ab1d248519cd6bbc987f2a646_121">
              <w:r>
                <w:rPr>
                  <w:rStyle w:val="InternetLink"/>
                  <w:rFonts w:ascii="Times New Roman;sans-serif" w:hAnsi="Times New Roman;sans-serif"/>
                  <w:b w:val="false"/>
                  <w:color w:val="0000FF"/>
                  <w:sz w:val="20"/>
                  <w:u w:val="single"/>
                </w:rPr>
                <w:t>62</w:t>
              </w:r>
            </w:hyperlink>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3"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b7dd323ab1d248519cd6bbc987f2a646_124">
              <w:r>
                <w:rPr>
                  <w:rStyle w:val="InternetLink"/>
                  <w:rFonts w:ascii="Times New Roman;sans-serif" w:hAnsi="Times New Roman;sans-serif"/>
                  <w:b/>
                  <w:color w:val="0000FF"/>
                  <w:sz w:val="20"/>
                  <w:u w:val="single"/>
                </w:rPr>
                <w:t>Signatures</w:t>
              </w:r>
            </w:hyperlink>
          </w:p>
        </w:tc>
        <w:tc>
          <w:tcPr>
            <w:tcW w:w="10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7dd323ab1d248519cd6bbc987f2a646_124">
              <w:r>
                <w:rPr>
                  <w:rStyle w:val="InternetLink"/>
                  <w:rFonts w:ascii="Times New Roman;sans-serif" w:hAnsi="Times New Roman;sans-serif"/>
                  <w:b w:val="false"/>
                  <w:color w:val="0000FF"/>
                  <w:sz w:val="20"/>
                  <w:u w:val="single"/>
                </w:rPr>
                <w:t>63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4785"/>
                <wp:effectExtent l="0" t="0" r="0" b="0"/>
                <wp:wrapNone/>
                <wp:docPr id="5" name="Frame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PART I        FINANCIAL INFORMATION</w:t>
      </w:r>
    </w:p>
    <w:p>
      <w:pPr>
        <w:pStyle w:val="TextBody"/>
        <w:bidi w:val="0"/>
        <w:spacing w:lineRule="auto" w:line="288" w:before="0" w:after="0"/>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1.        Financial Statements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BALANCE SHEETS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share and per share data)</w:t>
      </w:r>
    </w:p>
    <w:p>
      <w:pPr>
        <w:pStyle w:val="TextBody"/>
        <w:bidi w:val="0"/>
        <w:spacing w:before="0" w:after="0"/>
        <w:ind w:left="0" w:right="0" w:hanging="1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724"/>
        <w:gridCol w:w="2071"/>
        <w:gridCol w:w="2104"/>
        <w:gridCol w:w="222"/>
        <w:gridCol w:w="1140"/>
        <w:gridCol w:w="114"/>
        <w:gridCol w:w="109"/>
        <w:gridCol w:w="109"/>
        <w:gridCol w:w="109"/>
        <w:gridCol w:w="218"/>
        <w:gridCol w:w="1121"/>
        <w:gridCol w:w="164"/>
      </w:tblGrid>
      <w:tr>
        <w:trPr/>
        <w:tc>
          <w:tcPr>
            <w:tcW w:w="272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Assets</w:t>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portfolio:</w:t>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 net</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23,429,732 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23,015,931 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 net</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18,410,105 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18,211,102 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 net</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1,550,680 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1,144,177 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522,574 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689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1,021,195 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1,015,330 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44,918,106 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44,059,841 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Liabilities</w:t>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16,743,584 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16,724,125 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227,241 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and distributions payable</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457,977 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437,599 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999,272 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1,013,102 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18,395,034 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18,402,067 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Commitments and contingent liabilities (Note 10)</w:t>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Stockholders’ equity</w:t>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$0.01 par value, 1,350,000,000 shares authorized and 1,047,172,481 and 1,042,702,763 shares issued and outstanding at September 30, 2024 and December 31, 2023, respectively </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Preferred stock, $0.01 par value, 50,000,000 shares authorized and no shares outstanding at September 30, 2024 and December 31, 2023 </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24,247,840 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24,125,872 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153,870 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1,711,277 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965,762 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VICI stockholders’ equity</w:t>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26,111,294 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25,255,931 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401,843 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26,523,072 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25,657,774 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44,918,106 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44,059,841 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w:t>
      </w:r>
    </w:p>
    <w:p>
      <w:pPr>
        <w:pStyle w:val="TextBody"/>
        <w:bidi w:val="0"/>
        <w:spacing w:lineRule="auto" w:line="288" w:before="60" w:after="283"/>
        <w:jc w:val="both"/>
        <w:rPr/>
      </w:pPr>
      <w:r>
        <w:rPr>
          <w:rFonts w:ascii="Times New Roman;sans-serif" w:hAnsi="Times New Roman;sans-serif"/>
          <w:b w:val="false"/>
          <w:i/>
          <w:color w:val="000000"/>
          <w:sz w:val="16"/>
        </w:rPr>
        <w:t xml:space="preserve">Note: As of September 30, 2024 and December 31, 2023, our Investments in leases - sales-type, Investments in leases - financing receivables, Investments in loans and securities, and Other assets (sales-type sub-leases) are net of allowance for credit losses of $740.2 million, $708.8 million, $21.8 million and $19.3 million, respectively, and $701.1 million, $703.6 million, $29.8 million and $18.7 million, respectively. Refer to </w:t>
      </w:r>
      <w:hyperlink w:anchor="ib7dd323ab1d248519cd6bbc987f2a646_64">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785"/>
                <wp:effectExtent l="0" t="0" r="0" b="0"/>
                <wp:wrapNone/>
                <wp:docPr id="6" name="Frame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OPERATIONS AND COMPREHENSIVE INCOME</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381"/>
        <w:gridCol w:w="1003"/>
        <w:gridCol w:w="1013"/>
        <w:gridCol w:w="271"/>
        <w:gridCol w:w="1065"/>
        <w:gridCol w:w="109"/>
        <w:gridCol w:w="109"/>
        <w:gridCol w:w="109"/>
        <w:gridCol w:w="109"/>
        <w:gridCol w:w="271"/>
        <w:gridCol w:w="1065"/>
        <w:gridCol w:w="109"/>
        <w:gridCol w:w="109"/>
        <w:gridCol w:w="109"/>
        <w:gridCol w:w="109"/>
        <w:gridCol w:w="237"/>
        <w:gridCol w:w="1099"/>
        <w:gridCol w:w="109"/>
        <w:gridCol w:w="109"/>
        <w:gridCol w:w="109"/>
        <w:gridCol w:w="109"/>
        <w:gridCol w:w="237"/>
        <w:gridCol w:w="1099"/>
        <w:gridCol w:w="156"/>
      </w:tblGrid>
      <w:tr>
        <w:trPr/>
        <w:tc>
          <w:tcPr>
            <w:tcW w:w="138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1,473,961 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loans and securities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1,122,703 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revenues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2,680,123 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gains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1,798,531 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1,794,901 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common stockholders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1,765,771 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Net income per common share </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Weighted average number of shares of common stock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1,046,626,838 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1,012,986,784 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1,043,921,660 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1,007,110,068 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1,048,338,348 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1,013,589,640 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1,044,897,468 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1,008,437,452 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Other comprehensive income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1,794,901 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derivative gain to 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cash flow hedges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1,795,799 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common stockholders</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2,052,051 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1,766,659 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785"/>
                <wp:effectExtent l="0" t="0" r="0" b="0"/>
                <wp:wrapNone/>
                <wp:docPr id="7" name="Frame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STOCKHOLDERS’ EQUITY</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share and per share data)</w:t>
      </w:r>
    </w:p>
    <w:tbl>
      <w:tblPr>
        <w:tblW w:w="11640" w:type="dxa"/>
        <w:jc w:val="center"/>
        <w:tblInd w:w="0" w:type="dxa"/>
        <w:tblLayout w:type="fixed"/>
        <w:tblCellMar>
          <w:top w:w="28" w:type="dxa"/>
          <w:left w:w="28" w:type="dxa"/>
          <w:bottom w:w="28" w:type="dxa"/>
          <w:right w:w="28" w:type="dxa"/>
        </w:tblCellMar>
      </w:tblPr>
      <w:tblGrid>
        <w:gridCol w:w="666"/>
        <w:gridCol w:w="282"/>
        <w:gridCol w:w="283"/>
        <w:gridCol w:w="196"/>
        <w:gridCol w:w="646"/>
        <w:gridCol w:w="109"/>
        <w:gridCol w:w="109"/>
        <w:gridCol w:w="109"/>
        <w:gridCol w:w="109"/>
        <w:gridCol w:w="196"/>
        <w:gridCol w:w="961"/>
        <w:gridCol w:w="109"/>
        <w:gridCol w:w="109"/>
        <w:gridCol w:w="109"/>
        <w:gridCol w:w="109"/>
        <w:gridCol w:w="228"/>
        <w:gridCol w:w="859"/>
        <w:gridCol w:w="129"/>
        <w:gridCol w:w="109"/>
        <w:gridCol w:w="109"/>
        <w:gridCol w:w="109"/>
        <w:gridCol w:w="196"/>
        <w:gridCol w:w="871"/>
        <w:gridCol w:w="109"/>
        <w:gridCol w:w="109"/>
        <w:gridCol w:w="109"/>
        <w:gridCol w:w="109"/>
        <w:gridCol w:w="196"/>
        <w:gridCol w:w="961"/>
        <w:gridCol w:w="109"/>
        <w:gridCol w:w="109"/>
        <w:gridCol w:w="109"/>
        <w:gridCol w:w="109"/>
        <w:gridCol w:w="237"/>
        <w:gridCol w:w="891"/>
        <w:gridCol w:w="133"/>
        <w:gridCol w:w="109"/>
        <w:gridCol w:w="109"/>
        <w:gridCol w:w="109"/>
        <w:gridCol w:w="196"/>
        <w:gridCol w:w="961"/>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VICI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24,125,872 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153,870 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25,255,931 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401,843 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25,657,774 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($0.4150 per common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(440,607)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2024</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24,124,875 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156,640 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25,414,824 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403,734 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25,818,558 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752,753 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($0.4150 per common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(440,684)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2024</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24,128,989 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148,211 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25,718,896 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407,417 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26,126,313 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744,481 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($0.4325 per common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(460,869)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cash flow hedges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September 30,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24,247,840 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141,705 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26,111,294 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411,778 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26,523,072 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785"/>
                <wp:effectExtent l="0" t="0" r="0" b="0"/>
                <wp:wrapNone/>
                <wp:docPr id="8" name="Frame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STOCKHOLDERS’ EQUITY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share and per share data)</w:t>
      </w:r>
    </w:p>
    <w:p>
      <w:pPr>
        <w:pStyle w:val="TextBody"/>
        <w:bidi w:val="0"/>
        <w:spacing w:before="180" w:after="283"/>
        <w:jc w:val="both"/>
        <w:rPr/>
      </w:pPr>
      <w:r>
        <w:rPr/>
      </w:r>
    </w:p>
    <w:tbl>
      <w:tblPr>
        <w:tblW w:w="11505" w:type="dxa"/>
        <w:jc w:val="center"/>
        <w:tblInd w:w="0" w:type="dxa"/>
        <w:tblLayout w:type="fixed"/>
        <w:tblCellMar>
          <w:top w:w="28" w:type="dxa"/>
          <w:left w:w="28" w:type="dxa"/>
          <w:bottom w:w="28" w:type="dxa"/>
          <w:right w:w="28" w:type="dxa"/>
        </w:tblCellMar>
      </w:tblPr>
      <w:tblGrid>
        <w:gridCol w:w="666"/>
        <w:gridCol w:w="282"/>
        <w:gridCol w:w="283"/>
        <w:gridCol w:w="196"/>
        <w:gridCol w:w="646"/>
        <w:gridCol w:w="109"/>
        <w:gridCol w:w="109"/>
        <w:gridCol w:w="109"/>
        <w:gridCol w:w="109"/>
        <w:gridCol w:w="196"/>
        <w:gridCol w:w="961"/>
        <w:gridCol w:w="109"/>
        <w:gridCol w:w="109"/>
        <w:gridCol w:w="109"/>
        <w:gridCol w:w="109"/>
        <w:gridCol w:w="228"/>
        <w:gridCol w:w="859"/>
        <w:gridCol w:w="129"/>
        <w:gridCol w:w="109"/>
        <w:gridCol w:w="109"/>
        <w:gridCol w:w="109"/>
        <w:gridCol w:w="196"/>
        <w:gridCol w:w="736"/>
        <w:gridCol w:w="109"/>
        <w:gridCol w:w="109"/>
        <w:gridCol w:w="109"/>
        <w:gridCol w:w="109"/>
        <w:gridCol w:w="196"/>
        <w:gridCol w:w="961"/>
        <w:gridCol w:w="109"/>
        <w:gridCol w:w="109"/>
        <w:gridCol w:w="109"/>
        <w:gridCol w:w="109"/>
        <w:gridCol w:w="237"/>
        <w:gridCol w:w="891"/>
        <w:gridCol w:w="133"/>
        <w:gridCol w:w="109"/>
        <w:gridCol w:w="109"/>
        <w:gridCol w:w="109"/>
        <w:gridCol w:w="196"/>
        <w:gridCol w:w="961"/>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VICI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21,645,499 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21,933,637 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356,476 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22,290,113 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equity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($0.3900 per common share)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(398,688)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cash flow hedges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2023</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22,910,509 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170,441 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23,311,246 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363,289 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23,674,535 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701,581 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($0.3900 per common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23,014,913 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173,670 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23,716,716 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367,859 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24,084,575 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565,459 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equity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to non-controlling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($0.4150 per common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(429,340)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September 30, 2023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23,316,140 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186,241 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652,402 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24,164,951 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370,731 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24,535,682 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4785"/>
                <wp:effectExtent l="0" t="0" r="0" b="0"/>
                <wp:wrapNone/>
                <wp:docPr id="9" name="Frame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tbl>
      <w:tblPr>
        <w:tblW w:w="10205" w:type="dxa"/>
        <w:jc w:val="center"/>
        <w:tblInd w:w="0" w:type="dxa"/>
        <w:tblLayout w:type="fixed"/>
        <w:tblCellMar>
          <w:top w:w="28" w:type="dxa"/>
          <w:left w:w="28" w:type="dxa"/>
          <w:bottom w:w="28" w:type="dxa"/>
          <w:right w:w="28" w:type="dxa"/>
        </w:tblCellMar>
      </w:tblPr>
      <w:tblGrid>
        <w:gridCol w:w="2625"/>
        <w:gridCol w:w="2303"/>
        <w:gridCol w:w="2311"/>
        <w:gridCol w:w="211"/>
        <w:gridCol w:w="976"/>
        <w:gridCol w:w="109"/>
        <w:gridCol w:w="109"/>
        <w:gridCol w:w="109"/>
        <w:gridCol w:w="109"/>
        <w:gridCol w:w="211"/>
        <w:gridCol w:w="976"/>
        <w:gridCol w:w="156"/>
      </w:tblGrid>
      <w:tr>
        <w:trPr/>
        <w:tc>
          <w:tcPr>
            <w:tcW w:w="2625"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1,794,901 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cash flows provided by operating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leasing and financing adjustments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original issue discount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settlement of derivatives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unconsolidated affiliate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1,604,517 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in connection with the MGM Grand/Mandalay Bay JV Interest Acquisition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(1,266,905)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(702,112)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repayments of loans and receipts of deferred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transaction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property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(662,606)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(1,944,885)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4785"/>
                <wp:effectExtent l="0" t="0" r="0" b="0"/>
                <wp:wrapNone/>
                <wp:docPr id="10" name="Frame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p>
      <w:pPr>
        <w:pStyle w:val="TextBody"/>
        <w:bidi w:val="0"/>
        <w:spacing w:before="180" w:after="283"/>
        <w:jc w:val="both"/>
        <w:rPr/>
      </w:pPr>
      <w:r>
        <w:rPr/>
      </w:r>
    </w:p>
    <w:tbl>
      <w:tblPr>
        <w:tblW w:w="9125" w:type="dxa"/>
        <w:jc w:val="center"/>
        <w:tblInd w:w="0" w:type="dxa"/>
        <w:tblLayout w:type="fixed"/>
        <w:tblCellMar>
          <w:top w:w="28" w:type="dxa"/>
          <w:left w:w="28" w:type="dxa"/>
          <w:bottom w:w="28" w:type="dxa"/>
          <w:right w:w="28" w:type="dxa"/>
        </w:tblCellMar>
      </w:tblPr>
      <w:tblGrid>
        <w:gridCol w:w="2330"/>
        <w:gridCol w:w="2050"/>
        <w:gridCol w:w="2055"/>
        <w:gridCol w:w="213"/>
        <w:gridCol w:w="837"/>
        <w:gridCol w:w="109"/>
        <w:gridCol w:w="109"/>
        <w:gridCol w:w="109"/>
        <w:gridCol w:w="109"/>
        <w:gridCol w:w="213"/>
        <w:gridCol w:w="837"/>
        <w:gridCol w:w="154"/>
      </w:tblGrid>
      <w:tr>
        <w:trPr/>
        <w:tc>
          <w:tcPr>
            <w:tcW w:w="2330"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offering of common stock,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March 2024 Notes offering</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of senior unsecured notes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Revolving Credit Facility</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stock for tax withholding</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(1,161,764)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(1,242,227)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Effect of exchange rate changes on cash, cash equivalents and restricted cash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cash equivalents and restricted cash</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non-cash investing and financing activity:</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and distributions declared, not paid </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payable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capitalized transaction costs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change in Investments in leases - financing receivables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Obtaining right-of-use assets in exchange for lease liabilities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785"/>
                <wp:effectExtent l="0" t="0" r="0" b="0"/>
                <wp:wrapNone/>
                <wp:docPr id="11" name="Frame1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BALANCE SHEETS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unit and per unit data)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687"/>
        <w:gridCol w:w="2077"/>
        <w:gridCol w:w="2109"/>
        <w:gridCol w:w="224"/>
        <w:gridCol w:w="1151"/>
        <w:gridCol w:w="115"/>
        <w:gridCol w:w="109"/>
        <w:gridCol w:w="109"/>
        <w:gridCol w:w="109"/>
        <w:gridCol w:w="220"/>
        <w:gridCol w:w="1129"/>
        <w:gridCol w:w="166"/>
      </w:tblGrid>
      <w:tr>
        <w:trPr/>
        <w:tc>
          <w:tcPr>
            <w:tcW w:w="2687"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6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Assets</w:t>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portfolio:</w:t>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 net</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23,429,732 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23,015,931 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3"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 net</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18,410,105 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18,211,102 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 net</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1,550,680 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1,144,177 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3"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3"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873"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942,549 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936,528 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44,832,444 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43,930,049 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Liabilities</w:t>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16,743,584 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16,724,125 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payable</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457,977 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984,672 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998,363 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18,376,997 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18,382,420 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Commitments and contingent liabilities (Note 10)</w:t>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Partners’ Capital</w:t>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Partners’ capital, 1,059,403,854 and 1,054,934,136 operating partnership units issued and outstanding as of September 30, 2024 and December 31, 2023, respectively</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26,208,082 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25,288,647 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VICI LP’s capital</w:t>
            </w:r>
          </w:p>
        </w:tc>
        <w:tc>
          <w:tcPr>
            <w:tcW w:w="13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26,349,111 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25,441,997 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capital attributable to partners</w:t>
            </w:r>
          </w:p>
        </w:tc>
        <w:tc>
          <w:tcPr>
            <w:tcW w:w="13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26,455,447 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25,547,629 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partners’ capital</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44,832,444 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43,930,049 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w:t>
      </w:r>
    </w:p>
    <w:p>
      <w:pPr>
        <w:pStyle w:val="TextBody"/>
        <w:bidi w:val="0"/>
        <w:spacing w:lineRule="auto" w:line="288" w:before="60" w:after="283"/>
        <w:jc w:val="both"/>
        <w:rPr/>
      </w:pPr>
      <w:r>
        <w:rPr>
          <w:rFonts w:ascii="Times New Roman;sans-serif" w:hAnsi="Times New Roman;sans-serif"/>
          <w:b w:val="false"/>
          <w:i/>
          <w:color w:val="000000"/>
          <w:sz w:val="16"/>
        </w:rPr>
        <w:t xml:space="preserve">Note: As of September 30, 2024 and December 31, 2023, our Investments in leases - sales-type, Investments in leases - financing receivables, Investments in loans and securities, and Other assets (sales-type sub-leases) are net of allowance for credit losses of $740.2 million, $708.8 million, $21.8 million and $19.3 million, respectively, and $701.1 million, $703.6 million, $29.8 million and $18.7 million, respectively. Refer to </w:t>
      </w:r>
      <w:hyperlink w:anchor="ib7dd323ab1d248519cd6bbc987f2a646_64">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785"/>
                <wp:effectExtent l="0" t="0" r="0" b="0"/>
                <wp:wrapNone/>
                <wp:docPr id="12" name="Frame1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OPERATIONS AND COMPREHENSIVE INCOME</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unit and per unit data)</w:t>
      </w:r>
    </w:p>
    <w:tbl>
      <w:tblPr>
        <w:tblW w:w="10205" w:type="dxa"/>
        <w:jc w:val="left"/>
        <w:tblInd w:w="0" w:type="dxa"/>
        <w:tblLayout w:type="fixed"/>
        <w:tblCellMar>
          <w:top w:w="28" w:type="dxa"/>
          <w:left w:w="28" w:type="dxa"/>
          <w:bottom w:w="28" w:type="dxa"/>
          <w:right w:w="28" w:type="dxa"/>
        </w:tblCellMar>
      </w:tblPr>
      <w:tblGrid>
        <w:gridCol w:w="1453"/>
        <w:gridCol w:w="1118"/>
        <w:gridCol w:w="1129"/>
        <w:gridCol w:w="271"/>
        <w:gridCol w:w="1065"/>
        <w:gridCol w:w="109"/>
        <w:gridCol w:w="109"/>
        <w:gridCol w:w="109"/>
        <w:gridCol w:w="109"/>
        <w:gridCol w:w="237"/>
        <w:gridCol w:w="930"/>
        <w:gridCol w:w="124"/>
        <w:gridCol w:w="109"/>
        <w:gridCol w:w="109"/>
        <w:gridCol w:w="109"/>
        <w:gridCol w:w="237"/>
        <w:gridCol w:w="1099"/>
        <w:gridCol w:w="109"/>
        <w:gridCol w:w="109"/>
        <w:gridCol w:w="109"/>
        <w:gridCol w:w="109"/>
        <w:gridCol w:w="211"/>
        <w:gridCol w:w="976"/>
        <w:gridCol w:w="156"/>
      </w:tblGrid>
      <w:tr>
        <w:trPr/>
        <w:tc>
          <w:tcPr>
            <w:tcW w:w="145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1,473,961 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loans and securities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1,122,703 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896,893 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2,651,707 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95,997 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132,341 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(204,927)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gains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565,188 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1,789,636 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564,771 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1,787,655 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partners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562,350 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1,779,908 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Net income per Partnership unit</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Weighted average number of Partnership units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1,058,858,211 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1,025,218,157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1,056,153,033 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1,019,341,441</w:t>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1,060,569,721 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1,025,821,013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1,057,128,841 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1,020,668,825</w:t>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Other comprehensive income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partners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1,779,908 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derivative gain to 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cash flow hedges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partners</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575,074 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2,069,519 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1,780,806 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4785"/>
                <wp:effectExtent l="0" t="0" r="0" b="0"/>
                <wp:wrapNone/>
                <wp:docPr id="13" name="Frame1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PARTNERS’ CAPITAL</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unit and per unit data)</w:t>
      </w:r>
    </w:p>
    <w:tbl>
      <w:tblPr>
        <w:tblW w:w="10205" w:type="dxa"/>
        <w:jc w:val="left"/>
        <w:tblInd w:w="0" w:type="dxa"/>
        <w:tblLayout w:type="fixed"/>
        <w:tblCellMar>
          <w:top w:w="28" w:type="dxa"/>
          <w:left w:w="28" w:type="dxa"/>
          <w:bottom w:w="28" w:type="dxa"/>
          <w:right w:w="28" w:type="dxa"/>
        </w:tblCellMar>
      </w:tblPr>
      <w:tblGrid>
        <w:gridCol w:w="1061"/>
        <w:gridCol w:w="792"/>
        <w:gridCol w:w="794"/>
        <w:gridCol w:w="205"/>
        <w:gridCol w:w="1007"/>
        <w:gridCol w:w="113"/>
        <w:gridCol w:w="109"/>
        <w:gridCol w:w="109"/>
        <w:gridCol w:w="109"/>
        <w:gridCol w:w="433"/>
        <w:gridCol w:w="1632"/>
        <w:gridCol w:w="244"/>
        <w:gridCol w:w="109"/>
        <w:gridCol w:w="109"/>
        <w:gridCol w:w="109"/>
        <w:gridCol w:w="305"/>
        <w:gridCol w:w="1150"/>
        <w:gridCol w:w="171"/>
        <w:gridCol w:w="109"/>
        <w:gridCol w:w="109"/>
        <w:gridCol w:w="109"/>
        <w:gridCol w:w="196"/>
        <w:gridCol w:w="961"/>
        <w:gridCol w:w="160"/>
      </w:tblGrid>
      <w:tr>
        <w:trPr/>
        <w:tc>
          <w:tcPr>
            <w:tcW w:w="106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25,288,647 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153,350 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105,632 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25,547,629 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594,142 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597,040 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(440,283)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(440,283)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(6,046)</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2024</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25,441,302 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156,142 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105,900 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25,703,344 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746,179 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748,982 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(438,049)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(438,049)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(6,384)</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2024</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25,753,822 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147,585 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106,010 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26,007,417 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741,519 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744,540 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(458,256)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(458,256)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(6,100)</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cash flow hedges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(2,714)</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September 30, 2024</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26,208,082 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141,029 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106,336 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26,455,447 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785"/>
                <wp:effectExtent l="0" t="0" r="0" b="0"/>
                <wp:wrapNone/>
                <wp:docPr id="14" name="Frame1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PARTNERS’ CAPITAL</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unit and per unit data)</w:t>
      </w:r>
    </w:p>
    <w:tbl>
      <w:tblPr>
        <w:tblW w:w="10205" w:type="dxa"/>
        <w:jc w:val="left"/>
        <w:tblInd w:w="0" w:type="dxa"/>
        <w:tblLayout w:type="fixed"/>
        <w:tblCellMar>
          <w:top w:w="28" w:type="dxa"/>
          <w:left w:w="28" w:type="dxa"/>
          <w:bottom w:w="28" w:type="dxa"/>
          <w:right w:w="28" w:type="dxa"/>
        </w:tblCellMar>
      </w:tblPr>
      <w:tblGrid>
        <w:gridCol w:w="1061"/>
        <w:gridCol w:w="792"/>
        <w:gridCol w:w="794"/>
        <w:gridCol w:w="205"/>
        <w:gridCol w:w="1007"/>
        <w:gridCol w:w="113"/>
        <w:gridCol w:w="109"/>
        <w:gridCol w:w="109"/>
        <w:gridCol w:w="109"/>
        <w:gridCol w:w="433"/>
        <w:gridCol w:w="1632"/>
        <w:gridCol w:w="244"/>
        <w:gridCol w:w="109"/>
        <w:gridCol w:w="109"/>
        <w:gridCol w:w="109"/>
        <w:gridCol w:w="335"/>
        <w:gridCol w:w="1105"/>
        <w:gridCol w:w="186"/>
        <w:gridCol w:w="109"/>
        <w:gridCol w:w="109"/>
        <w:gridCol w:w="109"/>
        <w:gridCol w:w="196"/>
        <w:gridCol w:w="961"/>
        <w:gridCol w:w="160"/>
      </w:tblGrid>
      <w:tr>
        <w:trPr/>
        <w:tc>
          <w:tcPr>
            <w:tcW w:w="106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21,900,511 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185,201 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79,504 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22,165,216 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522,076 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524,915 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1,303,243 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1,303,243 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(408,519)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(408,519)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cash flow hedges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2023</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23,316,182 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170,107 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80,065 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23,566,354 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695,482 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697,969 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(397,810)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(397,810)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23,720,576 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173,375 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80,274 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23,974,225 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562,350 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564,771 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298,718 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298,718 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(427,273)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(427,273)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September 30, 2023</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24,158,382 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186,099 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80,417 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24,424,898 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4785"/>
                <wp:effectExtent l="0" t="0" r="0" b="0"/>
                <wp:wrapNone/>
                <wp:docPr id="15" name="Frame1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tbl>
      <w:tblPr>
        <w:tblW w:w="10205" w:type="dxa"/>
        <w:jc w:val="left"/>
        <w:tblInd w:w="0" w:type="dxa"/>
        <w:tblLayout w:type="fixed"/>
        <w:tblCellMar>
          <w:top w:w="28" w:type="dxa"/>
          <w:left w:w="28" w:type="dxa"/>
          <w:bottom w:w="28" w:type="dxa"/>
          <w:right w:w="28" w:type="dxa"/>
        </w:tblCellMar>
      </w:tblPr>
      <w:tblGrid>
        <w:gridCol w:w="2625"/>
        <w:gridCol w:w="2303"/>
        <w:gridCol w:w="2311"/>
        <w:gridCol w:w="211"/>
        <w:gridCol w:w="976"/>
        <w:gridCol w:w="109"/>
        <w:gridCol w:w="109"/>
        <w:gridCol w:w="109"/>
        <w:gridCol w:w="109"/>
        <w:gridCol w:w="211"/>
        <w:gridCol w:w="976"/>
        <w:gridCol w:w="156"/>
      </w:tblGrid>
      <w:tr>
        <w:trPr/>
        <w:tc>
          <w:tcPr>
            <w:tcW w:w="2625"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1,787,655 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cash flows provided by operating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leasing and financing adjustments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original issue discount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settlement of derivatives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unconsolidated affiliate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1,587,087 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in connection with the MGM Grand/Mandalay Bay JV Interest Acquisition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(1,266,905)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(702,112)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repayments of loans and receipts of deferred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transaction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property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(660,671)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(1,944,885)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785"/>
                <wp:effectExtent l="0" t="0" r="0" b="0"/>
                <wp:wrapNone/>
                <wp:docPr id="16" name="Frame1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tbl>
      <w:tblPr>
        <w:tblW w:w="9020" w:type="dxa"/>
        <w:jc w:val="left"/>
        <w:tblInd w:w="0" w:type="dxa"/>
        <w:tblLayout w:type="fixed"/>
        <w:tblCellMar>
          <w:top w:w="28" w:type="dxa"/>
          <w:left w:w="28" w:type="dxa"/>
          <w:bottom w:w="28" w:type="dxa"/>
          <w:right w:w="28" w:type="dxa"/>
        </w:tblCellMar>
      </w:tblPr>
      <w:tblGrid>
        <w:gridCol w:w="2291"/>
        <w:gridCol w:w="2016"/>
        <w:gridCol w:w="2023"/>
        <w:gridCol w:w="213"/>
        <w:gridCol w:w="837"/>
        <w:gridCol w:w="109"/>
        <w:gridCol w:w="109"/>
        <w:gridCol w:w="109"/>
        <w:gridCol w:w="109"/>
        <w:gridCol w:w="213"/>
        <w:gridCol w:w="837"/>
        <w:gridCol w:w="154"/>
      </w:tblGrid>
      <w:tr>
        <w:trPr/>
        <w:tc>
          <w:tcPr>
            <w:tcW w:w="2291"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Parent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Parent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(1,166,477)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March 2024 Notes offering</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of senior unsecured notes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Revolving Credit Facility</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stock for tax withholding</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(1,190,792)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676,344 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cash equivalents and restricted cash</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non-cash investing and financing activity:</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payable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payable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capitalized transaction costs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change in Investments in leases - financing receivables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Obtaining right-of-use assets in exchange for lease liabilities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785"/>
                <wp:effectExtent l="0" t="0" r="0" b="0"/>
                <wp:wrapNone/>
                <wp:docPr id="17" name="Frame1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 these notes, the words the “Company,” “VICI,” “we,” “our,” and “us” refer to VICI Properties Inc. and its subsidiaries, including VICI LP, on a consolidated basis, unless otherwise stated or the context requires otherwise.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We refer to (i) our Condensed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 — Business and Organization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Business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primarily engaged in the business of owning and acquiring gaming, hospitality and entertainment destinations, subject to long-term triple-net leases. As of September 30, 2024, we own 93 experiential assets across a geographically diverse portfolio consisting of 54 gaming properties and 39 other experiential properties across the United States and Canada, including Caesars Palace Las Vegas, MGM Grand and the Venetian Resort Las Vegas (the “Venetian Resort”), three of the most iconic entertainment facilities on the Las Vegas Strip. Our gaming and entertainment facilities are leased to leading brands that seek to drive consumer loyalty and value with guests through superior services, experiences, products and continuous innovation. VICI also owns four championship golf courses, which are managed by CDN Golf Management Inc., and are located near certain of our properties.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VICI, the parent company, is a Maryland corporation and internally managed REIT for U.S. federal income tax purposes. Our real property business, which represents the substantial majority of our assets, is conducted through VICI OP and indirectly through VICI LP, and our golf course business, VICI Golf, is conducted through a direct wholly owned TRS of VICI. As a REIT, we generally will not be subject to U.S. federal income taxes on our taxable income to the extent that we annually distribute all of our net taxable income to stockholders and maintain our qualification as a REIT.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2 — Summary of Significant Accounting Policies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The Financial Statements, including the notes thereto, are unaudited and condense or exclude some of the disclosures and information normally required in audited financial statements. </w:t>
      </w:r>
    </w:p>
    <w:p>
      <w:pPr>
        <w:pStyle w:val="TextBody"/>
        <w:bidi w:val="0"/>
        <w:spacing w:lineRule="auto" w:line="288" w:before="180" w:after="283"/>
        <w:jc w:val="both"/>
        <w:rPr/>
      </w:pPr>
      <w:r>
        <w:rPr>
          <w:rFonts w:ascii="Times New Roman;sans-serif" w:hAnsi="Times New Roman;sans-serif"/>
          <w:b w:val="false"/>
          <w:color w:val="000000"/>
          <w:sz w:val="20"/>
        </w:rPr>
        <w:t xml:space="preserve">We believe the disclosures made are adequate to prevent the information presented from being misleading. However, the accompanying unaudited Financial Statements and related notes should be read in conjunction with our audited financial statements and notes thereto included in our most recent </w:t>
      </w:r>
      <w:hyperlink r:id="rId3">
        <w:r>
          <w:rPr>
            <w:rStyle w:val="InternetLink"/>
            <w:rFonts w:ascii="Times New Roman;sans-serif" w:hAnsi="Times New Roman;sans-serif"/>
            <w:b w:val="false"/>
            <w:color w:val="0000FF"/>
            <w:sz w:val="20"/>
            <w:u w:val="single"/>
          </w:rPr>
          <w:t>Annual Report on Form 10-K</w:t>
        </w:r>
      </w:hyperlink>
      <w:r>
        <w:rPr>
          <w:rFonts w:ascii="Times New Roman;sans-serif" w:hAnsi="Times New Roman;sans-serif"/>
          <w:b w:val="false"/>
          <w:color w:val="000000"/>
          <w:sz w:val="20"/>
        </w:rPr>
        <w:t>, as updated from time to time in our other filings with the SEC.</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adjustments considered necessary for a fair statement of results for the interim period have been included and are of a normal and recurring nature. Certain prior period amounts have been reclassified to conform to the current period presentation.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materially from these estimates.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results for the three and nine months ended September 30, 2024 are not necessarily indicative of the results that may be expected for the year ending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785"/>
                <wp:effectExtent l="0" t="0" r="0" b="0"/>
                <wp:wrapNone/>
                <wp:docPr id="18" name="Frame1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Financial Statements include our accounts and the accounts of VICI LP, and the subsidiaries in which we or VICI LP has a controlling interest. All intercompany account balances and transactions have been eliminated in consolidation. We consolidate all subsidiaries in which we have a controlling financial interest and variable interest entities for which we or one of our consolidated subsidiaries is the primary beneficiary.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Non-controlling Interests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present non-controlling interests and classify such interests as a component of consolidated stockholders’ equity or partners’ capital, separate from VICI stockholders’ equity and VICI LP partners’ capital. As of September 30, 2024, VICI’s non-controlling interests were comprised of (i) approximately 1.2% third-party ownership of VICI OP in the form of a limited liability company interest in VICI OP (“VICI OP Units”), (ii) a 20% third-party ownership of Harrah’s Joliet LandCo LLC, the entity that owns the Harrah’s Joliet facility and is the lessor under the related lease agreement with Caesars Entertainment, Inc. (together with, as the context requires, its subsidiaries, “Caesars”) for such facility (the “Joliet Lease”) and (iii) a minority third-party equity interest, in the form of Class A Units, of VICI Bowl HoldCo LLC (“Bowlero OP Units”), the entity that owns the portfolio of bowling entertainment centers leased to Bowlero Corp. (“Bowlero”) and is the lessor under the related Bowlero master lease agreement, which interest entitles the non-controlling interest holder to a preferred return that currently approximates 4% of the entity’s cash flows.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LP’s non-controlling interests are the third-party ownership interests in Harrah’s Joliet LandCo LLC and VICI Bowl HoldCo LLC referenced above.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consists of cash-on-hand and cash-in-bank. Highly liquid investments with an original maturity of three months or less from the date of purchase are considered cash equivalents and are carried at cost, which approximates fair value. As of September 30, 2024 and December 31, 2023, we did not have any restricted cash.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Short-Term Investments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with an original maturity of greater than three months and less than one year from the date of purchase are considered short-term investments and are stated at fair value.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180 days and are accounted for as available for sale securities. Interest on our short-term investments is recognized as interest income in our Statement of Operations. We did not have any short-term investments as of September 30, 2024 and December 31, 2023.</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Purchase Price Accounting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assess all of our property acquisitions under ASC 805 “Business Combinations” (“ASC 805”) to determine if such acquisitions should be accounted for as a business combination or an asset acquisition. Under ASC 805, an acquisition does not qualify as a business combination when (i) substantially all of the fair value is concentrated in a single identifiable asset or group of similar identifiable assets, (ii) the acquisition does not include a substantive process in the form of an acquired workforce, or (iii) the acquisition does not include an acquired contract that cannot be replaced without significant cost, effort or delay. Generally, and to date, all of our acquisitions have been determined to be asset acquisitions and, in accordance with ASC 805-50, all applicable transaction costs are capitalized as part of the purchase price of the acquisition.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allocate the purchase price, including the costs incurred to acquire the assets, to the identifiable assets acquired and liabilities assumed, as applicable, using their relative fair value. Generally, the assets acquired are comprised of land, building and site improvements and in certain instances, such as our acquisition of MGM Growth Properties LLC (“MGP”) and the acquisition of the joint venture that holds the real estate assets of MGM Grand Las Vegas and Mandalay Bay (“MGM Grand/Mandalay Bay JV”), existing leases and/or debt. Further, since all the components of our leases are classified as sales-type leases or financing receivables, as further described below, the assets acquired are transferred into the net investment in lease or financing receivable, as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785"/>
                <wp:effectExtent l="0" t="0" r="0" b="0"/>
                <wp:wrapNone/>
                <wp:docPr id="19" name="Frame1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Investments in Leases - Sales-type, Net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our investments in leases under ASC 842 “Leases” (“ASC 842”). Upon lease inception or lease modification, we assess lease classification to determine whether the lease should be classified as a direct financing, sales-type or operating lease. As required by ASC 842, we separately assess each lease component of the property, generally comprised of land and building, to determine the classification. If the lease component is determined to be a direct financing or sales-type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due to the long-term nature of our leases, the land and building components of an investment generally have the same lease classification.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Investments in Leases - Financing Receivables, Net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ASC 842, for transactions in which we enter into a contract to acquire an asset and lease it back to the seller under a lease classified as a sales-type lease (i.e., a sale leaseback transaction), control of the asset is not considered to have transferred to us. As a result, we do not recognize the net investment in the lease but instead recognize a financial asset in accordance with ASC 310 “Receivables” (“ASC 310”); however, the accounting for the financing receivable under ASC 310 is materially consistent with the accounting for our investments in leases - sales-type under ASC 842. </w:t>
      </w:r>
    </w:p>
    <w:p>
      <w:pPr>
        <w:pStyle w:val="TextBody"/>
        <w:bidi w:val="0"/>
        <w:spacing w:lineRule="auto" w:line="276" w:before="180" w:after="283"/>
        <w:jc w:val="both"/>
        <w:rPr>
          <w:rFonts w:ascii="Times New Roman;sans-serif" w:hAnsi="Times New Roman;sans-serif"/>
          <w:b/>
          <w:i/>
          <w:color w:val="000000"/>
          <w:sz w:val="20"/>
        </w:rPr>
      </w:pPr>
      <w:r>
        <w:rPr>
          <w:rFonts w:ascii="Times New Roman;sans-serif" w:hAnsi="Times New Roman;sans-serif"/>
          <w:b/>
          <w:i/>
          <w:color w:val="000000"/>
          <w:sz w:val="20"/>
        </w:rPr>
        <w:t>Lease Term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the noncancelable lease term under ASC 842, which includes any reasonably certain renewal periods. All of our lease agreements provide for an initial term, with one or more tenant renewal options.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relation to our gaming assets and certain other irreplaceable real estate, we generally conclude that the lease term includes all of the periods covered by extension options as it is reasonably certain our tenants will renew the lease agreements. In these situations, we believe our tenants are economically compelled to renew the lease agreements due to the importance of our real estate to the operation of their business, the significant capital they have invested and are required to invest in our properties under the terms of the lease agreements and the lack of suitable replacement assets.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from Leases and Lease Financing Receivables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the related income from our sales-type leases and lease financing receivables on an effective interest basis at a constant rate of return over the terms of the applicable leases. As a result, the cash payments accounted for under sales-type leases and lease financing receivables will not equal income from our lease agreements. Rather, a portion of the cash rent we receive is recorded as Income from sales-type leases or Income from lease financing receivables, loans and securities, as applicable, in our Statement of Operations and a portion is recorded as a change to Investments in leases - sales-type, net or Investments in leases - financing receivables, net, as applicable.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Initial direct costs incurred in connection with entering into investments classified as sales-type leases are included in the balance of the net investment in lease.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 origination fees and costs incurred in connection with entering into investments classified as lease financing receivables are included in the balance of the net investment and such amounts will be recognized as a reduction to Income from investments in loans and lease financing receivables over the life of the lease using the effective interest method.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Investments in Loans and Securities, net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in loans are held-for-investment and are carried at historical cost, inclusive of unamortized loan origination costs and fees and net of allowances for credit losses. Income is recognized on an effective interest basis at a constant rate of return over the life of the related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785"/>
                <wp:effectExtent l="0" t="0" r="0" b="0"/>
                <wp:wrapNone/>
                <wp:docPr id="20" name="Frame1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classify our investments in securities on the date of acquisition of the investment as either trading, available-for-sale or held-to-maturity. We classify our debt securities as held-to-maturity, as we have the intent and ability to hold this security until maturity, the accounting of which is materially consistent with that of our Investments in loans.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ASC 326 “Financial Instruments-Credit Losses” (“ASC 326”) requires that we measure and record current expected credit losses (“CECL”) for the majority of our investments, the scope of which includes our Investments in leases - sales-type, Investments in leases - financing receivables and Investments in loans and securities.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Investments in Leases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relation to our lease portfolio, we have elected to use a discounted cash flow model to estimate the allowance for credit losses, or CECL allowance, for our Investments in leases - sales-type and Investments in leases - financing receivables, which comprise the substantial majority of our CECL allowance. This model requires us to develop cash flows which project estimated credit losses over the life of the lease and discount these cash flows at the asset’s effective interest rate. We then record a CECL allowance equal to the difference between the amortized cost basis of the asset and the present value of the expected credit loss cash flows.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losses within our cash flows are determined by estimating the probability of default (“PD”) and loss given default (“LGD”) of our tenants and their parent guarantors, as applicable, over the life of each individual lease. We have engaged a nationally recognized data analytics firm to assist us with estimating both the PD and LGD of our tenants and their parent guarantors, as applicable. The PD and LGD are estimated during a reasonable and supportable period for which we believe we are able to estimate future economic conditions (the “R&amp;S Period”) and a long-term period for which we revert to long-term historical averages (the “Long-Term Period”). The PD and LGD estimates for the R&amp;S Period are developed using the current financial condition of the tenant and parent guarantor, as applicable, and applied to a projection of economic conditions over a two-year term. The PD and LGD for the Long-Term Period are estimated using the average historical default rates and historical loss rates, respectively, of public companies over approximately the past 40 years that have similar credit profiles or characteristics to our tenants and their parent guarantors, as applicable. We are unable to use our historical data to estimate losses as we have no loss history to date.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Investments in Loans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relation to our loan portfolio, we engage a nationally recognized data analytics firm to provide loan level market data and a forward-looking commercial real estate loss forecasting tool. The credit loss model generates the PD and LGD using sub-market loan-level data and the estimated fair value of collateral to generate net operating income and forecast the expected loss for each loan.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Unfunded Commitments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estimate a CECL allowance related to contractual commitments to extend credit, such as future funding commitments under a revolving credit facility, delayed draw term loan, construction loan or through commitments made to our tenants to fund the development and construction of improvements at our properties. We estimate the amount that we will fund for each contractual commitment based on (i) discussions with our borrowers and tenants, (ii) our borrowers’ and tenants’ business plans and financial condition and (iii) other relevant factors. Based on these considerations, we apply a CECL allowance to the estimated amount of credit we expect to extend. The CECL allowance for unfunded commitments is calculated using the same methodology as the allowance for the respective investments subject to the CECL model. The CECL allowance related to these future commitments is recorded as a component of Other liabilities on our Balance Sheets.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Presentation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CECL allowance is recorded as a reduction to our net Investments in leases - sales-type, Investments in leases - financing receivables, Investments in loans and securities and Sales-type sub-leases (included in Other assets) on our Balance Sheets.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for such asset, which results in a non-cash charge to the Statement of Operations for the relevant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785"/>
                <wp:effectExtent l="0" t="0" r="0" b="0"/>
                <wp:wrapNone/>
                <wp:docPr id="21" name="Frame2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Write-offs of our investments in leases and loans are deducted from the allowance in the period in which they are deemed uncollectible. Recoveries of amounts previously written off are recorded when received. There were no charge-offs or recoveries for the three and nine months ended September 30, 2024 and 2023.</w:t>
      </w:r>
    </w:p>
    <w:p>
      <w:pPr>
        <w:pStyle w:val="TextBody"/>
        <w:bidi w:val="0"/>
        <w:spacing w:lineRule="auto" w:line="288" w:before="180" w:after="283"/>
        <w:jc w:val="both"/>
        <w:rPr/>
      </w:pPr>
      <w:r>
        <w:rPr>
          <w:rFonts w:ascii="Times New Roman;sans-serif" w:hAnsi="Times New Roman;sans-serif"/>
          <w:b w:val="false"/>
          <w:color w:val="000000"/>
          <w:sz w:val="20"/>
        </w:rPr>
        <w:t xml:space="preserve">Refer to </w:t>
      </w:r>
      <w:hyperlink w:anchor="ib7dd323ab1d248519cd6bbc987f2a646_64">
        <w:r>
          <w:rPr>
            <w:rStyle w:val="InternetLink"/>
            <w:rFonts w:ascii="Times New Roman;sans-serif" w:hAnsi="Times New Roman;sans-serif"/>
            <w:b w:val="false"/>
            <w:color w:val="0000FF"/>
            <w:sz w:val="20"/>
            <w:u w:val="single"/>
          </w:rPr>
          <w:t>Note 5 - Allowance for Credit Losses</w:t>
        </w:r>
      </w:hyperlink>
      <w:r>
        <w:rPr>
          <w:color w:val="000000"/>
        </w:rPr>
        <w:t xml:space="preserve"> </w:t>
      </w:r>
      <w:r>
        <w:rPr>
          <w:rFonts w:ascii="Times New Roman;sans-serif" w:hAnsi="Times New Roman;sans-serif"/>
          <w:b w:val="false"/>
          <w:color w:val="000000"/>
          <w:sz w:val="20"/>
        </w:rPr>
        <w:t>for further information.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Foreign Currency Translation and Remeasurement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investments in our Canadian gaming assets and certain of our loans are denominated in foreign currencies and, accordingly, we translate the financial statements of the subsidiaries that own such assets into U.S. Dollars (“USD” or “US$”) when we consolidate their financial results and position. Generally, assets and liabilities are translated at the exchange rate in effect at the date of the Balance Sheet and the resulting translation adjustments are included in Accumulated other comprehensive income in the Balance Sheets. Certain balance sheet items, primarily equity and capital-related accounts, are reflected at the historical exchange rate. Income Statement accounts are translated using the average exchange rate for the period.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and certain of our consolidated subsidiaries have intercompany and third-party debt that is denominated in foreign currencies, which is neither our nor our consolidated subsidiaries’ functional currency of USD. When the debt and related operating receivables and/or payables are remeasured to the functional currency of the entity, a gain or loss can result. The resulting adjustment is reflected in Other (losses) gains, net in the Statement of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Income and Other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primarily represents sub-lease income related to certain ground and use leases. Under the lease agreements, the tenants are required to pay all costs associated with such ground and use leases and provides for their direct payment to the landlord. This income and the related expense are recorded on a gross basis in our Statement of Operations as required under GAAP as we are the primary obligor under these certain ground and use leases. </w:t>
      </w:r>
    </w:p>
    <w:p>
      <w:pPr>
        <w:pStyle w:val="TextBody"/>
        <w:bidi w:val="0"/>
        <w:spacing w:lineRule="auto" w:line="276"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Fair Value Measurements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pStyle w:val="TextBody"/>
        <w:bidi w:val="0"/>
        <w:spacing w:lineRule="auto" w:line="288" w:before="180" w:after="283"/>
        <w:jc w:val="both"/>
        <w:rPr/>
      </w:pPr>
      <w:r>
        <w:rPr>
          <w:rFonts w:ascii="Times New Roman;sans-serif" w:hAnsi="Times New Roman;sans-serif"/>
          <w:b w:val="false"/>
          <w:color w:val="000000"/>
          <w:sz w:val="20"/>
        </w:rPr>
        <w:t xml:space="preserve">Refer to </w:t>
      </w:r>
      <w:hyperlink w:anchor="ib7dd323ab1d248519cd6bbc987f2a646_76">
        <w:r>
          <w:rPr>
            <w:rStyle w:val="InternetLink"/>
            <w:rFonts w:ascii="Times New Roman;sans-serif" w:hAnsi="Times New Roman;sans-serif"/>
            <w:b w:val="false"/>
            <w:color w:val="0000FF"/>
            <w:sz w:val="20"/>
            <w:u w:val="single"/>
          </w:rPr>
          <w:t>Note 9 - Fair Value</w:t>
        </w:r>
      </w:hyperlink>
      <w:r>
        <w:rPr>
          <w:color w:val="000000"/>
        </w:rPr>
        <w:t xml:space="preserve"> </w:t>
      </w:r>
      <w:r>
        <w:rPr>
          <w:rFonts w:ascii="Times New Roman;sans-serif" w:hAnsi="Times New Roman;sans-serif"/>
          <w:b w:val="false"/>
          <w:color w:val="000000"/>
          <w:sz w:val="20"/>
        </w:rPr>
        <w:t xml:space="preserve">for further information.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Derivative Financial Instruments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 our derivative financial instruments as either Other assets or Other liabilities on our Balance Sheet at fair value.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 quarterly basis, we also assess whether the derivative we designated in each hedging relationship is expected to be, and has been, highly effective in offsetting changes in the value or cash flows of the hedged transactions. If it is determined that a derivative is not highly effective at hedging the designated exposure, hedge accounting is discontinued and the changes in fair value of the instrument are included in Net income prospectively. If the hedge relationship is terminated, then the value of the derivative previously recorded in Accumulated other comprehensive income (loss) is recognized in earnings when the hedged transactions affect earnings. Changes in the fair value of our derivative instruments that qualify as hedges are reported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785"/>
                <wp:effectExtent l="0" t="0" r="0" b="0"/>
                <wp:wrapNone/>
                <wp:docPr id="22" name="Frame2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component of Accumulated other comprehensive income (loss) in our Balance Sheet with a corresponding change in Unrealized gain (loss) in cash flows hedges within Other comprehensive income on our Statement of Operations.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to mitigate the effects of interest rate volatility, whether from variable rate debt or future forecasted transactions, which could unfavorably impact our future earnings and forecasted cash flows. We do not use derivative instruments for speculative or trading purposes.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Concentrations of Credit Risk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MGM Resorts International (together with, as the context requires, its subsidiaries, “MGM”) and Caesars are the guarantors of all the lease payment obligations of the tenants under the applicable leases of the properties that they each respectively lease from us. Revenue from our lease agreements with MGM represented 38% of our lease revenues for each of the three and nine months ended September 30, 2024, and 39% of our lease revenues for each of the three and nine months ended September 30, 2023. Contractual rent from our lease agreements with MGM represented 36% of our total contractual rent for each of the three and nine months ended September 30, 2024, and 34% and 36% of our total contractual rent for the three and nine months ended September 30, 2023, respectively. Revenue from our lease agreements with Caesars represented 36% of our lease revenues for each of the three and nine months ended September 30, 2024, and 37% of our lease revenues for each of the three and nine months ended September 30, 2023. Contractual rent from our lease agreements with Caesars represented 37% and 38% of our total contractual rent for each of the three and nine months ended September 30, 2024, respectively, and 40% of our total contractual rent for each of the three and nine months ended September 30, 2023.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properties on the Las Vegas Strip generated approximately 48% of our lease revenues for each of the three and nine months ended September 30, 2024, and 49% of our lease revenues for each of the three and nine months ended September 30, 2023. Other than having two tenants from which we derive and will continue to derive a substantial portion of our revenue and our concentration in the Las Vegas market, we do not believe there are any other significant concentrations of credit risk.</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the SEC issued its final climate disclosure rules, which require the disclosure of material climate-related information in annual reports and registration statements, including disclosure of effects of severe weather events and other natural conditions. In April 2024, the SEC voluntarily stayed the effectiveness of the new rules pending related litigation. If the stay is lifted and the effective times are unchanged, certain of the disclosure requirements will begin to apply to our fiscal year beginning January 1, 2025. We are currently evaluating the impact of the final rules on our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(“ASU 2023-09”). ASU 2023-09 requires entities to disclose additional information with respect to the effective tax rate reconciliation and to disclose the disaggregation by jurisdiction of income tax expense and income taxes paid. ASU 2023-09 is effective for fiscal years beginning after December 15, 2024, with early adoption permitted. We are currently evaluating the impact of ASU 2023-09 on our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which provides for additional disclosures as they relate to a company’s segments. Additional requirements per the update include disclosures for significant segment expenses, measures of profit or loss used by the Chief Operating Decision Maker and how these measures are used to allocate resources and assess segment performance. The amendments in this ASU will also apply to entities with a single reportable segment and is effective for all public entities for fiscal years beginning after December 15, 2023 and interim periods within fiscal years beginning after December 15, 2024. We are currently evaluating the impact of ASU 2023-07 on our Financial Statements.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Recent Tax Legislation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Organization for Economic Co-operation and Development (“OECD”) has proposed a global minimum tax of 15% of reported profits (“Pillar 2”) that has been agreed upon in principle by over 140 countries. During 2023, many countries incorporated Pillar 2 model rules into their laws. The model rules provide a framework for applying the minimum tax and some countries have adopted Pillar 2 effective January 1, 2024; however, countries must individually enact Pillar 2, which may result in variation in the application of the model rules and timelines.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785"/>
                <wp:effectExtent l="0" t="0" r="0" b="0"/>
                <wp:wrapNone/>
                <wp:docPr id="23" name="Frame2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evaluated Pillar 2 and we do not expect it to have a material impact on our Financial Statements based upon our current structure and investments. However, there remains some uncertainty as to the final Pillar 2 model rules. We will continue to monitor the United States and global legislative actions related to Pillar 2 for potential impacts.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3 — Real Estate Transactions </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2024 Activity</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Property Acquisitions and Investments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Venetian Capital Investment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 2024, we entered into agreements to fund up to $700.0 million of capital investment into the Venetian Resort for extensive reinvestment projects through our Partner Property Growth Fund strategy (the “Venetian Capital Investment”). The Venetian Capital Investment will fund several projects, including hotel room product renovations, gaming floor optimization and entertainment and convention center enhancements, among others, seeking to improve the overall guest experience and enhance the value of the property. The invested capital will earn a return through the addition of incremental rent to the lease agreement for the Venetian Resort (as amended in connection with the Venetian Capital Investment, the “Venetian Lease”).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up to $700.0 million of funding through the Venetian Capital Investment is comprised of $400.0 million that has already been funded and an incremental $300.0 million that the Venetian Resort will have the option, but not the obligation, to draw in whole or in part until November 1, 2026. The initial $400.0 million investment was funded based on a fixed schedule: $100.0 million was funded in the second quarter of 2024, $150.0 million was funded in the third quarter of 2024 and $150.0 million was funded on October 1, 2024. The previous Property Growth Fund Agreement entered into with the tenant in connection with the Venetian Resort acquisition in 2021 providing for up to $1.0 billion of future development and construction project funding was terminated on May 1, 2024 concurrently with the entry into the agreement to fund the Venetian Capital Investment.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Venetian Capital Investment, annual rent under the Venetian Lease will increase commencing on the first day of the quarter immediately following each capital funding at a 7.25% yield (the “Incremental Venetian Rent”). In addition to any increase pursuant to the Incremental Venetian Rent, annual rent under the Venetian Lease will begin escalating annually at 2.0% on March 1, 2029 and, commencing on March 1, 2031, will begin escalating on the same terms as the rest of the rent payable under the Venetian Lease with annual escalation equal to the greater of 2.0% or CPI, capped at 3.0%. On July 1, 2024, the aggregate annual rent under the Venetian Lease increased by $7.3 million as a result of the first $100.0 million funding. Subsequent to quarter end, on October 1, 2024, the aggregate annual rent under the Venetian Lease increased by $10.9 million as a result of the additional $150.0 million funding that occurred during the third quarter.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determined that the amendment to the Venetian Lease in connection with the Venetian Capital Investment represented a lease modification under ASC 842 pursuant to which we were required to reassess the lease classification. Upon reassessment, we determined that the Venetian Lease continues to meet the definition of a sales-type lease. Accordingly, since the classification remains unchanged, we modified the future minimum lease cash flows to reflect the amendment and prospectively adjusted the discount rate used to recognize income, incorporating the impact of the additional funding and related incremental rent in connection with the Venetian Capital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785"/>
                <wp:effectExtent l="0" t="0" r="0" b="0"/>
                <wp:wrapNone/>
                <wp:docPr id="24" name="Frame2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Real Estate Debt Originations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2024 real estate debt origination activity to date: </w:t>
      </w:r>
    </w:p>
    <w:tbl>
      <w:tblPr>
        <w:tblW w:w="10205" w:type="dxa"/>
        <w:jc w:val="left"/>
        <w:tblInd w:w="0" w:type="dxa"/>
        <w:tblLayout w:type="fixed"/>
        <w:tblCellMar>
          <w:top w:w="28" w:type="dxa"/>
          <w:left w:w="28" w:type="dxa"/>
          <w:bottom w:w="28" w:type="dxa"/>
          <w:right w:w="28" w:type="dxa"/>
        </w:tblCellMar>
      </w:tblPr>
      <w:tblGrid>
        <w:gridCol w:w="834"/>
        <w:gridCol w:w="537"/>
        <w:gridCol w:w="506"/>
        <w:gridCol w:w="109"/>
        <w:gridCol w:w="109"/>
        <w:gridCol w:w="109"/>
        <w:gridCol w:w="291"/>
        <w:gridCol w:w="1143"/>
        <w:gridCol w:w="150"/>
        <w:gridCol w:w="109"/>
        <w:gridCol w:w="109"/>
        <w:gridCol w:w="109"/>
        <w:gridCol w:w="109"/>
        <w:gridCol w:w="109"/>
        <w:gridCol w:w="444"/>
        <w:gridCol w:w="425"/>
        <w:gridCol w:w="427"/>
        <w:gridCol w:w="109"/>
        <w:gridCol w:w="109"/>
        <w:gridCol w:w="109"/>
        <w:gridCol w:w="1430"/>
        <w:gridCol w:w="1166"/>
        <w:gridCol w:w="1653"/>
      </w:tblGrid>
      <w:tr>
        <w:trPr/>
        <w:tc>
          <w:tcPr>
            <w:tcW w:w="8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Investment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Collateral</w:t>
            </w:r>
          </w:p>
        </w:tc>
      </w:tr>
      <w:tr>
        <w:trPr/>
        <w:tc>
          <w:tcPr>
            <w:tcW w:w="1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Great Wolf Mezzanine Loan </w:t>
            </w:r>
            <w:r>
              <w:rPr>
                <w:rFonts w:ascii="Times New Roman;sans-serif" w:hAnsi="Times New Roman;sans-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of nine Great Wolf Lodge resorts across the United States</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Chelsea Piers One Madison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equipment of the fitness club at the One Madison building in New York, New York, under development</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Homefield Margaritaville Loan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Margaritaville Resort in Kansas City, Kansas, under development</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365,000 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5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In connection with the Great Wolf Mezzanine Loan, the $79.5 million mezzanine loan for Great Wolf Lodge Maryland was repaid in full.</w:t>
      </w:r>
    </w:p>
    <w:p>
      <w:pPr>
        <w:pStyle w:val="TextBody"/>
        <w:bidi w:val="0"/>
        <w:spacing w:lineRule="auto" w:line="25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Simultaneous with entering into the loan agreement, we entered into a call right agreement that provides us with a call option on (i) the Margaritaville Resort, (ii) the new Homefield Kansas City youth sports training facility (“Homefield”), (iii) the new Homefield baseball center, and (iv) the existing Homefield youth sports complex in Olathe, Kansas. We also received a right of first refusal to acquire the real estate of any future Homefield property, should Homefield elect to monetize such assets in a sale-leaseback transaction. If the call option is exercised, all of the properties, including the Margaritaville Resort, will be subject to a single long-term triple-net master lease with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4 — Real Estate Portfolio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our real estate portfolio consisted of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Investments in leases – sales-type, representing our investment in 26 casino assets leased on a triple-net basis to our tenants under ten separate lease agreements;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Investments in leases – financing receivables, representing our investment in 28 casino assets and 39 other experiential properties leased on a triple-net basis to our tenants under ten separate lease agreements;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Investments in loans and securities, representing our 16 debt investments in senior secured and mezzanine loans, preferred equity and the senior secured notes;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Land, representing our investment in certain underdeveloped or undeveloped land adjacent to the Las Vegas strip and non-operating, vacant land parcels.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balances of our real estate portfolio as of September 30, 2024 and December 31, 2023:</w:t>
      </w:r>
    </w:p>
    <w:tbl>
      <w:tblPr>
        <w:tblW w:w="7840" w:type="dxa"/>
        <w:jc w:val="left"/>
        <w:tblInd w:w="0" w:type="dxa"/>
        <w:tblLayout w:type="fixed"/>
        <w:tblCellMar>
          <w:top w:w="28" w:type="dxa"/>
          <w:left w:w="28" w:type="dxa"/>
          <w:bottom w:w="28" w:type="dxa"/>
          <w:right w:w="28" w:type="dxa"/>
        </w:tblCellMar>
      </w:tblPr>
      <w:tblGrid>
        <w:gridCol w:w="1565"/>
        <w:gridCol w:w="1375"/>
        <w:gridCol w:w="1379"/>
        <w:gridCol w:w="241"/>
        <w:gridCol w:w="1239"/>
        <w:gridCol w:w="124"/>
        <w:gridCol w:w="109"/>
        <w:gridCol w:w="109"/>
        <w:gridCol w:w="109"/>
        <w:gridCol w:w="232"/>
        <w:gridCol w:w="1189"/>
        <w:gridCol w:w="169"/>
      </w:tblGrid>
      <w:tr>
        <w:trPr/>
        <w:tc>
          <w:tcPr>
            <w:tcW w:w="15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sales-type, net </w:t>
            </w:r>
            <w:r>
              <w:rPr>
                <w:rFonts w:ascii="Times New Roman;sans-serif" w:hAnsi="Times New Roman;sans-serif"/>
                <w:b w:val="false"/>
                <w:i/>
                <w:color w:val="000000"/>
                <w:sz w:val="13"/>
              </w:rPr>
              <w:t>(1)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23,429,732 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23,015,931 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financing receivables, net </w:t>
            </w:r>
            <w:r>
              <w:rPr>
                <w:rFonts w:ascii="Times New Roman;sans-serif" w:hAnsi="Times New Roman;sans-serif"/>
                <w:b w:val="false"/>
                <w:i/>
                <w:color w:val="000000"/>
                <w:sz w:val="13"/>
              </w:rPr>
              <w:t>(1)</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18,410,105 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18,211,102 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in leases, net</w:t>
            </w:r>
          </w:p>
        </w:tc>
        <w:tc>
          <w:tcPr>
            <w:tcW w:w="1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41,839,837 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41,227,033 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 net</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1,550,680 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1,144,177 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portfolio</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43,541,244 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42,521,937 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At lease inception (or upon modification), we determine the estimated residual values of the leased property (not guaranteed) under the respective lease agreements, which has a material impact on the determination of the rate implicit in the lease and the lease classification. As of September 30, 2024 and December 31, 2023, the estimated residual values of the leased properties under our lease agreements were $16.5 billion and $15.9 billion,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785"/>
                <wp:effectExtent l="0" t="0" r="0" b="0"/>
                <wp:wrapNone/>
                <wp:docPr id="25" name="Frame2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Investments in Leases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income from sales-type leases and lease financing receivables:</w:t>
      </w:r>
    </w:p>
    <w:tbl>
      <w:tblPr>
        <w:tblW w:w="10205" w:type="dxa"/>
        <w:jc w:val="left"/>
        <w:tblInd w:w="0" w:type="dxa"/>
        <w:tblLayout w:type="fixed"/>
        <w:tblCellMar>
          <w:top w:w="28" w:type="dxa"/>
          <w:left w:w="28" w:type="dxa"/>
          <w:bottom w:w="28" w:type="dxa"/>
          <w:right w:w="28" w:type="dxa"/>
        </w:tblCellMar>
      </w:tblPr>
      <w:tblGrid>
        <w:gridCol w:w="1595"/>
        <w:gridCol w:w="1347"/>
        <w:gridCol w:w="1351"/>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595"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 – fixed 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1,410,692 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Income from sales-type leases – contingent rent </w:t>
            </w:r>
            <w:r>
              <w:rPr>
                <w:rFonts w:ascii="Times New Roman;sans-serif" w:hAnsi="Times New Roman;sans-serif"/>
                <w:b w:val="false"/>
                <w:i/>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 fixed 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1,062,508 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Income from lease financing receivables – contingent rent</w:t>
            </w:r>
            <w:r>
              <w:rPr>
                <w:color w:val="000000"/>
              </w:rPr>
              <w:t xml:space="preserve"> </w:t>
            </w:r>
            <w:r>
              <w:rPr>
                <w:rFonts w:ascii="Times New Roman;sans-serif" w:hAnsi="Times New Roman;sans-serif"/>
                <w:b w:val="false"/>
                <w:i/>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2,544,001 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Non-cash adjustment </w:t>
            </w:r>
            <w:r>
              <w:rPr>
                <w:rFonts w:ascii="Times New Roman;sans-serif" w:hAnsi="Times New Roman;sans-serif"/>
                <w:b w:val="false"/>
                <w:i/>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contractual lease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2,286,040 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2,160,266 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At lease inception (or upon modification), we determine the minimum lease payments under ASC 842, which exclude amounts determined to be contingent rent. Contingent rent is generally amounts in excess of specified floors or the variable rent portion of our leases. The minimum lease payments are recognized on an effective interest basis at a constant rate of return over the life of the lease and the contingent rent portion of the lease payments are recognized as earned, both in accordance with ASC 842.</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Amounts represent the non-cash adjustment to the minimum lease payments from sales-type leases and lease financing receivables in order to recognize income on an effective interest basis at a constant rate of return over the term of the leases.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2024, minimum lease payments owed to us for each of the five succeeding years and thereafter under sales-type leases and our leases accounted for as financing receivables, are as follows:</w:t>
      </w:r>
    </w:p>
    <w:tbl>
      <w:tblPr>
        <w:tblW w:w="8620" w:type="dxa"/>
        <w:jc w:val="left"/>
        <w:tblInd w:w="0" w:type="dxa"/>
        <w:tblLayout w:type="fixed"/>
        <w:tblCellMar>
          <w:top w:w="28" w:type="dxa"/>
          <w:left w:w="28" w:type="dxa"/>
          <w:bottom w:w="28" w:type="dxa"/>
          <w:right w:w="28" w:type="dxa"/>
        </w:tblCellMar>
      </w:tblPr>
      <w:tblGrid>
        <w:gridCol w:w="967"/>
        <w:gridCol w:w="850"/>
        <w:gridCol w:w="852"/>
        <w:gridCol w:w="109"/>
        <w:gridCol w:w="109"/>
        <w:gridCol w:w="109"/>
        <w:gridCol w:w="211"/>
        <w:gridCol w:w="1081"/>
        <w:gridCol w:w="109"/>
        <w:gridCol w:w="109"/>
        <w:gridCol w:w="109"/>
        <w:gridCol w:w="109"/>
        <w:gridCol w:w="109"/>
        <w:gridCol w:w="109"/>
        <w:gridCol w:w="271"/>
        <w:gridCol w:w="1389"/>
        <w:gridCol w:w="140"/>
        <w:gridCol w:w="109"/>
        <w:gridCol w:w="109"/>
        <w:gridCol w:w="109"/>
        <w:gridCol w:w="211"/>
        <w:gridCol w:w="1186"/>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6" w:type="dxa"/>
            <w:gridSpan w:val="1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Minimum Lease Payments </w:t>
            </w:r>
            <w:r>
              <w:rPr>
                <w:rFonts w:ascii="Times New Roman;sans-serif" w:hAnsi="Times New Roman;sans-serif"/>
                <w:b/>
                <w:i/>
                <w:color w:val="000000"/>
                <w:sz w:val="12"/>
              </w:rPr>
              <w:t>(1) (2)</w:t>
            </w:r>
          </w:p>
        </w:tc>
        <w:tc>
          <w:tcPr>
            <w:tcW w:w="1878" w:type="dxa"/>
            <w:gridSpan w:val="6"/>
            <w:tcBorders/>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Investments in Leases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6"/>
            <w:tcBorders/>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Sales-Type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Financing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310,046 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1,255,751 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1,279,029 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1,302,875 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1,327,438 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1,352,480 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79,371,651 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88,477,724 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167,849,375 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88,836,173 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95,305,343 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184,141,516 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Weighted Average Lease Term </w:t>
            </w:r>
            <w:r>
              <w:rPr>
                <w:rFonts w:ascii="Times New Roman;sans-serif" w:hAnsi="Times New Roman;sans-serif"/>
                <w:b/>
                <w:i/>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years</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Minimum lease payments do not include contingent rent, as discussed above, that may be received under the lease agreements.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The minimum lease payments and weighted average remaining lease term includes the non-cancelable lease term and any tenant renewal options that we determined were reasonably assured, consistent with our conclusions under ASC 842 and ASC 310.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785"/>
                <wp:effectExtent l="0" t="0" r="0" b="0"/>
                <wp:wrapNone/>
                <wp:docPr id="26" name="Frame2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Lease Provisions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we owned 93 assets leased under 18 separate lease agreements with our tenants, certain of which are master lease agreements governing multiple properties and certain of which are for single assets. Our lease agreements are generally long-term in nature with initial terms ranging from 15 to 32 years and are structured with several tenant renewal options extending the term of the lease for another 5 to 30 years. All of our lease agreements provide for annual base rent escalations, which may be fixed or variable over the life of the lease. The rent escalation provisions range from providing for a flat annual increase of 1% to 2% to an annual increase of 1% in the earlier years and the greater of 2% or CPI in later years, which may be subject to a maximum CPI-based cap with respect to each annual rent increase. Additionally, certain of our lease agreements provide for a variable rent component in which a portion of the annual rent, generally ranging from 20% to 30%, is subject to adjustment based on the revenues of the underlying asset in specified periods.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material lease provisions of our leases with Caesars and MGM, our two most significant tenants (each, as may be amended from time to time, and each individually, as defined in the respective header):</w:t>
      </w:r>
    </w:p>
    <w:tbl>
      <w:tblPr>
        <w:tblW w:w="10205" w:type="dxa"/>
        <w:jc w:val="left"/>
        <w:tblInd w:w="0" w:type="dxa"/>
        <w:tblLayout w:type="fixed"/>
        <w:tblCellMar>
          <w:top w:w="28" w:type="dxa"/>
          <w:left w:w="28" w:type="dxa"/>
          <w:bottom w:w="28" w:type="dxa"/>
          <w:right w:w="28" w:type="dxa"/>
        </w:tblCellMar>
      </w:tblPr>
      <w:tblGrid>
        <w:gridCol w:w="637"/>
        <w:gridCol w:w="415"/>
        <w:gridCol w:w="417"/>
        <w:gridCol w:w="109"/>
        <w:gridCol w:w="109"/>
        <w:gridCol w:w="109"/>
        <w:gridCol w:w="746"/>
        <w:gridCol w:w="557"/>
        <w:gridCol w:w="560"/>
        <w:gridCol w:w="109"/>
        <w:gridCol w:w="109"/>
        <w:gridCol w:w="109"/>
        <w:gridCol w:w="592"/>
        <w:gridCol w:w="509"/>
        <w:gridCol w:w="511"/>
        <w:gridCol w:w="109"/>
        <w:gridCol w:w="109"/>
        <w:gridCol w:w="109"/>
        <w:gridCol w:w="627"/>
        <w:gridCol w:w="497"/>
        <w:gridCol w:w="499"/>
        <w:gridCol w:w="109"/>
        <w:gridCol w:w="109"/>
        <w:gridCol w:w="109"/>
        <w:gridCol w:w="109"/>
        <w:gridCol w:w="109"/>
        <w:gridCol w:w="109"/>
        <w:gridCol w:w="109"/>
        <w:gridCol w:w="552"/>
        <w:gridCol w:w="552"/>
        <w:gridCol w:w="790"/>
      </w:tblGrid>
      <w:tr>
        <w:trPr/>
        <w:tc>
          <w:tcPr>
            <w:tcW w:w="63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MGM Master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Regional Master Lease and Joliet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Caesars Las Vegas </w:t>
              <w:br/>
              <w:t>Master Lease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MGM Grand/</w:t>
              <w:br/>
              <w:t>Mandalay Bay Lease</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Lease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8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years</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term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4/30/2047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2/28/2050</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Renewal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 ten-year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Four, five-year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Four, five-year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Two, ten-year terms</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5/1/24-4/30/25 </w:t>
              <w:br/>
              <w:t>(Lease Year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11/1/23 – 10/31/24</w:t>
              <w:br/>
              <w:t>(Lease Year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11/1/23 – 10/31/24 </w:t>
              <w:br/>
              <w:t>(Lease Year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3/1/24 – 2/29/25 (Lease Year 5)</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annual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$759,492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$728,407 </w:t>
            </w:r>
            <w:r>
              <w:rPr>
                <w:rFonts w:ascii="Times New Roman;sans-serif" w:hAnsi="Times New Roman;sans-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$469,219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$316,070 </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Annual escalator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Lease years 2-10 </w:t>
            </w:r>
            <w:r>
              <w:rPr>
                <w:color w:val="000000"/>
              </w:rPr>
              <w:t xml:space="preserve">– </w:t>
            </w:r>
            <w:r>
              <w:rPr>
                <w:rFonts w:ascii="Times New Roman;sans-serif" w:hAnsi="Times New Roman;sans-serif"/>
                <w:b w:val="false"/>
                <w:color w:val="000000"/>
                <w:sz w:val="20"/>
              </w:rPr>
              <w:t>2%</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years 11-end of term – &gt; 2% / change in CPI (capped at 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2-5 – 1.5%</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6-end of term – &gt; 2.0% / change in CPI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&gt; 2% / change in CPI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2-15 – 2%</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16-end of term – &gt;2% / change in CPI (capped at 3%)</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Variable rent adjustment </w:t>
            </w:r>
            <w:r>
              <w:rPr>
                <w:rFonts w:ascii="Times New Roman;sans-serif" w:hAnsi="Times New Roman;sans-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Year 8</w:t>
            </w:r>
            <w:r>
              <w:rPr>
                <w:rFonts w:ascii="Times New Roman;sans-serif" w:hAnsi="Times New Roman;sans-serif"/>
                <w:b w:val="false"/>
                <w:color w:val="000000"/>
                <w:sz w:val="20"/>
              </w:rPr>
              <w:t>: 70% base rent / 30% variable rent</w:t>
            </w:r>
          </w:p>
          <w:p>
            <w:pPr>
              <w:pStyle w:val="TableContents"/>
              <w:bidi w:val="0"/>
              <w:spacing w:lineRule="auto" w:line="240" w:before="0" w:after="0"/>
              <w:jc w:val="left"/>
              <w:rPr/>
            </w:pPr>
            <w:r>
              <w:rPr>
                <w:rFonts w:ascii="Times New Roman;sans-serif" w:hAnsi="Times New Roman;sans-serif"/>
                <w:b/>
                <w:color w:val="000000"/>
                <w:sz w:val="20"/>
              </w:rPr>
              <w:t>Years 11 &amp; 16</w:t>
            </w:r>
            <w:r>
              <w:rPr>
                <w:rFonts w:ascii="Times New Roman;sans-serif" w:hAnsi="Times New Roman;sans-serif"/>
                <w:b w:val="false"/>
                <w:color w:val="000000"/>
                <w:sz w:val="20"/>
              </w:rPr>
              <w:t>: 80% base rent / 20% variable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Years 8, 11 &amp; 16</w:t>
            </w:r>
            <w:r>
              <w:rPr>
                <w:rFonts w:ascii="Times New Roman;sans-serif" w:hAnsi="Times New Roman;sans-serif"/>
                <w:b w:val="false"/>
                <w:color w:val="000000"/>
                <w:sz w:val="20"/>
              </w:rPr>
              <w:t>: 80% base rent / 20% variable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rent adjustment calculation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4% of revenue increase/decrease:</w:t>
            </w:r>
          </w:p>
          <w:p>
            <w:pPr>
              <w:pStyle w:val="TableContents"/>
              <w:bidi w:val="0"/>
              <w:spacing w:lineRule="auto" w:line="240" w:before="0" w:after="0"/>
              <w:jc w:val="left"/>
              <w:rPr/>
            </w:pPr>
            <w:r>
              <w:rPr>
                <w:rFonts w:ascii="Times New Roman;sans-serif" w:hAnsi="Times New Roman;sans-serif"/>
                <w:b/>
                <w:color w:val="000000"/>
                <w:sz w:val="20"/>
              </w:rPr>
              <w:t>Year 8</w:t>
            </w:r>
            <w:r>
              <w:rPr>
                <w:rFonts w:ascii="Times New Roman;sans-serif" w:hAnsi="Times New Roman;sans-serif"/>
                <w:b w:val="false"/>
                <w:color w:val="000000"/>
                <w:sz w:val="20"/>
              </w:rPr>
              <w:t>: Avg. of years 5-7 less avg. of years 0-2</w:t>
            </w:r>
          </w:p>
          <w:p>
            <w:pPr>
              <w:pStyle w:val="TableContents"/>
              <w:bidi w:val="0"/>
              <w:spacing w:lineRule="auto" w:line="240" w:before="0" w:after="0"/>
              <w:jc w:val="left"/>
              <w:rPr/>
            </w:pPr>
            <w:r>
              <w:rPr>
                <w:rFonts w:ascii="Times New Roman;sans-serif" w:hAnsi="Times New Roman;sans-serif"/>
                <w:b/>
                <w:color w:val="000000"/>
                <w:sz w:val="20"/>
              </w:rPr>
              <w:t>Year 11</w:t>
            </w:r>
            <w:r>
              <w:rPr>
                <w:rFonts w:ascii="Times New Roman;sans-serif" w:hAnsi="Times New Roman;sans-serif"/>
                <w:b w:val="false"/>
                <w:color w:val="000000"/>
                <w:sz w:val="20"/>
              </w:rPr>
              <w:t>: Avg. of years 8-10 less avg. of years 5-7</w:t>
            </w:r>
          </w:p>
          <w:p>
            <w:pPr>
              <w:pStyle w:val="TableContents"/>
              <w:bidi w:val="0"/>
              <w:spacing w:lineRule="auto" w:line="240" w:before="0" w:after="0"/>
              <w:jc w:val="left"/>
              <w:rPr/>
            </w:pPr>
            <w:r>
              <w:rPr>
                <w:rFonts w:ascii="Times New Roman;sans-serif" w:hAnsi="Times New Roman;sans-serif"/>
                <w:b/>
                <w:color w:val="000000"/>
                <w:sz w:val="20"/>
              </w:rPr>
              <w:t>Year 16</w:t>
            </w:r>
            <w:r>
              <w:rPr>
                <w:rFonts w:ascii="Times New Roman;sans-serif" w:hAnsi="Times New Roman;sans-serif"/>
                <w:b w:val="false"/>
                <w:color w:val="000000"/>
                <w:sz w:val="20"/>
              </w:rPr>
              <w:t>: Avg. of years 13-15 less avg. of years 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4% of revenue increase/decrease:</w:t>
            </w:r>
          </w:p>
          <w:p>
            <w:pPr>
              <w:pStyle w:val="TableContents"/>
              <w:bidi w:val="0"/>
              <w:spacing w:lineRule="auto" w:line="240" w:before="0" w:after="0"/>
              <w:jc w:val="left"/>
              <w:rPr/>
            </w:pPr>
            <w:r>
              <w:rPr>
                <w:rFonts w:ascii="Times New Roman;sans-serif" w:hAnsi="Times New Roman;sans-serif"/>
                <w:b/>
                <w:color w:val="000000"/>
                <w:sz w:val="20"/>
              </w:rPr>
              <w:t>Year 8</w:t>
            </w:r>
            <w:r>
              <w:rPr>
                <w:rFonts w:ascii="Times New Roman;sans-serif" w:hAnsi="Times New Roman;sans-serif"/>
                <w:b w:val="false"/>
                <w:color w:val="000000"/>
                <w:sz w:val="20"/>
              </w:rPr>
              <w:t>: Avg. of years 5-7 less avg. of years 0-2</w:t>
            </w:r>
          </w:p>
          <w:p>
            <w:pPr>
              <w:pStyle w:val="TableContents"/>
              <w:bidi w:val="0"/>
              <w:spacing w:lineRule="auto" w:line="240" w:before="0" w:after="0"/>
              <w:jc w:val="left"/>
              <w:rPr/>
            </w:pPr>
            <w:r>
              <w:rPr>
                <w:rFonts w:ascii="Times New Roman;sans-serif" w:hAnsi="Times New Roman;sans-serif"/>
                <w:b/>
                <w:color w:val="000000"/>
                <w:sz w:val="20"/>
              </w:rPr>
              <w:t>Year 11</w:t>
            </w:r>
            <w:r>
              <w:rPr>
                <w:rFonts w:ascii="Times New Roman;sans-serif" w:hAnsi="Times New Roman;sans-serif"/>
                <w:b w:val="false"/>
                <w:color w:val="000000"/>
                <w:sz w:val="20"/>
              </w:rPr>
              <w:t>: Avg. of years 8-10 less avg. of years 5-7</w:t>
            </w:r>
          </w:p>
          <w:p>
            <w:pPr>
              <w:pStyle w:val="TableContents"/>
              <w:bidi w:val="0"/>
              <w:spacing w:lineRule="auto" w:line="240" w:before="0" w:after="0"/>
              <w:jc w:val="left"/>
              <w:rPr/>
            </w:pPr>
            <w:r>
              <w:rPr>
                <w:rFonts w:ascii="Times New Roman;sans-serif" w:hAnsi="Times New Roman;sans-serif"/>
                <w:b/>
                <w:color w:val="000000"/>
                <w:sz w:val="20"/>
              </w:rPr>
              <w:t>Year 16</w:t>
            </w:r>
            <w:r>
              <w:rPr>
                <w:rFonts w:ascii="Times New Roman;sans-serif" w:hAnsi="Times New Roman;sans-serif"/>
                <w:b w:val="false"/>
                <w:color w:val="000000"/>
                <w:sz w:val="20"/>
              </w:rPr>
              <w:t>: Avg. of years 13-15 less avg. of years 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5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Current annual rent with respect to the Joliet Lease is presented prior to accounting for the non-controlling interest, or rent payable, to the 20% third-party ownership of Harrah’s Joliet LandCo LLC. After adjusting for the 20% non-controlling interest, combined current annual rent under the Caesars Regional Master Lease and Joliet Lease is $719.0 million. </w:t>
      </w:r>
    </w:p>
    <w:p>
      <w:pPr>
        <w:pStyle w:val="TextBody"/>
        <w:bidi w:val="0"/>
        <w:spacing w:lineRule="auto" w:line="25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Any amounts representing rents in excess of the CPI floors specified above are considered contingent rent in accordance with GAAP.</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(3) Variable rent is not subject to the annual escalator.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785"/>
                <wp:effectExtent l="0" t="0" r="0" b="0"/>
                <wp:wrapNone/>
                <wp:docPr id="27" name="Frame2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Capital Expenditure Requirements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 The following table summarizes the capital expenditure requirements of our tenants under their respective lease agreements:</w:t>
      </w:r>
    </w:p>
    <w:tbl>
      <w:tblPr>
        <w:tblW w:w="10205" w:type="dxa"/>
        <w:jc w:val="left"/>
        <w:tblInd w:w="0" w:type="dxa"/>
        <w:tblLayout w:type="fixed"/>
        <w:tblCellMar>
          <w:top w:w="28" w:type="dxa"/>
          <w:left w:w="28" w:type="dxa"/>
          <w:bottom w:w="28" w:type="dxa"/>
          <w:right w:w="28" w:type="dxa"/>
        </w:tblCellMar>
      </w:tblPr>
      <w:tblGrid>
        <w:gridCol w:w="494"/>
        <w:gridCol w:w="434"/>
        <w:gridCol w:w="439"/>
        <w:gridCol w:w="109"/>
        <w:gridCol w:w="109"/>
        <w:gridCol w:w="109"/>
        <w:gridCol w:w="503"/>
        <w:gridCol w:w="503"/>
        <w:gridCol w:w="505"/>
        <w:gridCol w:w="109"/>
        <w:gridCol w:w="109"/>
        <w:gridCol w:w="109"/>
        <w:gridCol w:w="431"/>
        <w:gridCol w:w="394"/>
        <w:gridCol w:w="396"/>
        <w:gridCol w:w="109"/>
        <w:gridCol w:w="109"/>
        <w:gridCol w:w="109"/>
        <w:gridCol w:w="662"/>
        <w:gridCol w:w="577"/>
        <w:gridCol w:w="580"/>
        <w:gridCol w:w="109"/>
        <w:gridCol w:w="109"/>
        <w:gridCol w:w="109"/>
        <w:gridCol w:w="109"/>
        <w:gridCol w:w="109"/>
        <w:gridCol w:w="555"/>
        <w:gridCol w:w="507"/>
        <w:gridCol w:w="509"/>
        <w:gridCol w:w="364"/>
        <w:gridCol w:w="339"/>
        <w:gridCol w:w="487"/>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Caesars Regional Master Lease and Joliet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Caesars Las Vegas Master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MGM Grand/ Mandalay Bay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Venetian Lease</w:t>
            </w:r>
          </w:p>
        </w:tc>
        <w:tc>
          <w:tcPr>
            <w:tcW w:w="11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All Other Gaming Leases </w:t>
            </w:r>
            <w:r>
              <w:rPr>
                <w:rFonts w:ascii="Times New Roman;sans-serif" w:hAnsi="Times New Roman;sans-serif"/>
                <w:b/>
                <w:i/>
                <w:color w:val="000000"/>
                <w:sz w:val="13"/>
              </w:rPr>
              <w:t>(1)</w:t>
            </w:r>
          </w:p>
        </w:tc>
      </w:tr>
      <w:tr>
        <w:trPr/>
        <w:tc>
          <w:tcPr>
            <w:tcW w:w="13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Yearly minimum expenditure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1% of net revenues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1% of net revenues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 of net revenues based on 5-year rolling test, 1.5% monthly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of net revenues based on rolling three-year basis</w:t>
            </w:r>
          </w:p>
        </w:tc>
        <w:tc>
          <w:tcPr>
            <w:tcW w:w="1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of net revenues</w:t>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Rolling three-year minimum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$286 million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$84 million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Represents the tenants under our other gaming lease agreements not specifically outlined in the table, as specified in the respective lease agreements.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The leases with Caesars require a $107.5 million floor on annual capital expenditures for Caesars Palace Las Vegas, Harrah’s Joliet and the Caesars Regional Master Lease properties in the aggregate. Additionally, annual building &amp; improvement capital improvements must be equal to or greater than 1% of prior year net revenues.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(3) Certain tenants under our leases with Caesars, as applicable, are required to spend $380.3 million on capital expenditures (excluding gaming equipment) over a rolling three-year period, with $286.0 million allocated to the regional assets, $84.0 million allocated to Caesars Palace Las Vegas and the remaining balance of $10.3 million to facilities (other than the Harrah’s Las Vegas Facility) covered by any Caesars lease in such proportion as such tenants may elect. Additionally, the tenants under the Caesars Regional Master Lease and Joliet Lease are required to expend a minimum of $531.9 million on capital expenditures (including gaming equipment) across certain of its affiliates and other assets, together with the $380.3 million requirement.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Investments in Loans and Securities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investments in loans and securities as of September 30, 2024 and December 31, 2023:</w:t>
      </w:r>
    </w:p>
    <w:tbl>
      <w:tblPr>
        <w:tblW w:w="10205" w:type="dxa"/>
        <w:jc w:val="left"/>
        <w:tblInd w:w="0" w:type="dxa"/>
        <w:tblLayout w:type="fixed"/>
        <w:tblCellMar>
          <w:top w:w="28" w:type="dxa"/>
          <w:left w:w="28" w:type="dxa"/>
          <w:bottom w:w="28" w:type="dxa"/>
          <w:right w:w="28" w:type="dxa"/>
        </w:tblCellMar>
      </w:tblPr>
      <w:tblGrid>
        <w:gridCol w:w="124"/>
        <w:gridCol w:w="109"/>
        <w:gridCol w:w="596"/>
        <w:gridCol w:w="471"/>
        <w:gridCol w:w="461"/>
        <w:gridCol w:w="109"/>
        <w:gridCol w:w="109"/>
        <w:gridCol w:w="109"/>
        <w:gridCol w:w="216"/>
        <w:gridCol w:w="1001"/>
        <w:gridCol w:w="111"/>
        <w:gridCol w:w="109"/>
        <w:gridCol w:w="109"/>
        <w:gridCol w:w="109"/>
        <w:gridCol w:w="218"/>
        <w:gridCol w:w="1011"/>
        <w:gridCol w:w="112"/>
        <w:gridCol w:w="109"/>
        <w:gridCol w:w="109"/>
        <w:gridCol w:w="109"/>
        <w:gridCol w:w="283"/>
        <w:gridCol w:w="1111"/>
        <w:gridCol w:w="147"/>
        <w:gridCol w:w="109"/>
        <w:gridCol w:w="109"/>
        <w:gridCol w:w="109"/>
        <w:gridCol w:w="391"/>
        <w:gridCol w:w="286"/>
        <w:gridCol w:w="715"/>
        <w:gridCol w:w="109"/>
        <w:gridCol w:w="109"/>
        <w:gridCol w:w="109"/>
        <w:gridCol w:w="349"/>
        <w:gridCol w:w="349"/>
        <w:gridCol w:w="5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7"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Carrying Value </w:t>
            </w:r>
            <w:r>
              <w:rPr>
                <w:rFonts w:ascii="Times New Roman;sans-serif" w:hAnsi="Times New Roman;sans-serif"/>
                <w:b/>
                <w:i/>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Future Funding Commitments </w:t>
            </w:r>
            <w:r>
              <w:rPr>
                <w:rFonts w:ascii="Times New Roman;sans-serif" w:hAnsi="Times New Roman;sans-serif"/>
                <w:b/>
                <w:i/>
                <w:color w:val="000000"/>
                <w:sz w:val="12"/>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Interest Rate </w:t>
            </w:r>
            <w:r>
              <w:rPr>
                <w:rFonts w:ascii="Times New Roman;sans-serif" w:hAnsi="Times New Roman;sans-serif"/>
                <w:b/>
                <w:i/>
                <w:color w:val="000000"/>
                <w:sz w:val="12"/>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Term </w:t>
            </w:r>
            <w:r>
              <w:rPr>
                <w:rFonts w:ascii="Times New Roman;sans-serif" w:hAnsi="Times New Roman;sans-serif"/>
                <w:b/>
                <w:i/>
                <w:color w:val="000000"/>
                <w:sz w:val="12"/>
              </w:rPr>
              <w:t>(4)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Senior Secured Notes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81,669 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579,700 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406,451 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Loans and Preferred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900,777 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889,311 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247,432 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1,574,034 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1,550,680 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653,883 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years</w:t>
            </w:r>
          </w:p>
        </w:tc>
      </w:tr>
    </w:tbl>
    <w:tbl>
      <w:tblPr>
        <w:tblW w:w="10205" w:type="dxa"/>
        <w:jc w:val="left"/>
        <w:tblInd w:w="0" w:type="dxa"/>
        <w:tblLayout w:type="fixed"/>
        <w:tblCellMar>
          <w:top w:w="28" w:type="dxa"/>
          <w:left w:w="28" w:type="dxa"/>
          <w:bottom w:w="28" w:type="dxa"/>
          <w:right w:w="28" w:type="dxa"/>
        </w:tblCellMar>
      </w:tblPr>
      <w:tblGrid>
        <w:gridCol w:w="124"/>
        <w:gridCol w:w="109"/>
        <w:gridCol w:w="596"/>
        <w:gridCol w:w="471"/>
        <w:gridCol w:w="461"/>
        <w:gridCol w:w="109"/>
        <w:gridCol w:w="109"/>
        <w:gridCol w:w="109"/>
        <w:gridCol w:w="216"/>
        <w:gridCol w:w="1001"/>
        <w:gridCol w:w="111"/>
        <w:gridCol w:w="109"/>
        <w:gridCol w:w="109"/>
        <w:gridCol w:w="109"/>
        <w:gridCol w:w="218"/>
        <w:gridCol w:w="1011"/>
        <w:gridCol w:w="112"/>
        <w:gridCol w:w="109"/>
        <w:gridCol w:w="109"/>
        <w:gridCol w:w="109"/>
        <w:gridCol w:w="283"/>
        <w:gridCol w:w="1111"/>
        <w:gridCol w:w="147"/>
        <w:gridCol w:w="109"/>
        <w:gridCol w:w="109"/>
        <w:gridCol w:w="109"/>
        <w:gridCol w:w="391"/>
        <w:gridCol w:w="286"/>
        <w:gridCol w:w="715"/>
        <w:gridCol w:w="109"/>
        <w:gridCol w:w="109"/>
        <w:gridCol w:w="109"/>
        <w:gridCol w:w="349"/>
        <w:gridCol w:w="349"/>
        <w:gridCol w:w="5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7"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Carrying Value </w:t>
            </w:r>
            <w:r>
              <w:rPr>
                <w:rFonts w:ascii="Times New Roman;sans-serif" w:hAnsi="Times New Roman;sans-serif"/>
                <w:b/>
                <w:i/>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Future Funding Commitments </w:t>
            </w:r>
            <w:r>
              <w:rPr>
                <w:rFonts w:ascii="Times New Roman;sans-serif" w:hAnsi="Times New Roman;sans-serif"/>
                <w:b/>
                <w:i/>
                <w:color w:val="000000"/>
                <w:sz w:val="12"/>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Interest Rate </w:t>
            </w:r>
            <w:r>
              <w:rPr>
                <w:rFonts w:ascii="Times New Roman;sans-serif" w:hAnsi="Times New Roman;sans-serif"/>
                <w:b/>
                <w:i/>
                <w:color w:val="000000"/>
                <w:sz w:val="12"/>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Term </w:t>
            </w:r>
            <w:r>
              <w:rPr>
                <w:rFonts w:ascii="Times New Roman;sans-serif" w:hAnsi="Times New Roman;sans-serif"/>
                <w:b/>
                <w:i/>
                <w:color w:val="000000"/>
                <w:sz w:val="12"/>
              </w:rPr>
              <w:t>(4)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Senior Secured Notes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73,818 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476,395 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Loans and Preferred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698,861 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278,848 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1,176,111 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1,144,177 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755,243 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years</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Carrying value includes unamortized loan origination costs and are net of allowance for credit losses.</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Our future funding commitments are subject to our borrowers’ compliance with the financial covenants and other applicable provisions of each respective loan agreement.</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(3) The weighted average interest rate is based on current outstanding principal balance and SOFR, as applicable for floating rate loans, as of September 30, 2024.</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(4) Assumes all extension options are exercised; however, our loans may be repaid, subject to certain conditions, prior to such date.</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(5) Represents our investment in the Hard Rock Ottawa Notes, which are accounted for as held-to-maturity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785"/>
                <wp:effectExtent l="0" t="0" r="0" b="0"/>
                <wp:wrapNone/>
                <wp:docPr id="28" name="Frame2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Note 5 — Allowance for Credit Losses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ASC 326, we are required to estimate and record a non-cash allowance for current expected credit losses, or CECL allowance, related to our historical and any future investments in sales-type leases, lease financing receivables, loans and securities classified as held-to-maturity.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detail the allowance for credit losses as of September 30, 2024 and December 31, 2023:</w:t>
      </w:r>
    </w:p>
    <w:tbl>
      <w:tblPr>
        <w:tblW w:w="10205" w:type="dxa"/>
        <w:jc w:val="left"/>
        <w:tblInd w:w="0" w:type="dxa"/>
        <w:tblLayout w:type="fixed"/>
        <w:tblCellMar>
          <w:top w:w="28" w:type="dxa"/>
          <w:left w:w="28" w:type="dxa"/>
          <w:bottom w:w="28" w:type="dxa"/>
          <w:right w:w="28" w:type="dxa"/>
        </w:tblCellMar>
      </w:tblPr>
      <w:tblGrid>
        <w:gridCol w:w="1033"/>
        <w:gridCol w:w="897"/>
        <w:gridCol w:w="860"/>
        <w:gridCol w:w="211"/>
        <w:gridCol w:w="1081"/>
        <w:gridCol w:w="109"/>
        <w:gridCol w:w="109"/>
        <w:gridCol w:w="109"/>
        <w:gridCol w:w="109"/>
        <w:gridCol w:w="211"/>
        <w:gridCol w:w="1029"/>
        <w:gridCol w:w="109"/>
        <w:gridCol w:w="109"/>
        <w:gridCol w:w="109"/>
        <w:gridCol w:w="109"/>
        <w:gridCol w:w="211"/>
        <w:gridCol w:w="1081"/>
        <w:gridCol w:w="109"/>
        <w:gridCol w:w="109"/>
        <w:gridCol w:w="109"/>
        <w:gridCol w:w="109"/>
        <w:gridCol w:w="499"/>
        <w:gridCol w:w="455"/>
        <w:gridCol w:w="1329"/>
      </w:tblGrid>
      <w:tr>
        <w:trPr/>
        <w:tc>
          <w:tcPr>
            <w:tcW w:w="103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Allowance </w:t>
            </w:r>
            <w:r>
              <w:rPr>
                <w:rFonts w:ascii="Times New Roman;sans-serif" w:hAnsi="Times New Roman;sans-serif"/>
                <w:b/>
                <w:i/>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Allowance as a % of Amortized Cost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24,169,942 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23,429,732 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19,118,954 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18,410,105 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sales-type sub-leases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45,725,686 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(1,490,155)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44,235,531 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center"/>
        <w:tblInd w:w="0" w:type="dxa"/>
        <w:tblLayout w:type="fixed"/>
        <w:tblCellMar>
          <w:top w:w="28" w:type="dxa"/>
          <w:left w:w="28" w:type="dxa"/>
          <w:bottom w:w="28" w:type="dxa"/>
          <w:right w:w="28" w:type="dxa"/>
        </w:tblCellMar>
      </w:tblPr>
      <w:tblGrid>
        <w:gridCol w:w="1033"/>
        <w:gridCol w:w="897"/>
        <w:gridCol w:w="860"/>
        <w:gridCol w:w="211"/>
        <w:gridCol w:w="1081"/>
        <w:gridCol w:w="109"/>
        <w:gridCol w:w="109"/>
        <w:gridCol w:w="109"/>
        <w:gridCol w:w="109"/>
        <w:gridCol w:w="211"/>
        <w:gridCol w:w="1029"/>
        <w:gridCol w:w="109"/>
        <w:gridCol w:w="109"/>
        <w:gridCol w:w="109"/>
        <w:gridCol w:w="109"/>
        <w:gridCol w:w="211"/>
        <w:gridCol w:w="1081"/>
        <w:gridCol w:w="109"/>
        <w:gridCol w:w="109"/>
        <w:gridCol w:w="109"/>
        <w:gridCol w:w="109"/>
        <w:gridCol w:w="499"/>
        <w:gridCol w:w="455"/>
        <w:gridCol w:w="1329"/>
      </w:tblGrid>
      <w:tr>
        <w:trPr/>
        <w:tc>
          <w:tcPr>
            <w:tcW w:w="103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Allowance </w:t>
            </w:r>
            <w:r>
              <w:rPr>
                <w:rFonts w:ascii="Times New Roman;sans-serif" w:hAnsi="Times New Roman;sans-serif"/>
                <w:b/>
                <w:i/>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Allowance as a % of Amortized Cost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23,717,060 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(701,129)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23,015,931 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18,914,734 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sales-type sub-leases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44,671,795 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(1,453,255)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43,218,540 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The total allowance excludes the CECL allowance for unfunded commitments of our loans and for unfunded commitments made to our tenants to fund the development and construction of improvements at our properties. As of September 30, 2024 and December 31, 2023, such allowance is $13.3 million and $19.1 million, respectively, and is recorded in Other liabilities. </w:t>
      </w:r>
    </w:p>
    <w:p>
      <w:pPr>
        <w:pStyle w:val="TextBody"/>
        <w:bidi w:val="0"/>
        <w:spacing w:lineRule="auto" w:line="288" w:before="3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chart reflects the roll-forward of the allowance for credit losses on our real estate portfolio for the three and nine months ended September 30, 2024 and 2023:</w:t>
      </w:r>
    </w:p>
    <w:tbl>
      <w:tblPr>
        <w:tblW w:w="10205" w:type="dxa"/>
        <w:jc w:val="left"/>
        <w:tblInd w:w="0" w:type="dxa"/>
        <w:tblLayout w:type="fixed"/>
        <w:tblCellMar>
          <w:top w:w="28" w:type="dxa"/>
          <w:left w:w="28" w:type="dxa"/>
          <w:bottom w:w="28" w:type="dxa"/>
          <w:right w:w="28" w:type="dxa"/>
        </w:tblCellMar>
      </w:tblPr>
      <w:tblGrid>
        <w:gridCol w:w="1353"/>
        <w:gridCol w:w="1156"/>
        <w:gridCol w:w="1157"/>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35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1,368,819 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allowance from current period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change in credit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1,503,493 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1,534,596 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1,503,493 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1,534,596 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September 30, 2024, we recognized a $31.6 million decrease in our allowance for credit losses primarily driven by positive changes in the macroeconomic forecast during the current quarter and equity market performance of our tenants, both of which impact the reasonable and supportable period, or R&amp;S Period, probability of default, or PD.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we recognized a $32.3 million increase in our allowance for credit losses primarily driven by the market performance of our tenants and negative changes in the macroeconomic forecast during the period, both of which impact the R&amp;S Period PD, as well as adjustments made to the assumptions used to project future cash flows for one of our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785"/>
                <wp:effectExtent l="0" t="0" r="0" b="0"/>
                <wp:wrapNone/>
                <wp:docPr id="29" name="Frame2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pPr>
      <w:r>
        <w:rPr>
          <w:rFonts w:ascii="Times New Roman;sans-serif" w:hAnsi="Times New Roman;sans-serif"/>
          <w:b w:val="false"/>
          <w:color w:val="000000"/>
          <w:sz w:val="20"/>
          <w:shd w:fill="FFFFFF" w:val="clear"/>
        </w:rPr>
        <w:t>During the three months ended September 30, 2023, we recognized a $96.0 million</w:t>
      </w:r>
      <w:r>
        <w:rPr>
          <w:color w:val="000000"/>
        </w:rPr>
        <w:t xml:space="preserve"> </w:t>
      </w:r>
      <w:r>
        <w:rPr>
          <w:rFonts w:ascii="Times New Roman;sans-serif" w:hAnsi="Times New Roman;sans-serif"/>
          <w:b w:val="false"/>
          <w:color w:val="000000"/>
          <w:sz w:val="20"/>
        </w:rPr>
        <w:t>increase in our allowance for credit losses primarily driven by initial CECL allowances on our property acquisition and loan origination activity of $655.7 million during such period and an increase in the R&amp;S Period PD of our tenants and their parent guarantors as a result of their market performance.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we recognized a $166.1 million increase in our allowance for credit losses primarily driven by initial CECL allowances on our property acquisition and loan origination activity of $6.4 billion during such period and an increase in the Long-Term Period PD as a result of a standard annual update made to the Long-Term PD default study we utilize to estimate our CECL allowance. This increase was partially offset by an overall decrease in the R&amp;S Period PD of our tenants and their parent guarantors as a result of their market performance during the nine-month period.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and since our formation on October 6, 2017, all of our lease agreements and loan and security investments are current in payment of their obligations to us and no investments are on non-accrual status.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Credit Quality Indicators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the credit quality of our investments through the credit ratings of the senior secured debt of the guarantors of our leases, as we believe that our lease agreements have a similar credit profile to a senior secured debt instrument. The credit quality indicators are reviewed by us on a quarterly basis as of quarter-end. In instances where the guarantor of one of our lease agreements does not have senior secured debt with a credit rating, we use either a comparable proxy company or the overall corporate credit rating, as applicable. We also use this credit rating to determine the Long-Term Period PD when estimating credit losses for each investment. </w:t>
      </w:r>
    </w:p>
    <w:p>
      <w:pPr>
        <w:pStyle w:val="TextBody"/>
        <w:bidi w:val="0"/>
        <w:spacing w:lineRule="auto" w:line="288" w:before="18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detail the amortized cost basis of our investments by the credit quality indicator we assigned to each lease or loan guarantor as of September 30, 2024 and 2023:</w:t>
      </w:r>
    </w:p>
    <w:tbl>
      <w:tblPr>
        <w:tblW w:w="12453" w:type="dxa"/>
        <w:jc w:val="left"/>
        <w:tblInd w:w="0" w:type="dxa"/>
        <w:tblLayout w:type="fixed"/>
        <w:tblCellMar>
          <w:top w:w="28" w:type="dxa"/>
          <w:left w:w="28" w:type="dxa"/>
          <w:bottom w:w="28" w:type="dxa"/>
          <w:right w:w="28" w:type="dxa"/>
        </w:tblCellMar>
      </w:tblPr>
      <w:tblGrid>
        <w:gridCol w:w="413"/>
        <w:gridCol w:w="363"/>
        <w:gridCol w:w="320"/>
        <w:gridCol w:w="109"/>
        <w:gridCol w:w="109"/>
        <w:gridCol w:w="211"/>
        <w:gridCol w:w="976"/>
        <w:gridCol w:w="109"/>
        <w:gridCol w:w="109"/>
        <w:gridCol w:w="109"/>
        <w:gridCol w:w="109"/>
        <w:gridCol w:w="211"/>
        <w:gridCol w:w="1081"/>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1081"/>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N/A </w:t>
            </w:r>
            <w:r>
              <w:rPr>
                <w:rFonts w:ascii="Times New Roman;sans-serif" w:hAnsi="Times New Roman;sans-serif"/>
                <w:b/>
                <w:i/>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sales-type and financing receivable, Investments in loans and securities and Other assets </w:t>
            </w:r>
            <w:r>
              <w:rPr>
                <w:rFonts w:ascii="Times New Roman;sans-serif" w:hAnsi="Times New Roman;sans-serif"/>
                <w:b w:val="false"/>
                <w:i/>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4,624,219 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33,268,551 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45,725,686 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2303" w:type="dxa"/>
        <w:jc w:val="left"/>
        <w:tblInd w:w="0" w:type="dxa"/>
        <w:tblLayout w:type="fixed"/>
        <w:tblCellMar>
          <w:top w:w="28" w:type="dxa"/>
          <w:left w:w="28" w:type="dxa"/>
          <w:bottom w:w="28" w:type="dxa"/>
          <w:right w:w="28" w:type="dxa"/>
        </w:tblCellMar>
      </w:tblPr>
      <w:tblGrid>
        <w:gridCol w:w="413"/>
        <w:gridCol w:w="363"/>
        <w:gridCol w:w="320"/>
        <w:gridCol w:w="109"/>
        <w:gridCol w:w="109"/>
        <w:gridCol w:w="211"/>
        <w:gridCol w:w="976"/>
        <w:gridCol w:w="109"/>
        <w:gridCol w:w="109"/>
        <w:gridCol w:w="109"/>
        <w:gridCol w:w="109"/>
        <w:gridCol w:w="211"/>
        <w:gridCol w:w="1081"/>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1081"/>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N/A </w:t>
            </w:r>
            <w:r>
              <w:rPr>
                <w:rFonts w:ascii="Times New Roman;sans-serif" w:hAnsi="Times New Roman;sans-serif"/>
                <w:b/>
                <w:i/>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sales-type and financing receivable, Investments in loans and securities and Other assets </w:t>
            </w:r>
            <w:r>
              <w:rPr>
                <w:rFonts w:ascii="Times New Roman;sans-serif" w:hAnsi="Times New Roman;sans-serif"/>
                <w:b w:val="false"/>
                <w:i/>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32,877,396 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43,492,268 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(1)Excludes the CECL allowance for unfunded commitments recorded in Other liabilities as such commitments are not currently reflected on our Balance Sheet, rather the CECL allowance is based on our current best estimate of future funding commitments.</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(2)We estimate the CECL allowance for our loan investments, and certain of our lease investments with similar credit characteristics, using a traditional commercial real estate model based on standardized credit metrics to estimate potential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785"/>
                <wp:effectExtent l="0" t="0" r="0" b="0"/>
                <wp:wrapNone/>
                <wp:docPr id="30" name="Frame2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6 — Other Assets and Other Liabilities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Other Assets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other assets as of September 30, 2024 and December 31, 2023:</w:t>
      </w:r>
    </w:p>
    <w:tbl>
      <w:tblPr>
        <w:tblW w:w="7751" w:type="dxa"/>
        <w:jc w:val="left"/>
        <w:tblInd w:w="0" w:type="dxa"/>
        <w:tblLayout w:type="fixed"/>
        <w:tblCellMar>
          <w:top w:w="28" w:type="dxa"/>
          <w:left w:w="28" w:type="dxa"/>
          <w:bottom w:w="28" w:type="dxa"/>
          <w:right w:w="28" w:type="dxa"/>
        </w:tblCellMar>
      </w:tblPr>
      <w:tblGrid>
        <w:gridCol w:w="1533"/>
        <w:gridCol w:w="1347"/>
        <w:gridCol w:w="1350"/>
        <w:gridCol w:w="261"/>
        <w:gridCol w:w="1209"/>
        <w:gridCol w:w="135"/>
        <w:gridCol w:w="109"/>
        <w:gridCol w:w="109"/>
        <w:gridCol w:w="109"/>
        <w:gridCol w:w="250"/>
        <w:gridCol w:w="1157"/>
        <w:gridCol w:w="182"/>
      </w:tblGrid>
      <w:tr>
        <w:trPr/>
        <w:tc>
          <w:tcPr>
            <w:tcW w:w="153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Sales-type sub-leases, net </w:t>
            </w:r>
            <w:r>
              <w:rPr>
                <w:rFonts w:ascii="Times New Roman;sans-serif" w:hAnsi="Times New Roman;sans-serif"/>
                <w:b w:val="false"/>
                <w:i/>
                <w:color w:val="000000"/>
                <w:sz w:val="13"/>
              </w:rPr>
              <w:t>(1)</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845,014 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847,330 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used in operations, net</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70,255 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and sub-lease right of use assets</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acquisition costs</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financing costs</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reimbursements receivables</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receivables</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Forward-starting interest rate swaps</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assets</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1,021,195 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1,015,330 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jc w:val="both"/>
        <w:rPr/>
      </w:pPr>
      <w:r>
        <w:rPr>
          <w:rFonts w:ascii="Times New Roman;sans-serif" w:hAnsi="Times New Roman;sans-serif"/>
          <w:b w:val="false"/>
          <w:i/>
          <w:color w:val="000000"/>
          <w:sz w:val="16"/>
        </w:rPr>
        <w:t xml:space="preserve">(1) As of September 30, 2024 and December 31, 2023, sales-type sub-leases are net of $19.3 million and $18.7 million of Allowance for credit losses, respectively. Refer to </w:t>
      </w:r>
      <w:hyperlink w:anchor="ib7dd323ab1d248519cd6bbc987f2a646_64">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Other Liabilities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other liabilities as of September 30, 2024 and December 31, 2023:</w:t>
      </w:r>
    </w:p>
    <w:tbl>
      <w:tblPr>
        <w:tblW w:w="7255" w:type="dxa"/>
        <w:jc w:val="left"/>
        <w:tblInd w:w="0" w:type="dxa"/>
        <w:tblLayout w:type="fixed"/>
        <w:tblCellMar>
          <w:top w:w="28" w:type="dxa"/>
          <w:left w:w="28" w:type="dxa"/>
          <w:bottom w:w="28" w:type="dxa"/>
          <w:right w:w="28" w:type="dxa"/>
        </w:tblCellMar>
      </w:tblPr>
      <w:tblGrid>
        <w:gridCol w:w="1354"/>
        <w:gridCol w:w="1189"/>
        <w:gridCol w:w="1192"/>
        <w:gridCol w:w="295"/>
        <w:gridCol w:w="1157"/>
        <w:gridCol w:w="152"/>
        <w:gridCol w:w="109"/>
        <w:gridCol w:w="109"/>
        <w:gridCol w:w="109"/>
        <w:gridCol w:w="250"/>
        <w:gridCol w:w="1157"/>
        <w:gridCol w:w="182"/>
      </w:tblGrid>
      <w:tr>
        <w:trPr/>
        <w:tc>
          <w:tcPr>
            <w:tcW w:w="135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sub-lease liabilities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864,343 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866,052 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liabilities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and sub-lease liabilities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CECL allowance for unfunded commitments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liabilities</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999,272 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1,013,102 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785"/>
                <wp:effectExtent l="0" t="0" r="0" b="0"/>
                <wp:wrapNone/>
                <wp:docPr id="31" name="Frame3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7— Debt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detail our debt obligations as of September 30, 2024 and December 31, 2023:</w:t>
      </w:r>
    </w:p>
    <w:tbl>
      <w:tblPr>
        <w:tblW w:w="10205" w:type="dxa"/>
        <w:jc w:val="left"/>
        <w:tblInd w:w="0" w:type="dxa"/>
        <w:tblLayout w:type="fixed"/>
        <w:tblCellMar>
          <w:top w:w="28" w:type="dxa"/>
          <w:left w:w="28" w:type="dxa"/>
          <w:bottom w:w="28" w:type="dxa"/>
          <w:right w:w="28" w:type="dxa"/>
        </w:tblCellMar>
      </w:tblPr>
      <w:tblGrid>
        <w:gridCol w:w="1116"/>
        <w:gridCol w:w="951"/>
        <w:gridCol w:w="950"/>
        <w:gridCol w:w="109"/>
        <w:gridCol w:w="109"/>
        <w:gridCol w:w="109"/>
        <w:gridCol w:w="519"/>
        <w:gridCol w:w="489"/>
        <w:gridCol w:w="491"/>
        <w:gridCol w:w="109"/>
        <w:gridCol w:w="109"/>
        <w:gridCol w:w="109"/>
        <w:gridCol w:w="464"/>
        <w:gridCol w:w="451"/>
        <w:gridCol w:w="453"/>
        <w:gridCol w:w="109"/>
        <w:gridCol w:w="109"/>
        <w:gridCol w:w="109"/>
        <w:gridCol w:w="220"/>
        <w:gridCol w:w="1134"/>
        <w:gridCol w:w="113"/>
        <w:gridCol w:w="109"/>
        <w:gridCol w:w="109"/>
        <w:gridCol w:w="109"/>
        <w:gridCol w:w="224"/>
        <w:gridCol w:w="1150"/>
        <w:gridCol w:w="172"/>
      </w:tblGrid>
      <w:tr>
        <w:trPr/>
        <w:tc>
          <w:tcPr>
            <w:tcW w:w="111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r>
      <w:tr>
        <w:trPr/>
        <w:tc>
          <w:tcPr>
            <w:tcW w:w="3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Carrying Value </w:t>
            </w:r>
            <w:r>
              <w:rPr>
                <w:rFonts w:ascii="Times New Roman;sans-serif" w:hAnsi="Times New Roman;sans-serif"/>
                <w:b w:val="false"/>
                <w:i/>
                <w:color w:val="000000"/>
                <w:sz w:val="13"/>
              </w:rPr>
              <w:t>(1)</w:t>
            </w:r>
          </w:p>
        </w:tc>
      </w:tr>
      <w:tr>
        <w:trPr/>
        <w:tc>
          <w:tcPr>
            <w:tcW w:w="30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USD Borrowings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CAD Borrowings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CORRA + 0.85%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148,310 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GBP Borrowings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SONIA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Grand/Mandalay Bay CMBS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2,793,787 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749,130 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4.375%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795,449 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490,274 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1,243,819 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755,140 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746,024 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341,581 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4.516%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1,241,481 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3.875%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699,937 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991,732 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4.541% </w:t>
            </w:r>
            <w:r>
              <w:rPr>
                <w:rFonts w:ascii="Times New Roman;sans-serif" w:hAnsi="Times New Roman;sans-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990,646 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991,239 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3.980%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1,484,366 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2034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5.694%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540,671 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2052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736,224 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2054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485,350 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4.358%</w:t>
            </w:r>
            <w:r>
              <w:rPr>
                <w:color w:val="000000"/>
              </w:rPr>
              <w:t xml:space="preserve">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17,117,704 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16,743,584 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4785"/>
                <wp:effectExtent l="0" t="0" r="0" b="0"/>
                <wp:wrapNone/>
                <wp:docPr id="32" name="Frame3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1134"/>
        <w:gridCol w:w="971"/>
        <w:gridCol w:w="971"/>
        <w:gridCol w:w="109"/>
        <w:gridCol w:w="109"/>
        <w:gridCol w:w="109"/>
        <w:gridCol w:w="521"/>
        <w:gridCol w:w="496"/>
        <w:gridCol w:w="498"/>
        <w:gridCol w:w="109"/>
        <w:gridCol w:w="109"/>
        <w:gridCol w:w="109"/>
        <w:gridCol w:w="432"/>
        <w:gridCol w:w="428"/>
        <w:gridCol w:w="430"/>
        <w:gridCol w:w="109"/>
        <w:gridCol w:w="109"/>
        <w:gridCol w:w="109"/>
        <w:gridCol w:w="221"/>
        <w:gridCol w:w="1135"/>
        <w:gridCol w:w="114"/>
        <w:gridCol w:w="109"/>
        <w:gridCol w:w="109"/>
        <w:gridCol w:w="109"/>
        <w:gridCol w:w="224"/>
        <w:gridCol w:w="1152"/>
        <w:gridCol w:w="170"/>
      </w:tblGrid>
      <w:tr>
        <w:trPr/>
        <w:tc>
          <w:tcPr>
            <w:tcW w:w="113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br/>
              <w:t>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Carrying Value </w:t>
            </w:r>
            <w:r>
              <w:rPr>
                <w:rFonts w:ascii="Times New Roman;sans-serif" w:hAnsi="Times New Roman;sans-serif"/>
                <w:b w:val="false"/>
                <w:i/>
                <w:color w:val="000000"/>
                <w:sz w:val="13"/>
              </w:rPr>
              <w:t>(1)</w:t>
            </w:r>
          </w:p>
        </w:tc>
      </w:tr>
      <w:tr>
        <w:trPr/>
        <w:tc>
          <w:tcPr>
            <w:tcW w:w="30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USD Borrowings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CAD Borrowings</w:t>
            </w:r>
            <w:r>
              <w:rPr>
                <w:color w:val="000000"/>
              </w:rPr>
              <w:t xml:space="preserve">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CDOR + 1.05%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162,346 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GBP Borrowings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SONIA + 1.05%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Grand/Mandalay Bay CMBS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2,773,758 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1,051,280 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747,364 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4.375%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497,864 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790,641 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486,520 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1,241,678 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756,800 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744,762 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339,689 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4.516%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1,239,594 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3.875%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691,692 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990,531 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4.541% </w:t>
            </w:r>
            <w:r>
              <w:rPr>
                <w:rFonts w:ascii="Times New Roman;sans-serif" w:hAnsi="Times New Roman;sans-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989,347 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990,111 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3.980%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1,482,836 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2052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735,854 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4.351%</w:t>
            </w:r>
            <w:r>
              <w:rPr>
                <w:color w:val="000000"/>
              </w:rPr>
              <w:t xml:space="preserve">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17,123,804 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16,724,125 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(1)Carrying value is net of unamortized original issue discount and unamortized debt issuance costs incurred in conjunction with debt.</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(2)Borrowings under the Revolving Credit Facility bear interest at a rate based on a credit rating-based pricing grid with a range of 0.775% to 1.325% margin plus SOFR (or Canadian Overnight Repo Rate Average (“CORRA”) or Sterling Overnight Index Average (“SONIA”), as applicable), depending on our credit ratings and total leverage ratio with an additional 0.10% adjustment for SOFR term loans and 0.29547% for CORRA daily simple loans, as applicable. Additionally, the commitment fees under the Revolving Credit Facility are calculated on a credit rating-based pricing grid with a range of 0.15% to 0.375%, depending on our credit ratings and total leverage ratio. For the three and nine months ended September 30, 2024, the commitment fee for the Revolving Credit Facility averaged 0.200% and 0.220%, respectively. </w:t>
      </w:r>
    </w:p>
    <w:p>
      <w:pPr>
        <w:pStyle w:val="TextBody"/>
        <w:bidi w:val="0"/>
        <w:spacing w:lineRule="auto" w:line="288" w:before="0" w:after="0"/>
        <w:ind w:left="0" w:right="0" w:hanging="360"/>
        <w:jc w:val="both"/>
        <w:rPr/>
      </w:pPr>
      <w:r>
        <w:rPr>
          <w:rFonts w:ascii="Times New Roman;sans-serif" w:hAnsi="Times New Roman;sans-serif"/>
          <w:b w:val="false"/>
          <w:i/>
          <w:color w:val="000000"/>
          <w:sz w:val="16"/>
        </w:rPr>
        <w:t xml:space="preserve">(3)Interest rates represent the contractual interest rates adjusted to account for the impact of the forward-starting interest rate swaps and treasury locks (as further described in </w:t>
      </w:r>
      <w:hyperlink w:anchor="ib7dd323ab1d248519cd6bbc987f2a646_73">
        <w:r>
          <w:rPr>
            <w:rStyle w:val="InternetLink"/>
            <w:rFonts w:ascii="Times New Roman;sans-serif" w:hAnsi="Times New Roman;sans-serif"/>
            <w:b w:val="false"/>
            <w:i/>
            <w:color w:val="0000FF"/>
            <w:sz w:val="16"/>
            <w:u w:val="single"/>
          </w:rPr>
          <w:t>Note 8 – Derivatives</w:t>
        </w:r>
      </w:hyperlink>
      <w:r>
        <w:rPr>
          <w:rFonts w:ascii="Times New Roman;sans-serif" w:hAnsi="Times New Roman;sans-serif"/>
          <w:b w:val="false"/>
          <w:i/>
          <w:color w:val="000000"/>
          <w:sz w:val="16"/>
        </w:rPr>
        <w:t>). The contractual interest rates on the April 2022 Notes (as defined below) maturing 2028, 2030 and 2032 are 4.750%, 4.950% and 5.125%, respectively, and the contractual interest rate on the March 2024 Notes (as defined below) maturing 2034 is 5.750%.</w:t>
      </w:r>
    </w:p>
    <w:p>
      <w:pPr>
        <w:pStyle w:val="TextBody"/>
        <w:bidi w:val="0"/>
        <w:spacing w:lineRule="auto" w:line="288" w:before="0" w:after="0"/>
        <w:ind w:left="0" w:right="0" w:hanging="360"/>
        <w:jc w:val="both"/>
        <w:rPr/>
      </w:pPr>
      <w:r>
        <w:rPr>
          <w:rFonts w:ascii="Times New Roman;sans-serif" w:hAnsi="Times New Roman;sans-serif"/>
          <w:b w:val="false"/>
          <w:i/>
          <w:color w:val="000000"/>
          <w:sz w:val="16"/>
        </w:rPr>
        <w:t xml:space="preserve">(4)The interest rate represents the weighted average interest rates of the Senior Unsecured Notes adjusted to account for the impact of the forward-starting interest rate swaps (as further described in </w:t>
      </w:r>
      <w:hyperlink w:anchor="ib7dd323ab1d248519cd6bbc987f2a646_73">
        <w:r>
          <w:rPr>
            <w:rStyle w:val="InternetLink"/>
            <w:rFonts w:ascii="Times New Roman;sans-serif" w:hAnsi="Times New Roman;sans-serif"/>
            <w:b w:val="false"/>
            <w:i/>
            <w:color w:val="0000FF"/>
            <w:sz w:val="16"/>
            <w:u w:val="single"/>
          </w:rPr>
          <w:t>Note 8 – Derivatives</w:t>
        </w:r>
      </w:hyperlink>
      <w:r>
        <w:rPr>
          <w:rFonts w:ascii="Times New Roman;sans-serif" w:hAnsi="Times New Roman;sans-serif"/>
          <w:b w:val="false"/>
          <w:i/>
          <w:color w:val="000000"/>
          <w:sz w:val="16"/>
        </w:rPr>
        <w:t>), as applicable. The contractual weighted average interest rate as of September 30, 2024, which excludes the impact of the forward-starting interest rate swaps and treasury locks, was 4.50%.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785"/>
                <wp:effectExtent l="0" t="0" r="0" b="0"/>
                <wp:wrapNone/>
                <wp:docPr id="33" name="Frame3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schedule of future minimum principal payments of our debt obligations as of September 30, 2024:</w:t>
      </w:r>
    </w:p>
    <w:tbl>
      <w:tblPr>
        <w:tblW w:w="6327" w:type="dxa"/>
        <w:jc w:val="left"/>
        <w:tblInd w:w="0" w:type="dxa"/>
        <w:tblLayout w:type="fixed"/>
        <w:tblCellMar>
          <w:top w:w="28" w:type="dxa"/>
          <w:left w:w="28" w:type="dxa"/>
          <w:bottom w:w="28" w:type="dxa"/>
          <w:right w:w="28" w:type="dxa"/>
        </w:tblCellMar>
      </w:tblPr>
      <w:tblGrid>
        <w:gridCol w:w="1081"/>
        <w:gridCol w:w="951"/>
        <w:gridCol w:w="953"/>
        <w:gridCol w:w="109"/>
        <w:gridCol w:w="109"/>
        <w:gridCol w:w="109"/>
        <w:gridCol w:w="440"/>
        <w:gridCol w:w="2254"/>
        <w:gridCol w:w="321"/>
      </w:tblGrid>
      <w:tr>
        <w:trPr/>
        <w:tc>
          <w:tcPr>
            <w:tcW w:w="108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Future Minimum Principal Payments</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1,917,704 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8,300,000 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principal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17,117,704 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Senior Unsecured Notes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set forth in the above table, our outstanding senior unsecured notes consist of (i) $2.25 billion aggregate principal amount of Senior Notes issued on November 26, 2019 (the “November 2019 Notes”), (ii) $2.5 billion aggregate principal amount of Senior Notes issued on February 5, 2020 (the “February 2020 Notes”), (iii) $5.0 billion aggregate principal amount of Senior Notes issued on April 29, 2022 (the “April 2022 Notes”), (iv) approximately $3.1 billion aggregate principal amount of Senior Notes issued on April 29, 2022, in each case issued by VICI LP and VICI Note Co. Inc. (the “Exchange Notes”), (v) approximately $64.2 million aggregate principal amount of Senior Notes, which were originally issued by MGM Growth Properties Operating Partnership LP and a co-issuer (the “MGP OP Notes”) and remain outstanding following the issuance of the Exchange Notes pursuant to the exchange offer and consent solicitation for the then-outstanding MGP OP Notes, which settled in connection with the completion of our acquisition of MGP on April 29, 2022, and (vi) $1.05 billion aggregate principal amount of Senior Notes issued on March 18, 2024 (the “March 2024 Notes”), comprised of (a) $550.0 million aggregate principal amount of 5.750% Senior Notes due 2034, which mature on April 1, 2034, and (b) $500.0 million aggregate principal amount of 6.125% Senior Notes due 2054, which mature on April 1, 2054. We used the net proceeds of the March 2024 Notes to redeem our then-outstanding (i) $1,024.2 million in aggregate principal amount of the 5.625% Senior Notes due 2024, and (ii) $25.8 million in aggregate principal amount of the 5.625% MGP OP Notes due 2024. The outstanding November 2019 Notes, February 2020 Notes, April 2022 Notes, Exchange Notes, MGP OP Notes, and March 2024 Notes are collectively referred to as the “Senior Unsecured Notes”.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terms and conditions of the respective indentures, each series of Senior Unsecured Notes is redeemable at our option, in whole or in part, at any time for a specified period prior to the maturity date of such series at the redemption prices set forth in the respective indenture governing such series. In addition, we may redeem some or all of such notes prior to such respective dates at a price equal to 100% of the principal amount thereof plus a “make-whole” premium.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Guarantee and Financial Covenants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Senior Unsecured Notes are guaranteed by any subsidiaries of VICI LP. The Exchange Notes, the MGP OP Notes, the April 2022 Notes and the March 2024 Notes benefit from a pledge of the limited partnership interests of VICI LP directly owned by VICI OP (the “Limited Equity Pledge”). The Limited Equity Pledge has also been granted in favor of (i) the administrative agent and the lenders under the Credit Agreement (as defined below), and (ii) the trustee under the indentures governing, and the holders of, the November 2019 Notes and the February 2020 Notes.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terms of the respective indentures, in the event that the November 2019 Notes, February 2020 Notes and Exchange Notes (i) are rated investment grade by at least two of S&amp;P, Moody’s and Fitch and (ii) no default or event of default has occurred and is continuing under the respective indentures, VICI LP and its restricted subsidiaries will no longer be subject to certain of the restrictive covenants under such indentures. On April 18, 2022, the November 2019 Notes, February 2020 Notes and Exchange Notes were rated investment grade by each of S&amp;P and Fitch and VICI LP notified the Trustee of such Suspension Date (as defined in the indentures). Accordingly, VICI LP and its restricted subsidiaries are no longer subject to certain of the restrictive covenants under such indentures, but are subject to a maintenance covenant requiring VICI LP and its restricted subsidiaries to maintain a certain total unencumbered assets to unsecured debt ratio. In the event that the November 2019 Notes, February 2020 Notes and Exchange Notes are no longer rated investment grade by at least two of S&amp;P, Moody’s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785"/>
                <wp:effectExtent l="0" t="0" r="0" b="0"/>
                <wp:wrapNone/>
                <wp:docPr id="34" name="Frame3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Fitch, then VICI LP and its restricted subsidiaries will again be subject to all of the covenants of the respective indentures, as applicable, but will no longer be subject to the maintenance covenant.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April 2022 Notes and March 2024 Notes contains certain covenants that limit the ability of VICI LP and its subsidiaries to incur secured and unsecured indebtedness and limit VICI LP’s ability to consummate a merger, consolidation or sale of all or substantially all of its assets. In addition, VICI LP is required to maintain total unencumbered assets of at least 150% of total unsecured indebtedness. These covenants are subject to a number of important exceptions and qualifications.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Unsecured Credit Facilities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8, 2022, we entered into a credit agreement by and among VICI LP, the lenders party thereto, and JPMorgan Chase Bank, N.A., as administrative agent, as amended from time to time (“Credit Agreement”), providing for a revolving credit facility in the amount of $2.5 billion scheduled to mature on March 31, 2026 (“Revolving Credit Facility”).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includes two six-month maturity extension options, the exercise of which is subject to customary conditions and the payment of an extension fee of 0.0625% on the extended commitments. Additionally, the Revolving Credit Facility includes the option to increase the revolving loan commitments by up to $1.0 billion to the extent that any one or more lenders (from the syndicate or otherwise) agree to provide such additional credit extensions. On July 15, 2022, the Credit Agreement was amended pursuant to a First Amendment among VICI LP and the lenders party thereto, in order to permit borrowings under the Revolving Credit Facility in certain foreign currencies in an aggregate principal amount of up to the equivalent of $1.25 billion. On August 4, 2023, the Credit Agreement was amended pursuant to a Second Amendment among VICI LP and the lenders party thereto, in order to replace certain of the participating lenders. On June 17, 2024, the Credit Agreement was amended pursuant to a Third Amendment among VICI LP and the lenders party thereto, in order to effectuate appropriate references to CORRA as the applicable reference rate with respect to Canadian dollar borrowings under the Revolving Credit Facility.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Revolving Credit Facility will bear interest, at VICI LP’s option, at a benchmark rate based on SOFR (or CORRA for Canadian dollars or SONIA for Sterling) (including a credit spread adjustment) plus a margin ranging from 0.775% to 1.325% or a base rate (or Canadian prime rate for Canadian dollars) plus a margin ranging from 0.00% to 0.325%, in each case, with the actual margin determined according to VICI LP’s debt ratings and total leverage ratio. The base rate is the highest of (i) the prime rate of interest last quoted by the Wall Street Journal in the U.S. then in effect, (ii) the NYFRB rate from time to time plus 0.5% and (iii) the SOFR rate for a one-month interest period plus 1.0%, subject in each case to a floor of 1.0%. The Canadian prime rate is the highest of (i) the PRIMCAN Index rate and (ii) the average rate for thirty-day Canadian Dollar bankers’ acceptance quoted by Reuters plus 1.0%, subject in each case to a floor of 1.0%. In addition, the Revolving Credit Facility requires the payment of a facility fee ranging from 0.15% to 0.375% (depending on VICI LP’s debt rating and total leverage ratio) of total revolving commitments.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terms of the Credit Agreement, VICI LP is subject to, among other things, customary covenants and the maintenance of various financial covenants. The Credit Agreement is consistent with certain tax-related requirements related to security for the Company’s debt.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we had C$200.0 million and £14.5 million outstanding on the Revolving Credit Facility in connection with our Canadian and United Kingdom foreign currency transactions, respectively.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MGM Grand/Mandalay Bay CMBS Debt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9, 2023, as a result of our acquisition of the remaining 49.9% interest in the MGM Grand/Mandalay Bay JV (“MGM Grand/Mandalay Bay JV Interest Acquisition”), we consolidated the assets and liabilities of the MGM Grand/Mandalay Bay JV, which includes the $3.0 billion in principal amount of outstanding CMBS debt (the “MGM Grand/ Mandalay Bay CMBS Debt”). The MGM Grand/Mandalay Bay CMBS Debt was originally incurred on February 14, 2020 pursuant to a loan agreement (as amended from time to time, the “MGM Grand/Mandalay Bay CMBS Loan Agreement”), and is secured primarily by mortgages on certain affiliates of the MGM Grand/Mandalay Bay JV’s fee interest in the real estate assets related to the MGM Grand Las Vegas and the Mandalay Bay Resort and Casino. The MGM Grand/Mandalay Bay CMBS Debt matures in March 2032 and bears interest at 3.558% per annum until March 2030 at which time the rate can change in accordance with the terms of the MGM Grand Mandalay Bay CMBS Loan Agreement until maturity. The MGM Grand/Mandalay Bay CMBS Loan Agreement contains certain customary affirmative and negative covenants and events of default, including, among other things, restrictions on the ability of the MGM Grand/Mandalay Bay JV and certain of its affiliates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785"/>
                <wp:effectExtent l="0" t="0" r="0" b="0"/>
                <wp:wrapNone/>
                <wp:docPr id="35" name="Frame3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incur additional debt and transfer, pledge or assign certain equity interests or its assets, and covenants requiring certain affiliates of the MGM Grand/Mandalay Bay JV to exist as “special purpose entities,” maintain certain ongoing reserve funds and comply with other customary obligations for commercial mortgage-backed securities loan financings.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Financial Covenants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above, our debt obligations are subject to certain customary financial and protective covenants that restrict VICI LP, VICI PropCo and its subsidiaries’ ability to incur additional debt, sell certain assets and restrict certain payments, among other things. These covenants are subject to a number of exceptions and qualifications, including the ability to make restricted payments to maintain our REIT status. At September 30, 2024, we were in compliance with all financial covenants under our debt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8 — Derivatives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detail our outstanding interest rate derivatives that were designated as cash flow hedges of interest rate risk as of September 30, 2024 and December 31, 2023. During the quarter ended September 30, 2024, we entered into eight forward-starting interest rate swap agreements for an aggregate notional amount of $400.0 million to hedge against changes in future cash flows resulting from changes in interest rates from the trade date through the forecasted issuance of senior unsecured notes expected to be issued in connection with the refinancing of our senior unsecured notes maturing in 2025.</w:t>
      </w:r>
    </w:p>
    <w:tbl>
      <w:tblPr>
        <w:tblW w:w="10205" w:type="dxa"/>
        <w:jc w:val="left"/>
        <w:tblInd w:w="0" w:type="dxa"/>
        <w:tblLayout w:type="fixed"/>
        <w:tblCellMar>
          <w:top w:w="28" w:type="dxa"/>
          <w:left w:w="28" w:type="dxa"/>
          <w:bottom w:w="28" w:type="dxa"/>
          <w:right w:w="28" w:type="dxa"/>
        </w:tblCellMar>
      </w:tblPr>
      <w:tblGrid>
        <w:gridCol w:w="925"/>
        <w:gridCol w:w="563"/>
        <w:gridCol w:w="550"/>
        <w:gridCol w:w="109"/>
        <w:gridCol w:w="109"/>
        <w:gridCol w:w="109"/>
        <w:gridCol w:w="474"/>
        <w:gridCol w:w="474"/>
        <w:gridCol w:w="475"/>
        <w:gridCol w:w="109"/>
        <w:gridCol w:w="109"/>
        <w:gridCol w:w="109"/>
        <w:gridCol w:w="309"/>
        <w:gridCol w:w="238"/>
        <w:gridCol w:w="230"/>
        <w:gridCol w:w="109"/>
        <w:gridCol w:w="109"/>
        <w:gridCol w:w="109"/>
        <w:gridCol w:w="211"/>
        <w:gridCol w:w="826"/>
        <w:gridCol w:w="109"/>
        <w:gridCol w:w="109"/>
        <w:gridCol w:w="109"/>
        <w:gridCol w:w="109"/>
        <w:gridCol w:w="635"/>
        <w:gridCol w:w="635"/>
        <w:gridCol w:w="639"/>
        <w:gridCol w:w="109"/>
        <w:gridCol w:w="109"/>
        <w:gridCol w:w="109"/>
        <w:gridCol w:w="371"/>
        <w:gridCol w:w="371"/>
        <w:gridCol w:w="535"/>
      </w:tblGrid>
      <w:tr>
        <w:trPr/>
        <w:tc>
          <w:tcPr>
            <w:tcW w:w="92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r>
      <w:tr>
        <w:trPr/>
        <w:tc>
          <w:tcPr>
            <w:tcW w:w="2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Index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w:t>
            </w:r>
          </w:p>
        </w:tc>
      </w:tr>
      <w:tr>
        <w:trPr/>
        <w:tc>
          <w:tcPr>
            <w:tcW w:w="20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3.3072%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USD SOFR-COMPOUND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10, 2031</w:t>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Forward-starting 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USD SOFR-COMPOUND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14, 2032</w:t>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USD SOFR-COMPOUND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27, 2035</w:t>
            </w:r>
          </w:p>
        </w:tc>
      </w:tr>
    </w:tbl>
    <w:tbl>
      <w:tblPr>
        <w:tblW w:w="10205" w:type="dxa"/>
        <w:jc w:val="left"/>
        <w:tblInd w:w="0" w:type="dxa"/>
        <w:tblLayout w:type="fixed"/>
        <w:tblCellMar>
          <w:top w:w="28" w:type="dxa"/>
          <w:left w:w="28" w:type="dxa"/>
          <w:bottom w:w="28" w:type="dxa"/>
          <w:right w:w="28" w:type="dxa"/>
        </w:tblCellMar>
      </w:tblPr>
      <w:tblGrid>
        <w:gridCol w:w="967"/>
        <w:gridCol w:w="588"/>
        <w:gridCol w:w="577"/>
        <w:gridCol w:w="109"/>
        <w:gridCol w:w="109"/>
        <w:gridCol w:w="109"/>
        <w:gridCol w:w="493"/>
        <w:gridCol w:w="493"/>
        <w:gridCol w:w="495"/>
        <w:gridCol w:w="109"/>
        <w:gridCol w:w="109"/>
        <w:gridCol w:w="109"/>
        <w:gridCol w:w="309"/>
        <w:gridCol w:w="246"/>
        <w:gridCol w:w="239"/>
        <w:gridCol w:w="109"/>
        <w:gridCol w:w="109"/>
        <w:gridCol w:w="109"/>
        <w:gridCol w:w="211"/>
        <w:gridCol w:w="826"/>
        <w:gridCol w:w="109"/>
        <w:gridCol w:w="109"/>
        <w:gridCol w:w="109"/>
        <w:gridCol w:w="109"/>
        <w:gridCol w:w="644"/>
        <w:gridCol w:w="644"/>
        <w:gridCol w:w="649"/>
        <w:gridCol w:w="109"/>
        <w:gridCol w:w="109"/>
        <w:gridCol w:w="109"/>
        <w:gridCol w:w="313"/>
        <w:gridCol w:w="313"/>
        <w:gridCol w:w="454"/>
      </w:tblGrid>
      <w:tr>
        <w:trPr/>
        <w:tc>
          <w:tcPr>
            <w:tcW w:w="9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Index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w:t>
            </w:r>
          </w:p>
        </w:tc>
      </w:tr>
      <w:tr>
        <w:trPr/>
        <w:tc>
          <w:tcPr>
            <w:tcW w:w="21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USD SOFR-COMPOUND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2034</w:t>
            </w:r>
          </w:p>
        </w:tc>
      </w:tr>
    </w:tbl>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Forward-Starting Derivatives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and subsequently settled, the following forward-starting derivatives and U.S. Treasury Rate Lock agreements to hedge against changes in future cash flows resulting from changes in interest rates from the trade date through the forecasted issuance of the respective senior unsecured notes. In each case, the derivatives were designated as cash-flow hedges and, accordingly, the unrealized gain in Accumulated other comprehensive income is amortized over the term of the respective derivative instruments, which matches that of the underlying note, as a reduction in interest expense.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In connection with our March 2024 Notes offering, we entered into seven forward-starting interest rate swap agreements for a total aggregate notional amount of $500.0 million, which we settled in March 2024 for total net proceeds of $2.8 million.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 connection with our April 2022 Notes offering, we entered into five forward-starting interest rate swap agreements with an aggregate notional amount of $2.5 billion and two U.S. Treasury Rate Lock agreements with an aggregate notional amount of $500.0 million, which we settled in April 2022 for total net proceeds of $206.8 million.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effect of our forward-starting derivative financial instruments on our Statement of Operations:</w:t>
      </w:r>
    </w:p>
    <w:tbl>
      <w:tblPr>
        <w:tblW w:w="10205" w:type="dxa"/>
        <w:jc w:val="left"/>
        <w:tblInd w:w="0" w:type="dxa"/>
        <w:tblLayout w:type="fixed"/>
        <w:tblCellMar>
          <w:top w:w="28" w:type="dxa"/>
          <w:left w:w="28" w:type="dxa"/>
          <w:bottom w:w="28" w:type="dxa"/>
          <w:right w:w="28" w:type="dxa"/>
        </w:tblCellMar>
      </w:tblPr>
      <w:tblGrid>
        <w:gridCol w:w="1896"/>
        <w:gridCol w:w="1638"/>
        <w:gridCol w:w="1646"/>
        <w:gridCol w:w="211"/>
        <w:gridCol w:w="658"/>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57"/>
      </w:tblGrid>
      <w:tr>
        <w:trPr/>
        <w:tc>
          <w:tcPr>
            <w:tcW w:w="1896"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5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recorded in other 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in interest expense related to the amortization of the forward-starting interest rate swaps and treasury locks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84785"/>
                <wp:effectExtent l="0" t="0" r="0" b="0"/>
                <wp:wrapNone/>
                <wp:docPr id="36" name="Frame3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Net Investment Hedges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foreign transactions in Canada and the United Kingdom, we currently have C$200.0 million and £14.5 million, respectively, outstanding on the Revolving Credit Facility, which funds were used to reduce the impact of exchange rate variations associated with our investments, and, accordingly, have been designated as a hedge of the net investment in such entities. As non-derivative net investment hedges, the impact of changes in foreign currency exchange rates on the principal balances are recognized as a cumulative translation adjustment within accumulated other comprehensive income. For the three and nine months ended September 30, 2024, we recognized $2.4 million in unrealized losses and $2.4 million in unrealized gains, respectively, related to such net investment hedges, and for the three and nine months ended September 30, 2023, we recognized $2.9 million and $1.7 million, respectively, in unrealized losses related to such net investment hedges, which were recorded as a component of Foreign currency translation adjustments in the Statement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9 — Fair Value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assets and liabilities measured at fair value on a recurring basis as of September 30, 2024 and December 31, 2023.</w:t>
      </w:r>
    </w:p>
    <w:tbl>
      <w:tblPr>
        <w:tblW w:w="10103" w:type="dxa"/>
        <w:jc w:val="left"/>
        <w:tblInd w:w="0" w:type="dxa"/>
        <w:tblLayout w:type="fixed"/>
        <w:tblCellMar>
          <w:top w:w="28" w:type="dxa"/>
          <w:left w:w="28" w:type="dxa"/>
          <w:bottom w:w="28" w:type="dxa"/>
          <w:right w:w="28" w:type="dxa"/>
        </w:tblCellMar>
      </w:tblPr>
      <w:tblGrid>
        <w:gridCol w:w="1875"/>
        <w:gridCol w:w="1648"/>
        <w:gridCol w:w="1651"/>
        <w:gridCol w:w="338"/>
        <w:gridCol w:w="987"/>
        <w:gridCol w:w="174"/>
        <w:gridCol w:w="109"/>
        <w:gridCol w:w="109"/>
        <w:gridCol w:w="109"/>
        <w:gridCol w:w="213"/>
        <w:gridCol w:w="411"/>
        <w:gridCol w:w="110"/>
        <w:gridCol w:w="109"/>
        <w:gridCol w:w="109"/>
        <w:gridCol w:w="109"/>
        <w:gridCol w:w="211"/>
        <w:gridCol w:w="616"/>
        <w:gridCol w:w="109"/>
        <w:gridCol w:w="109"/>
        <w:gridCol w:w="109"/>
        <w:gridCol w:w="109"/>
        <w:gridCol w:w="213"/>
        <w:gridCol w:w="411"/>
        <w:gridCol w:w="155"/>
      </w:tblGrid>
      <w:tr>
        <w:trPr/>
        <w:tc>
          <w:tcPr>
            <w:tcW w:w="1875"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r>
      <w:tr>
        <w:trPr/>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i/>
                <w:color w:val="000000"/>
                <w:sz w:val="20"/>
              </w:rPr>
            </w:pPr>
            <w:r>
              <w:rPr>
                <w:rFonts w:ascii="Times New Roman;sans-serif" w:hAnsi="Times New Roman;sans-serif"/>
                <w:b/>
                <w:i/>
                <w:color w:val="000000"/>
                <w:sz w:val="20"/>
              </w:rPr>
              <w:t>Financial assets:</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 xml:space="preserve">Derivative instruments – forward-starting interest rate swaps </w:t>
            </w:r>
            <w:r>
              <w:rPr>
                <w:rFonts w:ascii="Times New Roman;sans-serif" w:hAnsi="Times New Roman;sans-serif"/>
                <w:b w:val="false"/>
                <w:i/>
                <w:color w:val="000000"/>
                <w:sz w:val="13"/>
              </w:rPr>
              <w:t>(1)</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Financial liabilities:</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Derivative instruments - forward-starting interest rate swaps </w:t>
            </w:r>
            <w:r>
              <w:rPr>
                <w:rFonts w:ascii="Times New Roman;sans-serif" w:hAnsi="Times New Roman;sans-serif"/>
                <w:b w:val="false"/>
                <w:i/>
                <w:color w:val="000000"/>
                <w:sz w:val="13"/>
              </w:rPr>
              <w:t>(1)</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73"/>
        <w:gridCol w:w="1646"/>
        <w:gridCol w:w="1649"/>
        <w:gridCol w:w="303"/>
        <w:gridCol w:w="1038"/>
        <w:gridCol w:w="156"/>
        <w:gridCol w:w="109"/>
        <w:gridCol w:w="109"/>
        <w:gridCol w:w="109"/>
        <w:gridCol w:w="212"/>
        <w:gridCol w:w="410"/>
        <w:gridCol w:w="109"/>
        <w:gridCol w:w="109"/>
        <w:gridCol w:w="109"/>
        <w:gridCol w:w="109"/>
        <w:gridCol w:w="211"/>
        <w:gridCol w:w="721"/>
        <w:gridCol w:w="109"/>
        <w:gridCol w:w="109"/>
        <w:gridCol w:w="109"/>
        <w:gridCol w:w="109"/>
        <w:gridCol w:w="212"/>
        <w:gridCol w:w="410"/>
        <w:gridCol w:w="165"/>
      </w:tblGrid>
      <w:tr>
        <w:trPr/>
        <w:tc>
          <w:tcPr>
            <w:tcW w:w="1873"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5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5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5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i/>
                <w:color w:val="000000"/>
                <w:sz w:val="20"/>
              </w:rPr>
            </w:pPr>
            <w:r>
              <w:rPr>
                <w:rFonts w:ascii="Times New Roman;sans-serif" w:hAnsi="Times New Roman;sans-serif"/>
                <w:b/>
                <w:i/>
                <w:color w:val="000000"/>
                <w:sz w:val="20"/>
              </w:rPr>
              <w:t>Financial assets:</w:t>
            </w:r>
          </w:p>
        </w:tc>
        <w:tc>
          <w:tcPr>
            <w:tcW w:w="1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8"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 xml:space="preserve">Derivative instruments – forward-starting interest rate swaps </w:t>
            </w:r>
            <w:r>
              <w:rPr>
                <w:rFonts w:ascii="Times New Roman;sans-serif" w:hAnsi="Times New Roman;sans-serif"/>
                <w:b w:val="false"/>
                <w:i/>
                <w:color w:val="000000"/>
                <w:sz w:val="13"/>
              </w:rPr>
              <w:t>(1)</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Financial liabilities:</w:t>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Derivative instruments - forward-starting interest rate swaps </w:t>
            </w:r>
            <w:r>
              <w:rPr>
                <w:rFonts w:ascii="Times New Roman;sans-serif" w:hAnsi="Times New Roman;sans-serif"/>
                <w:b w:val="false"/>
                <w:i/>
                <w:color w:val="000000"/>
                <w:sz w:val="13"/>
              </w:rPr>
              <w:t>(1)</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bidi w:val="0"/>
        <w:spacing w:lineRule="auto" w:line="288" w:before="6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(1) 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84785"/>
                <wp:effectExtent l="0" t="0" r="0" b="0"/>
                <wp:wrapNone/>
                <wp:docPr id="37" name="Frame3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our financial instruments as of September 30, 2024 and December 31, 2023 for which fair value is only disclosed are as follows:</w:t>
      </w:r>
    </w:p>
    <w:tbl>
      <w:tblPr>
        <w:tblW w:w="10205" w:type="dxa"/>
        <w:jc w:val="left"/>
        <w:tblInd w:w="0" w:type="dxa"/>
        <w:tblLayout w:type="fixed"/>
        <w:tblCellMar>
          <w:top w:w="28" w:type="dxa"/>
          <w:left w:w="28" w:type="dxa"/>
          <w:bottom w:w="28" w:type="dxa"/>
          <w:right w:w="28" w:type="dxa"/>
        </w:tblCellMar>
      </w:tblPr>
      <w:tblGrid>
        <w:gridCol w:w="1268"/>
        <w:gridCol w:w="1074"/>
        <w:gridCol w:w="1073"/>
        <w:gridCol w:w="223"/>
        <w:gridCol w:w="1143"/>
        <w:gridCol w:w="114"/>
        <w:gridCol w:w="109"/>
        <w:gridCol w:w="109"/>
        <w:gridCol w:w="109"/>
        <w:gridCol w:w="211"/>
        <w:gridCol w:w="1081"/>
        <w:gridCol w:w="109"/>
        <w:gridCol w:w="109"/>
        <w:gridCol w:w="109"/>
        <w:gridCol w:w="109"/>
        <w:gridCol w:w="223"/>
        <w:gridCol w:w="1143"/>
        <w:gridCol w:w="114"/>
        <w:gridCol w:w="109"/>
        <w:gridCol w:w="109"/>
        <w:gridCol w:w="109"/>
        <w:gridCol w:w="211"/>
        <w:gridCol w:w="1081"/>
        <w:gridCol w:w="156"/>
      </w:tblGrid>
      <w:tr>
        <w:trPr/>
        <w:tc>
          <w:tcPr>
            <w:tcW w:w="12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Financial assets:</w:t>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financing receivables </w:t>
            </w:r>
            <w:r>
              <w:rPr>
                <w:rFonts w:ascii="Times New Roman;sans-serif" w:hAnsi="Times New Roman;sans-serif"/>
                <w:b w:val="false"/>
                <w:i/>
                <w:color w:val="000000"/>
                <w:sz w:val="13"/>
              </w:rPr>
              <w:t>(1)</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18,410,105 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17,769,698 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18,211,102 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17,717,435 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loans and securities </w:t>
            </w:r>
            <w:r>
              <w:rPr>
                <w:rFonts w:ascii="Times New Roman;sans-serif" w:hAnsi="Times New Roman;sans-serif"/>
                <w:b w:val="false"/>
                <w:i/>
                <w:color w:val="000000"/>
                <w:sz w:val="13"/>
              </w:rPr>
              <w:t>(2)</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1,550,680 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1,060,249 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Financial liabilities:</w:t>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 xml:space="preserve">Debt </w:t>
            </w:r>
            <w:r>
              <w:rPr>
                <w:rFonts w:ascii="Times New Roman;sans-serif" w:hAnsi="Times New Roman;sans-serif"/>
                <w:b w:val="false"/>
                <w:i/>
                <w:color w:val="000000"/>
                <w:sz w:val="13"/>
              </w:rPr>
              <w:t>(3)</w:t>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Grand/Mandalay Bay CMBS Debt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2,793,787 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2,773,758 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2,627,984 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13,782,093 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13,864,637 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13,776,563 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13,469,176 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ind w:left="0" w:right="0" w:hanging="360"/>
        <w:jc w:val="both"/>
        <w:rPr/>
      </w:pPr>
      <w:r>
        <w:rPr>
          <w:rFonts w:ascii="Times New Roman;sans-serif" w:hAnsi="Times New Roman;sans-serif"/>
          <w:b w:val="false"/>
          <w:i/>
          <w:color w:val="000000"/>
          <w:sz w:val="16"/>
        </w:rPr>
        <w:t>(1)Represents our asset acquisitions structured as sale leaseback transactions. In accordance with ASC 842, since the lease agreements were determined to meet the definition of a sales-type lease and control of the asset is not considered to have been transferred to us, such lease agreements are accounted for as financings under ASC 310. Except as noted below, the fair value of these assets is based on significant “unobservable” market inputs and, as such, these fair value measurements are considered Level 3 of the fair value hierarchy. In relation to the master lease agreement for the Bowlero portfolio and the lease agreement for Chelsea Piers, given</w:t>
      </w:r>
      <w:r>
        <w:rPr>
          <w:color w:val="000000"/>
          <w:shd w:fill="FFFFFF" w:val="clear"/>
        </w:rPr>
        <w:t xml:space="preserve"> </w:t>
      </w:r>
      <w:r>
        <w:rPr>
          <w:rFonts w:ascii="Times New Roman;sans-serif" w:hAnsi="Times New Roman;sans-serif"/>
          <w:b w:val="false"/>
          <w:i/>
          <w:color w:val="000000"/>
          <w:sz w:val="16"/>
          <w:shd w:fill="FFFFFF" w:val="clear"/>
        </w:rPr>
        <w:t>the proximity of the date of our investment to the date of the Financial Statements, we determined that the fair value materially approximates the purchase price of the acquisition of these financial assets</w:t>
      </w:r>
      <w:r>
        <w:rPr>
          <w:rFonts w:ascii="Times New Roman;sans-serif" w:hAnsi="Times New Roman;sans-serif"/>
          <w:b w:val="false"/>
          <w:i/>
          <w:color w:val="000000"/>
          <w:sz w:val="16"/>
        </w:rPr>
        <w:t>.</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(2)The fair value of investments in loans is based on significant “unobservable” market inputs and, as such, these fair value measurements are considered Level 3 of the fair value hierarchy. The fair value of our senior secured notes was estimated using quoted prices for identical or similar liabilities in markets that are not active and, as such, these fair value measurements are considered Level 2 of the fair value hierarchy.</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(3)The fair value of our debt instruments was estimated using quoted prices for identical or similar liabilities in markets that are not active and, as such, these fair value measurements are considered Level 2 of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10 — Commitments and Contingent Liabilities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from time to time, we may be subject to legal claims and administrative proceedings. As of September 30, 2024, we are not subject to any litigation that we believe could have, individually or in the aggregate, a material adverse effect on our business, financial condition or results of operations, liquidity or cash flows.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Lease Commitments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 xml:space="preserve">Operating Lease Commitments. </w:t>
      </w:r>
      <w:r>
        <w:rPr>
          <w:rFonts w:ascii="Times New Roman;sans-serif" w:hAnsi="Times New Roman;sans-serif"/>
          <w:b w:val="false"/>
          <w:color w:val="000000"/>
          <w:sz w:val="20"/>
        </w:rPr>
        <w:t xml:space="preserve">We are liable under various operating leases for: (i) land at the Cascata golf course, which expires in 2038 and has three 10-year extension options, and (ii) our corporate headquarters in New York, NY, which expires in 2035 and has one five-year renewal option.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 xml:space="preserve">Sub-Lease Commitments. </w:t>
      </w:r>
      <w:r>
        <w:rPr>
          <w:rFonts w:ascii="Times New Roman;sans-serif" w:hAnsi="Times New Roman;sans-serif"/>
          <w:b w:val="false"/>
          <w:color w:val="000000"/>
          <w:sz w:val="20"/>
        </w:rPr>
        <w:t>Certain of our acquisitions necessitate that we assume, as the lessee, ground and use leases that are integral to the operations of the property, the cost of which is passed to our tenants through our lease agreements, which require the tenants to pay all costs associated with such ground and use leases and provide for their direct payment to the landlord.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determined we are the primary obligor of certain of such ground and use leases and, accordingly, have presented these leases on a gross basis on our Balance Sheet and Statement of Operations.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ground and use leases determined to be operating leases, we recorded a sub-lease right-of-use assets in Other assets and sub-lease liabilities in Other liabilities. For ground and lease uses determined to be finance leases, we recorded a sales-type sub-lease in Other assets and finance sub-lease liability in Other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84785"/>
                <wp:effectExtent l="0" t="0" r="0" b="0"/>
                <wp:wrapNone/>
                <wp:docPr id="38" name="Frame3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balance and location in our Balance Sheet of the ground and use sub-leases as of September 30, 2024 and December 31, 2023:</w:t>
      </w:r>
    </w:p>
    <w:tbl>
      <w:tblPr>
        <w:tblW w:w="8786" w:type="dxa"/>
        <w:jc w:val="left"/>
        <w:tblInd w:w="0" w:type="dxa"/>
        <w:tblLayout w:type="fixed"/>
        <w:tblCellMar>
          <w:top w:w="28" w:type="dxa"/>
          <w:left w:w="28" w:type="dxa"/>
          <w:bottom w:w="28" w:type="dxa"/>
          <w:right w:w="28" w:type="dxa"/>
        </w:tblCellMar>
      </w:tblPr>
      <w:tblGrid>
        <w:gridCol w:w="1907"/>
        <w:gridCol w:w="1676"/>
        <w:gridCol w:w="1681"/>
        <w:gridCol w:w="325"/>
        <w:gridCol w:w="1112"/>
        <w:gridCol w:w="168"/>
        <w:gridCol w:w="109"/>
        <w:gridCol w:w="109"/>
        <w:gridCol w:w="109"/>
        <w:gridCol w:w="309"/>
        <w:gridCol w:w="1056"/>
        <w:gridCol w:w="225"/>
      </w:tblGrid>
      <w:tr>
        <w:trPr/>
        <w:tc>
          <w:tcPr>
            <w:tcW w:w="1907"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 assets (operating lease and sub-leases right-of-use assets)</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(operating lease and sub-lease liabilities)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Others assets (sales-type sub-leases, net) </w:t>
            </w:r>
            <w:r>
              <w:rPr>
                <w:rFonts w:ascii="Times New Roman;sans-serif" w:hAnsi="Times New Roman;sans-serif"/>
                <w:b w:val="false"/>
                <w:i/>
                <w:color w:val="000000"/>
                <w:sz w:val="13"/>
              </w:rPr>
              <w:t>(1)</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845,014 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847,330 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(finance sub-lease liabilities)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866,052 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w:t>
      </w:r>
    </w:p>
    <w:p>
      <w:pPr>
        <w:pStyle w:val="TextBody"/>
        <w:bidi w:val="0"/>
        <w:spacing w:lineRule="auto" w:line="288" w:before="60" w:after="283"/>
        <w:jc w:val="both"/>
        <w:rPr/>
      </w:pPr>
      <w:r>
        <w:rPr>
          <w:rFonts w:ascii="Times New Roman;sans-serif" w:hAnsi="Times New Roman;sans-serif"/>
          <w:b w:val="false"/>
          <w:i/>
          <w:color w:val="000000"/>
          <w:sz w:val="16"/>
        </w:rPr>
        <w:t xml:space="preserve">(1) As of September 30, 2024 and December 31, 2023, sales-type sub-leases are net of $19.3 million and $18.7 million of allowance for credit losses, respectively. Refer to </w:t>
      </w:r>
      <w:hyperlink w:anchor="ib7dd323ab1d248519cd6bbc987f2a646_64">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rental expense for operating lease commitments and total rental income and rental expense for operating and Finance sub-lease commitments and contractual rent expense under these agreements were as follows:</w:t>
      </w:r>
    </w:p>
    <w:tbl>
      <w:tblPr>
        <w:tblW w:w="7122" w:type="dxa"/>
        <w:jc w:val="left"/>
        <w:tblInd w:w="0" w:type="dxa"/>
        <w:tblLayout w:type="fixed"/>
        <w:tblCellMar>
          <w:top w:w="28" w:type="dxa"/>
          <w:left w:w="28" w:type="dxa"/>
          <w:bottom w:w="28" w:type="dxa"/>
          <w:right w:w="28" w:type="dxa"/>
        </w:tblCellMar>
      </w:tblPr>
      <w:tblGrid>
        <w:gridCol w:w="930"/>
        <w:gridCol w:w="815"/>
        <w:gridCol w:w="819"/>
        <w:gridCol w:w="224"/>
        <w:gridCol w:w="497"/>
        <w:gridCol w:w="109"/>
        <w:gridCol w:w="109"/>
        <w:gridCol w:w="109"/>
        <w:gridCol w:w="109"/>
        <w:gridCol w:w="224"/>
        <w:gridCol w:w="497"/>
        <w:gridCol w:w="109"/>
        <w:gridCol w:w="109"/>
        <w:gridCol w:w="109"/>
        <w:gridCol w:w="109"/>
        <w:gridCol w:w="211"/>
        <w:gridCol w:w="616"/>
        <w:gridCol w:w="109"/>
        <w:gridCol w:w="109"/>
        <w:gridCol w:w="109"/>
        <w:gridCol w:w="109"/>
        <w:gridCol w:w="211"/>
        <w:gridCol w:w="616"/>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Rental expense </w:t>
            </w:r>
            <w:r>
              <w:rPr>
                <w:rFonts w:ascii="Times New Roman;sans-serif" w:hAnsi="Times New Roman;sans-serif"/>
                <w:b w:val="false"/>
                <w:i/>
                <w:color w:val="000000"/>
                <w:sz w:val="13"/>
              </w:rPr>
              <w:t>(1)</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rent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sub-leases</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Rental income and expense </w:t>
            </w:r>
            <w:r>
              <w:rPr>
                <w:rFonts w:ascii="Times New Roman;sans-serif" w:hAnsi="Times New Roman;sans-serif"/>
                <w:b w:val="false"/>
                <w:i/>
                <w:color w:val="000000"/>
                <w:sz w:val="13"/>
              </w:rPr>
              <w:t>(2)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rent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sub-leases</w:t>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Rental income and expense </w:t>
            </w:r>
            <w:r>
              <w:rPr>
                <w:rFonts w:ascii="Times New Roman;sans-serif" w:hAnsi="Times New Roman;sans-serif"/>
                <w:b w:val="false"/>
                <w:i/>
                <w:color w:val="000000"/>
                <w:sz w:val="13"/>
              </w:rPr>
              <w:t>(2)</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rent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Total rental expense is included in golf operations and general and administrative expenses in our Statement of Operations.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Total rental income and rental expense for operating and finance sub-lease commitments are presented gross and included in Other income and Other expenses in our Statement of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future minimum lease commitments relating to the base lease rent portion of noncancelable operating leases and ground and use sub-leases at September 30, 2024 are as follows: </w:t>
      </w:r>
    </w:p>
    <w:tbl>
      <w:tblPr>
        <w:tblW w:w="10205" w:type="dxa"/>
        <w:jc w:val="left"/>
        <w:tblInd w:w="0" w:type="dxa"/>
        <w:tblLayout w:type="fixed"/>
        <w:tblCellMar>
          <w:top w:w="28" w:type="dxa"/>
          <w:left w:w="28" w:type="dxa"/>
          <w:bottom w:w="28" w:type="dxa"/>
          <w:right w:w="28" w:type="dxa"/>
        </w:tblCellMar>
      </w:tblPr>
      <w:tblGrid>
        <w:gridCol w:w="969"/>
        <w:gridCol w:w="820"/>
        <w:gridCol w:w="773"/>
        <w:gridCol w:w="109"/>
        <w:gridCol w:w="109"/>
        <w:gridCol w:w="109"/>
        <w:gridCol w:w="412"/>
        <w:gridCol w:w="1409"/>
        <w:gridCol w:w="214"/>
        <w:gridCol w:w="109"/>
        <w:gridCol w:w="109"/>
        <w:gridCol w:w="109"/>
        <w:gridCol w:w="460"/>
        <w:gridCol w:w="1576"/>
        <w:gridCol w:w="240"/>
        <w:gridCol w:w="109"/>
        <w:gridCol w:w="109"/>
        <w:gridCol w:w="109"/>
        <w:gridCol w:w="369"/>
        <w:gridCol w:w="1708"/>
        <w:gridCol w:w="274"/>
      </w:tblGrid>
      <w:tr>
        <w:trPr/>
        <w:tc>
          <w:tcPr>
            <w:tcW w:w="96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Sub-Lease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Financing Sub-Lease Commitments</w:t>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15,838 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65,269 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65,269 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65,269 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65,333 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2,695,542 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31,583 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19,689 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3,038,420 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Discounting factor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2,174,077 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21,212 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18,495 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864,343 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Discount rates </w:t>
            </w:r>
            <w:r>
              <w:rPr>
                <w:rFonts w:ascii="Times New Roman;sans-serif" w:hAnsi="Times New Roman;sans-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5.3% – 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2.6% – 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5.6% – 8.3%</w:t>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years</w:t>
            </w:r>
          </w:p>
        </w:tc>
      </w:tr>
    </w:tbl>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The discount rates for the leases were determined based on the yield of our then current secured borrowings, adjusted to match borrowings of similar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84785"/>
                <wp:effectExtent l="0" t="0" r="0" b="0"/>
                <wp:wrapNone/>
                <wp:docPr id="39" name="Frame3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11 — Stockholders' Equity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Stock</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Authorized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have the authority to issue 1,400,000,000 shares of stock, consisting of 1,350,000,000 shares of common stock, $0.01 par value per share, and 50,000,000 shares of preferred stock, $0.01 par value per share.</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Public Offerings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offer shares of our common stock through public offerings registered with the SEC. In connection with such offerings, we may issue and sell the offered shares of common stock upon settlement of the offering or, alternatively, enter into forward sale agreements with respect to all or a portion of the shares of common stock sold in such public offerings, pursuant to which the offered shares are borrowed by the forward sale purchasers and the issuance of such shares takes place upon settlement of the applicable forward sale agreement in accordance with its terms.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Marketed Forward Offerings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marketed public offering activity subject to forward sale agreements during the three and nine months ended September 30, 2023. There was no marketed public forward offering activity during the three and nine months ended September 30, 2024. </w:t>
      </w:r>
    </w:p>
    <w:tbl>
      <w:tblPr>
        <w:tblW w:w="10205" w:type="dxa"/>
        <w:jc w:val="left"/>
        <w:tblInd w:w="0" w:type="dxa"/>
        <w:tblLayout w:type="fixed"/>
        <w:tblCellMar>
          <w:top w:w="28" w:type="dxa"/>
          <w:left w:w="28" w:type="dxa"/>
          <w:bottom w:w="28" w:type="dxa"/>
          <w:right w:w="28" w:type="dxa"/>
        </w:tblCellMar>
      </w:tblPr>
      <w:tblGrid>
        <w:gridCol w:w="466"/>
        <w:gridCol w:w="410"/>
        <w:gridCol w:w="413"/>
        <w:gridCol w:w="292"/>
        <w:gridCol w:w="292"/>
        <w:gridCol w:w="293"/>
        <w:gridCol w:w="109"/>
        <w:gridCol w:w="109"/>
        <w:gridCol w:w="109"/>
        <w:gridCol w:w="554"/>
        <w:gridCol w:w="531"/>
        <w:gridCol w:w="264"/>
        <w:gridCol w:w="109"/>
        <w:gridCol w:w="109"/>
        <w:gridCol w:w="109"/>
        <w:gridCol w:w="264"/>
        <w:gridCol w:w="773"/>
        <w:gridCol w:w="136"/>
        <w:gridCol w:w="109"/>
        <w:gridCol w:w="109"/>
        <w:gridCol w:w="109"/>
        <w:gridCol w:w="230"/>
        <w:gridCol w:w="1065"/>
        <w:gridCol w:w="119"/>
        <w:gridCol w:w="109"/>
        <w:gridCol w:w="109"/>
        <w:gridCol w:w="109"/>
        <w:gridCol w:w="277"/>
        <w:gridCol w:w="811"/>
        <w:gridCol w:w="143"/>
        <w:gridCol w:w="109"/>
        <w:gridCol w:w="109"/>
        <w:gridCol w:w="109"/>
        <w:gridCol w:w="217"/>
        <w:gridCol w:w="850"/>
        <w:gridCol w:w="170"/>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 except share and per share data)</w:t>
            </w:r>
          </w:p>
        </w:tc>
        <w:tc>
          <w:tcPr>
            <w:tcW w:w="87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Effective Date </w:t>
            </w:r>
            <w:r>
              <w:rPr>
                <w:rFonts w:ascii="Times New Roman;sans-serif" w:hAnsi="Times New Roman;sans-serif"/>
                <w:b/>
                <w:i/>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Total Shares Sold </w:t>
            </w:r>
            <w:r>
              <w:rPr>
                <w:rFonts w:ascii="Times New Roman;sans-serif" w:hAnsi="Times New Roman;sans-serif"/>
                <w:b/>
                <w:i/>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Public Offering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Offering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Initial Forward Sale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Initial Net Value</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2023 Offering</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January 18,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30,302,500 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964,400 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(1)All forward sale agreements require settlement within one year of the Effective Date. </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(2)The amounts are inclusive of 3,952,500 shares sold pursuant to the exercise in full of the underwriters’ option to purchase additional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we did not have any shares outstanding from our marketed public forward offerings subject to forward sale agreements. Refer to “At-the-Market Offering Program” below for information regarding the share activity and shares outstanding under our ATM Program (as defined below). Refer to “Forward Settlement Activity” below for information regarding the settlement of the forward offerings.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did not receive any proceeds from the sale of shares at the time we entered into the forward sale agreement. We determined that the forward sale agreement meets the criteria for equity classification and, therefore, is exempt from derivative accounting. We recorded the forward sale agreement at fair value at inception, which we determined to be zero. Subsequent changes to fair value are not required under equity classification.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At-the-Market Offering Program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6, 2024, we entered into an equity distribution agreement, pursuant to which we may sell, from time to time, up to an aggregate sales price of $2.0 billion of our common stock and concurrently terminated our previous equity distribution agreement (collectively under both equity distribution agreements, the “ATM Program”). Sales of common stock, if any, made pursuant to the ATM Program may be sold in negotiated transactions or transactions that are deemed to be “at the market” offerings, as defined in Rule 415 of the Securities Act. The ATM Program also provides that the Company may sell shares of its common stock under the ATM Program through forward sale agreements. Actual sales under the ATM Program will depend on a variety of factors including market conditions, the trading price of our common stock, our capital needs, and our determination of the appropriate sources of funding to meet such needs.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84785"/>
                <wp:effectExtent l="0" t="0" r="0" b="0"/>
                <wp:wrapNone/>
                <wp:docPr id="40" name="Frame3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activity under the ATM Program during the nine months ended September 30, 2024 and 2023, all of which were sold subject to forward sale agreements, which we refer to as ATM forward sale agreements. </w:t>
      </w:r>
    </w:p>
    <w:tbl>
      <w:tblPr>
        <w:tblW w:w="10205" w:type="dxa"/>
        <w:jc w:val="left"/>
        <w:tblInd w:w="0" w:type="dxa"/>
        <w:tblLayout w:type="fixed"/>
        <w:tblCellMar>
          <w:top w:w="28" w:type="dxa"/>
          <w:left w:w="28" w:type="dxa"/>
          <w:bottom w:w="28" w:type="dxa"/>
          <w:right w:w="28" w:type="dxa"/>
        </w:tblCellMar>
      </w:tblPr>
      <w:tblGrid>
        <w:gridCol w:w="786"/>
        <w:gridCol w:w="614"/>
        <w:gridCol w:w="619"/>
        <w:gridCol w:w="504"/>
        <w:gridCol w:w="483"/>
        <w:gridCol w:w="339"/>
        <w:gridCol w:w="109"/>
        <w:gridCol w:w="109"/>
        <w:gridCol w:w="109"/>
        <w:gridCol w:w="327"/>
        <w:gridCol w:w="955"/>
        <w:gridCol w:w="169"/>
        <w:gridCol w:w="109"/>
        <w:gridCol w:w="109"/>
        <w:gridCol w:w="109"/>
        <w:gridCol w:w="225"/>
        <w:gridCol w:w="884"/>
        <w:gridCol w:w="116"/>
        <w:gridCol w:w="109"/>
        <w:gridCol w:w="109"/>
        <w:gridCol w:w="109"/>
        <w:gridCol w:w="351"/>
        <w:gridCol w:w="1027"/>
        <w:gridCol w:w="181"/>
        <w:gridCol w:w="109"/>
        <w:gridCol w:w="109"/>
        <w:gridCol w:w="109"/>
        <w:gridCol w:w="254"/>
        <w:gridCol w:w="870"/>
        <w:gridCol w:w="193"/>
      </w:tblGrid>
      <w:tr>
        <w:trPr/>
        <w:tc>
          <w:tcPr>
            <w:tcW w:w="78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and per share data)</w:t>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Share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Forward Sales Price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Net Value</w:t>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2023 ATM Forward Sale Agreement</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327,306 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2023 ATM Forward Sale Agreement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271,071 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2023 ATM Forward Sale Agreement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7,572,281 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229,129 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January 2024 ATM Forward Sale Agreement </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9,662,116 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302,411 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2024 ATM Forward Sale Agreement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1,996,483 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66,091 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receive any proceeds from the sale of shares at the time we entered into each of the ATM forward sale agreements. We determined that the ATM forward sale agreements meet the criteria for equity classification and, therefore, are exempt from derivative accounting. We recorded the ATM forward sale agreements at fair value at inception, which we determined to be zero. Subsequent changes to fair value are not required under equity classification.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had approximately 20.9 million forward shares remaining to be settled under our ATM Program. The net forward sales price per share of forward shares sold under the ATM Program was $30.22 and would result in us receiving approximately $630.2 million in net cash proceeds if we were to physically settle the shares. Alternatively, if we were to cash settle the shares under the ATM forward sale agreements, it would result in a cash inflow of $64.4 million, or, if we were to net share settle the shares under the ATM forward sale agreements, it would result in us receiving approximately 1,933,443 shares of common stock.</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Forward Settlement Activity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settlement activity of the outstanding forward shares under our marketed public offerings and the ATM Program during the nine months ended September 30, 2024 and 2023. Subsequent to quarter-end, on October 1, 2024, we physically settled 7,000,000 forward shares under an ATM forward sale agreement in exchange for total net settlement proceeds of approximately $200.9 million.</w:t>
      </w:r>
    </w:p>
    <w:tbl>
      <w:tblPr>
        <w:tblW w:w="10205" w:type="dxa"/>
        <w:jc w:val="left"/>
        <w:tblInd w:w="0" w:type="dxa"/>
        <w:tblLayout w:type="fixed"/>
        <w:tblCellMar>
          <w:top w:w="28" w:type="dxa"/>
          <w:left w:w="28" w:type="dxa"/>
          <w:bottom w:w="28" w:type="dxa"/>
          <w:right w:w="28" w:type="dxa"/>
        </w:tblCellMar>
      </w:tblPr>
      <w:tblGrid>
        <w:gridCol w:w="1011"/>
        <w:gridCol w:w="824"/>
        <w:gridCol w:w="830"/>
        <w:gridCol w:w="408"/>
        <w:gridCol w:w="408"/>
        <w:gridCol w:w="409"/>
        <w:gridCol w:w="109"/>
        <w:gridCol w:w="109"/>
        <w:gridCol w:w="109"/>
        <w:gridCol w:w="398"/>
        <w:gridCol w:w="398"/>
        <w:gridCol w:w="400"/>
        <w:gridCol w:w="109"/>
        <w:gridCol w:w="109"/>
        <w:gridCol w:w="109"/>
        <w:gridCol w:w="694"/>
        <w:gridCol w:w="586"/>
        <w:gridCol w:w="540"/>
        <w:gridCol w:w="109"/>
        <w:gridCol w:w="109"/>
        <w:gridCol w:w="109"/>
        <w:gridCol w:w="410"/>
        <w:gridCol w:w="1606"/>
        <w:gridCol w:w="302"/>
      </w:tblGrid>
      <w:tr>
        <w:trPr/>
        <w:tc>
          <w:tcPr>
            <w:tcW w:w="101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2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 except share data)</w:t>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 Settled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Net Proceeds Upon Settlement</w:t>
            </w:r>
          </w:p>
        </w:tc>
      </w:tr>
      <w:tr>
        <w:trPr/>
        <w:tc>
          <w:tcPr>
            <w:tcW w:w="2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2024</w:t>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 Forward Shares</w:t>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4,000,000 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115,231 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2022 Forward Sale Agreements</w:t>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18,975,000 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575,600 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 Forward Shares</w:t>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21,617,592 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696,643 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2023 Offering</w:t>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30,302,500 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960,500 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84785"/>
                <wp:effectExtent l="0" t="0" r="0" b="0"/>
                <wp:wrapNone/>
                <wp:docPr id="41" name="Frame4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Common Stock Outstanding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issuance of outstanding shares of common stock, including restricted common stock:</w:t>
      </w:r>
    </w:p>
    <w:tbl>
      <w:tblPr>
        <w:tblW w:w="10205" w:type="dxa"/>
        <w:jc w:val="left"/>
        <w:tblInd w:w="0" w:type="dxa"/>
        <w:tblLayout w:type="fixed"/>
        <w:tblCellMar>
          <w:top w:w="28" w:type="dxa"/>
          <w:left w:w="28" w:type="dxa"/>
          <w:bottom w:w="28" w:type="dxa"/>
          <w:right w:w="28" w:type="dxa"/>
        </w:tblCellMar>
      </w:tblPr>
      <w:tblGrid>
        <w:gridCol w:w="2152"/>
        <w:gridCol w:w="1893"/>
        <w:gridCol w:w="1898"/>
        <w:gridCol w:w="109"/>
        <w:gridCol w:w="109"/>
        <w:gridCol w:w="109"/>
        <w:gridCol w:w="928"/>
        <w:gridCol w:w="408"/>
        <w:gridCol w:w="233"/>
        <w:gridCol w:w="233"/>
        <w:gridCol w:w="233"/>
        <w:gridCol w:w="233"/>
        <w:gridCol w:w="927"/>
        <w:gridCol w:w="409"/>
        <w:gridCol w:w="331"/>
      </w:tblGrid>
      <w:tr>
        <w:trPr/>
        <w:tc>
          <w:tcPr>
            <w:tcW w:w="2152"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5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Common Stock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Beginning Balance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1,042,702,763 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963,096,563 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physical settlement of forward sale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53,192,592 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r>
      <w:tr>
        <w:trPr/>
        <w:tc>
          <w:tcPr>
            <w:tcW w:w="5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and unrestricted common stock under the stock incentive program,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469,718 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538,728 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Ending Balance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1,047,172,481 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1,016,827,883 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Distributions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Dividends declared (on a per share basis) during the nine months ended September 30, 2024 and 2023 were as follows:</w:t>
      </w:r>
    </w:p>
    <w:tbl>
      <w:tblPr>
        <w:tblW w:w="10088" w:type="dxa"/>
        <w:jc w:val="left"/>
        <w:tblInd w:w="0" w:type="dxa"/>
        <w:tblLayout w:type="fixed"/>
        <w:tblCellMar>
          <w:top w:w="28" w:type="dxa"/>
          <w:left w:w="28" w:type="dxa"/>
          <w:bottom w:w="28" w:type="dxa"/>
          <w:right w:w="28" w:type="dxa"/>
        </w:tblCellMar>
      </w:tblPr>
      <w:tblGrid>
        <w:gridCol w:w="592"/>
        <w:gridCol w:w="520"/>
        <w:gridCol w:w="523"/>
        <w:gridCol w:w="109"/>
        <w:gridCol w:w="109"/>
        <w:gridCol w:w="109"/>
        <w:gridCol w:w="574"/>
        <w:gridCol w:w="574"/>
        <w:gridCol w:w="577"/>
        <w:gridCol w:w="109"/>
        <w:gridCol w:w="109"/>
        <w:gridCol w:w="109"/>
        <w:gridCol w:w="469"/>
        <w:gridCol w:w="469"/>
        <w:gridCol w:w="471"/>
        <w:gridCol w:w="109"/>
        <w:gridCol w:w="109"/>
        <w:gridCol w:w="109"/>
        <w:gridCol w:w="970"/>
        <w:gridCol w:w="970"/>
        <w:gridCol w:w="985"/>
        <w:gridCol w:w="109"/>
        <w:gridCol w:w="109"/>
        <w:gridCol w:w="109"/>
        <w:gridCol w:w="211"/>
        <w:gridCol w:w="721"/>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2024</w:t>
            </w:r>
          </w:p>
        </w:tc>
      </w:tr>
      <w:tr>
        <w:trPr/>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2024 –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2024 –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2024 –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088" w:type="dxa"/>
        <w:jc w:val="left"/>
        <w:tblInd w:w="0" w:type="dxa"/>
        <w:tblLayout w:type="fixed"/>
        <w:tblCellMar>
          <w:top w:w="28" w:type="dxa"/>
          <w:left w:w="28" w:type="dxa"/>
          <w:bottom w:w="28" w:type="dxa"/>
          <w:right w:w="28" w:type="dxa"/>
        </w:tblCellMar>
      </w:tblPr>
      <w:tblGrid>
        <w:gridCol w:w="592"/>
        <w:gridCol w:w="520"/>
        <w:gridCol w:w="523"/>
        <w:gridCol w:w="109"/>
        <w:gridCol w:w="109"/>
        <w:gridCol w:w="109"/>
        <w:gridCol w:w="574"/>
        <w:gridCol w:w="574"/>
        <w:gridCol w:w="577"/>
        <w:gridCol w:w="109"/>
        <w:gridCol w:w="109"/>
        <w:gridCol w:w="109"/>
        <w:gridCol w:w="469"/>
        <w:gridCol w:w="469"/>
        <w:gridCol w:w="471"/>
        <w:gridCol w:w="109"/>
        <w:gridCol w:w="109"/>
        <w:gridCol w:w="109"/>
        <w:gridCol w:w="970"/>
        <w:gridCol w:w="970"/>
        <w:gridCol w:w="985"/>
        <w:gridCol w:w="109"/>
        <w:gridCol w:w="109"/>
        <w:gridCol w:w="109"/>
        <w:gridCol w:w="211"/>
        <w:gridCol w:w="721"/>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r>
      <w:tr>
        <w:trPr/>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2023 –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2023 –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 –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12 — Earnings Per Share and Earnings Per Unit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p>
      <w:pPr>
        <w:pStyle w:val="TextBody"/>
        <w:bidi w:val="0"/>
        <w:spacing w:lineRule="auto" w:line="288" w:before="180" w:after="283"/>
        <w:jc w:val="both"/>
        <w:rPr/>
      </w:pPr>
      <w:r>
        <w:rPr>
          <w:rFonts w:ascii="Times New Roman;sans-serif" w:hAnsi="Times New Roman;sans-serif"/>
          <w:b w:val="false"/>
          <w:color w:val="000000"/>
          <w:sz w:val="20"/>
        </w:rPr>
        <w:t xml:space="preserve">Basic earnings per share is computed by dividing net income attributable to common stockholders by the weighted-average number of shares of common stock outstanding during the period. Diluted earnings per share reflects the additional dilution for all potentially dilutive securities such as stock options, unvested restricted shares, unvested performance-based restricted shares and the shares to be issued by us upon settlement of any outstanding forward sale agreements for the period such dilutive security is outstanding. The shares issuable upon settlement of any outstanding forward sale agreements, as described in </w:t>
      </w:r>
      <w:hyperlink w:anchor="ib7dd323ab1d248519cd6bbc987f2a646_82">
        <w:r>
          <w:rPr>
            <w:rStyle w:val="InternetLink"/>
            <w:rFonts w:ascii="Times New Roman;sans-serif" w:hAnsi="Times New Roman;sans-serif"/>
            <w:b w:val="false"/>
            <w:color w:val="0000FF"/>
            <w:sz w:val="20"/>
            <w:u w:val="single"/>
          </w:rPr>
          <w:t>Note 11 – Stockholder’s Equity</w:t>
        </w:r>
      </w:hyperlink>
      <w:r>
        <w:rPr>
          <w:rFonts w:ascii="Times New Roman;sans-serif" w:hAnsi="Times New Roman;sans-serif"/>
          <w:b w:val="false"/>
          <w:color w:val="000000"/>
          <w:sz w:val="20"/>
        </w:rPr>
        <w:t xml:space="preserve">, are reflected in the diluted earnings per share calculations using the treasury stock method for the period outstanding prior to settlement. Under this method, the number of shares of our common stock used in calculating diluted earnings per share is deemed to be increased by the excess, if any, of the number of shares of common stock that would be issued upon full physical settlement of the shares under any outstanding forward sale agreements for the period prior to settlement over the number of shares of common stock that could be purchased by us in the market (based on the average market price during the period prior to settlement) using the proceeds receivable upon full physical settlement (based on the adjusted forward sales price immediately prior to settlement).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84785"/>
                <wp:effectExtent l="0" t="0" r="0" b="0"/>
                <wp:wrapNone/>
                <wp:docPr id="42" name="Frame4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the weighted-average shares of common stock outstanding used in the calculation of basic earnings per share to the weighted-average shares of common stock outstanding used in the calculation of diluted earnings per share:</w:t>
      </w:r>
    </w:p>
    <w:tbl>
      <w:tblPr>
        <w:tblW w:w="10205" w:type="dxa"/>
        <w:jc w:val="left"/>
        <w:tblInd w:w="0" w:type="dxa"/>
        <w:tblLayout w:type="fixed"/>
        <w:tblCellMar>
          <w:top w:w="28" w:type="dxa"/>
          <w:left w:w="28" w:type="dxa"/>
          <w:bottom w:w="28" w:type="dxa"/>
          <w:right w:w="28" w:type="dxa"/>
        </w:tblCellMar>
      </w:tblPr>
      <w:tblGrid>
        <w:gridCol w:w="1578"/>
        <w:gridCol w:w="1328"/>
        <w:gridCol w:w="1333"/>
        <w:gridCol w:w="533"/>
        <w:gridCol w:w="443"/>
        <w:gridCol w:w="171"/>
        <w:gridCol w:w="171"/>
        <w:gridCol w:w="171"/>
        <w:gridCol w:w="171"/>
        <w:gridCol w:w="533"/>
        <w:gridCol w:w="443"/>
        <w:gridCol w:w="171"/>
        <w:gridCol w:w="109"/>
        <w:gridCol w:w="109"/>
        <w:gridCol w:w="109"/>
        <w:gridCol w:w="494"/>
        <w:gridCol w:w="482"/>
        <w:gridCol w:w="161"/>
        <w:gridCol w:w="161"/>
        <w:gridCol w:w="161"/>
        <w:gridCol w:w="161"/>
        <w:gridCol w:w="494"/>
        <w:gridCol w:w="482"/>
        <w:gridCol w:w="236"/>
      </w:tblGrid>
      <w:tr>
        <w:trPr/>
        <w:tc>
          <w:tcPr>
            <w:tcW w:w="157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4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4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Determination of shares:</w:t>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common stock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1,046,627 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1,012,987 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1,043,922 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1,007,110 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conversion of restricted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settlement of forward sale agreements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 of common stock outstanding</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1,048,338 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1,013,590 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1,044,897 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1,008,437 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73"/>
        <w:gridCol w:w="1306"/>
        <w:gridCol w:w="1314"/>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67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per share data)</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1,765,771 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common stock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1,765,771 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 of common stock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Earnings Per Unit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section presents the basic earnings per unit (“EPU”) and diluted EPU of VICI OP, our operating partnership and the direct parent and 100% interest holder in VICI LP. VICI LP’s interests are not expressed in units. However, given that VICI OP has a unit ownership structure and the financial information of VICI OP is substantially identical with that of VICI LP, we have elected to present the EPU of VICI OP. Basic EPU is computed by dividing net income attributable to partners’ capital by the weighted-average number of units outstanding during the period. In accordance with the VICI OP limited liability company agreement, for each share of common stock issued at VICI, a corresponding unit is issued by VICI OP. Accordingly, diluted EPU reflects the additional dilution for all potentially dilutive units resulting from potentially dilutive VICI stock issuances, such as options, unvested restricted stock awards, unvested performance-based restricted stock unit awards and units to be issued by us upon settlement of any outstanding forward sale agreements of VICI for the period such dilutive security is outstanding. The units issuable upon settlement of any outstanding forward sale agreements of VICI are reflected in the diluted EPU calculations using the treasury stock method for the period outstanding prior to settlement. Under this method, the number of units used in calculating diluted EPU is deemed to be increased by the excess, if any, of the number of units that would be issued upon full physical settlement of the units under any outstanding forward sale agreements for the period prior to settlement over the number of shares of VICI common stock that could be purchased by us in the market (based on the average market price during the period prior to settlement) using the proceeds receivable upon full physical settlement (based on the adjusted forward sales price immediately prior to settlement). Upon VICI’s physical settlement of the shares of VICI common stock under the outstanding forward sale agreement, the delivery of shares of VICI common stock resulted in an increase in the number of VICI OP Units outstanding and resulting dilution to EPU.</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84785"/>
                <wp:effectExtent l="0" t="0" r="0" b="0"/>
                <wp:wrapNone/>
                <wp:docPr id="43" name="Frame4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the weighted-average units outstanding used in the calculation of basic EPU to the weighted-average units outstanding used in the calculation of diluted EPU:</w:t>
      </w:r>
    </w:p>
    <w:tbl>
      <w:tblPr>
        <w:tblW w:w="10205" w:type="dxa"/>
        <w:jc w:val="left"/>
        <w:tblInd w:w="0" w:type="dxa"/>
        <w:tblLayout w:type="fixed"/>
        <w:tblCellMar>
          <w:top w:w="28" w:type="dxa"/>
          <w:left w:w="28" w:type="dxa"/>
          <w:bottom w:w="28" w:type="dxa"/>
          <w:right w:w="28" w:type="dxa"/>
        </w:tblCellMar>
      </w:tblPr>
      <w:tblGrid>
        <w:gridCol w:w="1499"/>
        <w:gridCol w:w="1296"/>
        <w:gridCol w:w="1302"/>
        <w:gridCol w:w="533"/>
        <w:gridCol w:w="443"/>
        <w:gridCol w:w="186"/>
        <w:gridCol w:w="186"/>
        <w:gridCol w:w="186"/>
        <w:gridCol w:w="186"/>
        <w:gridCol w:w="533"/>
        <w:gridCol w:w="443"/>
        <w:gridCol w:w="186"/>
        <w:gridCol w:w="109"/>
        <w:gridCol w:w="109"/>
        <w:gridCol w:w="109"/>
        <w:gridCol w:w="494"/>
        <w:gridCol w:w="482"/>
        <w:gridCol w:w="174"/>
        <w:gridCol w:w="174"/>
        <w:gridCol w:w="174"/>
        <w:gridCol w:w="174"/>
        <w:gridCol w:w="494"/>
        <w:gridCol w:w="482"/>
        <w:gridCol w:w="251"/>
      </w:tblGrid>
      <w:tr>
        <w:trPr/>
        <w:tc>
          <w:tcPr>
            <w:tcW w:w="149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4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Determination of units:</w:t>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units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1,058,858 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1,025,218 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1,056,153 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1,019,341 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conversion of VICI restricted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settlement of VICI forward sale agreements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units outstanding</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1,060,570 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1,025,821 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1,057,129 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1,020,669 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984" w:type="dxa"/>
        <w:jc w:val="left"/>
        <w:tblInd w:w="0" w:type="dxa"/>
        <w:tblLayout w:type="fixed"/>
        <w:tblCellMar>
          <w:top w:w="28" w:type="dxa"/>
          <w:left w:w="28" w:type="dxa"/>
          <w:bottom w:w="28" w:type="dxa"/>
          <w:right w:w="28" w:type="dxa"/>
        </w:tblCellMar>
      </w:tblPr>
      <w:tblGrid>
        <w:gridCol w:w="1112"/>
        <w:gridCol w:w="978"/>
        <w:gridCol w:w="984"/>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per share data)</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partners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units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EPU</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partners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units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EPU</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13 — Stock-Based Compensation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2017 Stock Incentive Plan (the “Plan”) is designed to provide long-term equity-based compensation to our directors and employees. The Plan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September 30, 2024, approximately 9.6 million shares of common stock remained available for issuance by us as equity awards under the Plan.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stock-based compensation expense recorded as General and administrative expense in the Statement of Operations:</w:t>
      </w:r>
    </w:p>
    <w:tbl>
      <w:tblPr>
        <w:tblW w:w="7980" w:type="dxa"/>
        <w:jc w:val="left"/>
        <w:tblInd w:w="0" w:type="dxa"/>
        <w:tblLayout w:type="fixed"/>
        <w:tblCellMar>
          <w:top w:w="28" w:type="dxa"/>
          <w:left w:w="28" w:type="dxa"/>
          <w:bottom w:w="28" w:type="dxa"/>
          <w:right w:w="28" w:type="dxa"/>
        </w:tblCellMar>
      </w:tblPr>
      <w:tblGrid>
        <w:gridCol w:w="1085"/>
        <w:gridCol w:w="954"/>
        <w:gridCol w:w="961"/>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84785"/>
                <wp:effectExtent l="0" t="0" r="0" b="0"/>
                <wp:wrapNone/>
                <wp:docPr id="44" name="Frame4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180" w:after="283"/>
        <w:jc w:val="left"/>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activity of our time-based restricted stock and performance-based restricted stock units:</w:t>
      </w:r>
    </w:p>
    <w:tbl>
      <w:tblPr>
        <w:tblW w:w="10205" w:type="dxa"/>
        <w:jc w:val="left"/>
        <w:tblInd w:w="0" w:type="dxa"/>
        <w:tblLayout w:type="fixed"/>
        <w:tblCellMar>
          <w:top w:w="28" w:type="dxa"/>
          <w:left w:w="28" w:type="dxa"/>
          <w:bottom w:w="28" w:type="dxa"/>
          <w:right w:w="28" w:type="dxa"/>
        </w:tblCellMar>
      </w:tblPr>
      <w:tblGrid>
        <w:gridCol w:w="782"/>
        <w:gridCol w:w="686"/>
        <w:gridCol w:w="690"/>
        <w:gridCol w:w="436"/>
        <w:gridCol w:w="437"/>
        <w:gridCol w:w="202"/>
        <w:gridCol w:w="178"/>
        <w:gridCol w:w="178"/>
        <w:gridCol w:w="178"/>
        <w:gridCol w:w="504"/>
        <w:gridCol w:w="1476"/>
        <w:gridCol w:w="260"/>
        <w:gridCol w:w="109"/>
        <w:gridCol w:w="109"/>
        <w:gridCol w:w="109"/>
        <w:gridCol w:w="475"/>
        <w:gridCol w:w="398"/>
        <w:gridCol w:w="175"/>
        <w:gridCol w:w="175"/>
        <w:gridCol w:w="175"/>
        <w:gridCol w:w="175"/>
        <w:gridCol w:w="492"/>
        <w:gridCol w:w="1438"/>
        <w:gridCol w:w="368"/>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2024</w:t>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Incentive and Time-Based Restricted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Performance-Based Restricted Stock Units</w:t>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beginning of period</w:t>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472,635 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765,582 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286,894 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531,268 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(175,262)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(243,615)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(141,052)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end of period</w:t>
            </w:r>
          </w:p>
        </w:tc>
        <w:tc>
          <w:tcPr>
            <w:tcW w:w="8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529,367 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912,183 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25.52 </w:t>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82"/>
        <w:gridCol w:w="686"/>
        <w:gridCol w:w="690"/>
        <w:gridCol w:w="436"/>
        <w:gridCol w:w="437"/>
        <w:gridCol w:w="202"/>
        <w:gridCol w:w="178"/>
        <w:gridCol w:w="178"/>
        <w:gridCol w:w="178"/>
        <w:gridCol w:w="504"/>
        <w:gridCol w:w="1476"/>
        <w:gridCol w:w="260"/>
        <w:gridCol w:w="109"/>
        <w:gridCol w:w="109"/>
        <w:gridCol w:w="109"/>
        <w:gridCol w:w="475"/>
        <w:gridCol w:w="398"/>
        <w:gridCol w:w="175"/>
        <w:gridCol w:w="175"/>
        <w:gridCol w:w="175"/>
        <w:gridCol w:w="175"/>
        <w:gridCol w:w="492"/>
        <w:gridCol w:w="1438"/>
        <w:gridCol w:w="368"/>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Incentive and Time-Based Restricted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Performance-Based Restricted Stock Units</w:t>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beginning of period</w:t>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507,339 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769,589 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208,179 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474,867 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(210,165)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(363,267)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(115,607)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end of period</w:t>
            </w:r>
          </w:p>
        </w:tc>
        <w:tc>
          <w:tcPr>
            <w:tcW w:w="8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472,635 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765,582 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there was $22.7 million of unrecognized compensation cost related to non-vested stock-based compensation arrangements under the Plan. This cost is expected to be recognized over a weighted average period of 1.8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84785"/>
                <wp:effectExtent l="0" t="0" r="0" b="0"/>
                <wp:wrapNone/>
                <wp:docPr id="45" name="Frame4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Item 2.        Management’s Discussion and Analysis of Financial Condition and Results of Operations</w:t>
      </w:r>
    </w:p>
    <w:p>
      <w:pPr>
        <w:pStyle w:val="TextBody"/>
        <w:bidi w:val="0"/>
        <w:spacing w:lineRule="auto" w:line="288" w:before="180" w:after="283"/>
        <w:jc w:val="both"/>
        <w:rPr/>
      </w:pPr>
      <w:r>
        <w:rPr>
          <w:rFonts w:ascii="Times New Roman;sans-serif" w:hAnsi="Times New Roman;sans-serif"/>
          <w:b w:val="false"/>
          <w:i/>
          <w:color w:val="000000"/>
          <w:sz w:val="20"/>
        </w:rPr>
        <w:t xml:space="preserve">The following discussion and analysis of the financial position and operating results of VICI Properties Inc. and VICI Properties L.P. for the three and nine months ended September 30, 2024 should be read in conjunction with the Financial Statements and related notes thereto and other financial information contained elsewhere in this Quarterly Report on Form 10-Q and the audited consolidated financial statements and related notes for the year ended December 31, 2023, which were included in our </w:t>
      </w:r>
      <w:hyperlink r:id="rId4">
        <w:r>
          <w:rPr>
            <w:rStyle w:val="InternetLink"/>
            <w:rFonts w:ascii="Times New Roman;sans-serif" w:hAnsi="Times New Roman;sans-serif"/>
            <w:b w:val="false"/>
            <w:i/>
            <w:color w:val="0000FF"/>
            <w:sz w:val="20"/>
            <w:u w:val="single"/>
          </w:rPr>
          <w:t>Annual Report on Form 10-K for the year ended December 31, 2023</w:t>
        </w:r>
      </w:hyperlink>
      <w:r>
        <w:rPr>
          <w:rFonts w:ascii="Times New Roman;sans-serif" w:hAnsi="Times New Roman;sans-serif"/>
          <w:b w:val="false"/>
          <w:i/>
          <w:color w:val="000000"/>
          <w:sz w:val="20"/>
        </w:rPr>
        <w:t xml:space="preserve">. All defined terms included herein have the same meaning as those set forth in the </w:t>
      </w:r>
      <w:hyperlink w:anchor="ib7dd323ab1d248519cd6bbc987f2a646_46">
        <w:r>
          <w:rPr>
            <w:rStyle w:val="InternetLink"/>
            <w:rFonts w:ascii="Times New Roman;sans-serif" w:hAnsi="Times New Roman;sans-serif"/>
            <w:b w:val="false"/>
            <w:i/>
            <w:color w:val="0000FF"/>
            <w:sz w:val="20"/>
            <w:u w:val="single"/>
          </w:rPr>
          <w:t>Notes to the Consolidated Financial Statements</w:t>
        </w:r>
      </w:hyperlink>
      <w:r>
        <w:rPr>
          <w:color w:val="000000"/>
        </w:rPr>
        <w:t xml:space="preserve"> </w:t>
      </w:r>
      <w:r>
        <w:rPr>
          <w:rFonts w:ascii="Times New Roman;sans-serif" w:hAnsi="Times New Roman;sans-serif"/>
          <w:b w:val="false"/>
          <w:i/>
          <w:color w:val="000000"/>
          <w:sz w:val="20"/>
        </w:rPr>
        <w:t xml:space="preserve">contained within this Quarterly Report on Form 10-Q. </w:t>
      </w:r>
    </w:p>
    <w:p>
      <w:pPr>
        <w:pStyle w:val="TextBody"/>
        <w:bidi w:val="0"/>
        <w:spacing w:lineRule="auto" w:line="288" w:before="240" w:after="60"/>
        <w:jc w:val="center"/>
        <w:rPr>
          <w:rFonts w:ascii="Times New Roman;sans-serif" w:hAnsi="Times New Roman;sans-serif"/>
          <w:b/>
          <w:color w:val="000000"/>
          <w:sz w:val="22"/>
        </w:rPr>
      </w:pPr>
      <w:r>
        <w:rPr>
          <w:rFonts w:ascii="Times New Roman;sans-serif" w:hAnsi="Times New Roman;sans-serif"/>
          <w:b/>
          <w:color w:val="000000"/>
          <w:sz w:val="22"/>
        </w:rPr>
        <w:t>CAUTIONARY NOTE REGARDING FORWARD-LOOKING STATEMENTS</w:t>
      </w:r>
    </w:p>
    <w:p>
      <w:pPr>
        <w:pStyle w:val="TextBody"/>
        <w:bidi w:val="0"/>
        <w:spacing w:lineRule="auto" w:line="288" w:before="240" w:after="60"/>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statements in this Quarterly Report on Form 10-Q, including statements such as “anticipate,” “believe,” “estimate,” “expect,” “intend,” “plan,” “project,” “target,” “can,” “could,” “may,” “should,” “will,” “would” or similar expressions, constitute “forward-looking statements” within the meaning of the federal securities law. Forward-looking statements are based on our current plans, expectations and projections about future events. We therefore caution you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the impact of changes in general economic conditions and market developments, including inflation, interest rates, supply chain disruptions, consumer confidence levels, changes in consumer spending, unemployment levels and depressed real estate prices resulting from the severity and duration of any downturn in the U.S. or global economy; the impact of the changing interest rate environment on us, including our ability to successfully pursue investments in, and acquisitions of, additional properties and to obtain debt financing for such investments at attractive interest rates, or at all; risks associated with our completed transactions, including our ability or failure to realize the anticipated benefits thereof; our dependence on our tenants at our properties and their affiliates that serve as guarantors of the lease payments, and the negative consequences any material adverse effect on their respective businesses could have on us; the possibility that any future transactions may not be consummated on the terms or timeframes contemplated, or at all, including our ability to obtain the financing necessary to complete any acquisitions on the terms we expect in a timely manner, or at all, the ability of the parties to satisfy the conditions set forth in the definitive transaction documents, including the receipt of, or delays in obtaining, governmental and regulatory approvals and consents required to consummate such transactions, or other delays or impediments to completing the transactions; the anticipated benefits of certain arrangements with certain tenants in connection with our funding of “same store” capital improvements in exchange for increased rent pursuant to the terms of our agreements with such tenants, which we refer to as the Partner Property Growth Fund; our decision and ability to exercise our purchase rights under our put-call agreements, call agreements, right of first refusal agreements and right of first offer agreements; our borrowers’ ability to repay their outstanding loan obligations to us; our dependence on the gaming industry; our ability to pursue our business and growth strategies may be limited by the requirement that we distribute 90% of our REIT taxable income in order to qualify for taxation as a REIT and that we distribute 100% of our REIT taxable income in order to avoid current entity-level U.S. federal income taxes; the impact of extensive regulation from gaming and other regulatory authorities; the ability of our tenants to obtain and maintain regulatory approvals in connection with the operation of our properties, or the imposition of conditions to such regulatory approvals; the possibility that our tenants may choose not to renew their respective lease agreements following the initial or subsequent terms of the leases; restrictions on our ability to sell our properties subject to the lease agreements; our tenants and any guarantors’ historical results may not be a reliable indicator of their future results; our substantial amount of indebtedness, and ability to service, refinance at attractive interest rates, or at all, and otherwise fulfill our obligations under such indebtedness; our historical financial information may not be reliable indicators of, our future results of operations, financial condition and cash flows; the possibility that we identify significant environmental, tax, legal or other issues, including additional costs or liabilities, that materially and adversely impact the value of assets acquired or secured as collateral (or other benefits we expect to receive) in any of our completed transactions; the impact of changes to U.S. federal income tax laws or global tax laws; the possibility of adverse tax consequences as a result of our completed transactions, including tax protection agreements to which we are a party; increased volatility in our stock price, including as a result of our completed transactions; our inability to maintain our qualification for taxation as a REIT; the impact of climate change, natural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84785"/>
                <wp:effectExtent l="0" t="0" r="0" b="0"/>
                <wp:wrapNone/>
                <wp:docPr id="46" name="Frame4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disasters, war, political and public health conditions or uncertainty or civil unrest, violence or terrorist activities or threats on our properties and changes in economic conditions or heightened travel security and health measures instituted in response to these events; the loss of the services of key personnel; the inability to attract, retain and motivate employees; the costs and liabilities associated with environmental compliance; failure to establish and maintain an effective system of integrated internal controls; our reliance on distributions received from our subsidiaries, including VICI OP, to make distributions to our stockholders; the potential impact on the amount of our cash distributions if we were to sell any of our properties in the future; our ability to continue to make distributions to holders of our common stock or maintain anticipated levels of distributions over time; 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 and additional factors discussed herein and listed from time to time as “Risk Factors” in our filings with the SEC, including without limitation, in our Annual Reports on Form 10-K, Quarterly Reports on Form 10-Q and Current Reports on Form 8-K.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of the assumptions underlying forward-looking statements could be inaccurate. You are cautioned not to place undue reliance on any forward-looking statements. All forward-looking statements are made as of the date of this Quarterly Report on Form 10-Q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OVERVIEW</w:t>
      </w:r>
    </w:p>
    <w:p>
      <w:pPr>
        <w:pStyle w:val="TextBody"/>
        <w:bidi w:val="0"/>
        <w:spacing w:lineRule="auto" w:line="288" w:before="180" w:after="283"/>
        <w:jc w:val="both"/>
        <w:rPr/>
      </w:pPr>
      <w:r>
        <w:rPr>
          <w:rFonts w:ascii="Times New Roman;sans-serif" w:hAnsi="Times New Roman;sans-serif"/>
          <w:b w:val="false"/>
          <w:color w:val="000000"/>
          <w:sz w:val="20"/>
        </w:rPr>
        <w:t xml:space="preserve">We are a Maryland corporation that is primarily engaged in the business of owning and acquiring gaming, hospitality and entertainment destinations, subject to long-term triple-net leases. We own 93 experiential assets across a geographically diverse portfolio consisting of 54 gaming properties and 39 other experiential properties across the United States and Canada, including Caesars Palace Las Vegas, MGM Grand and the Venetian Resort, three of the most iconic entertainment facilities on the Las Vegas Strip. Our properties are occupied by industry-leading gaming, leisure and hospitality operators under long-term, triple-net lease agreements. Across approximately </w:t>
      </w:r>
      <w:r>
        <w:rPr>
          <w:rFonts w:ascii="Times New Roman;sans-serif" w:hAnsi="Times New Roman;sans-serif"/>
          <w:b w:val="false"/>
          <w:color w:val="000000"/>
          <w:sz w:val="20"/>
          <w:shd w:fill="FFFFFF" w:val="clear"/>
        </w:rPr>
        <w:t xml:space="preserve">127 </w:t>
      </w:r>
      <w:r>
        <w:rPr>
          <w:rFonts w:ascii="Times New Roman;sans-serif" w:hAnsi="Times New Roman;sans-serif"/>
          <w:b w:val="false"/>
          <w:color w:val="000000"/>
          <w:sz w:val="20"/>
        </w:rPr>
        <w:t>million square feet, our well-maintained properties are curren</w:t>
      </w:r>
      <w:r>
        <w:rPr>
          <w:rFonts w:ascii="Times New Roman;sans-serif" w:hAnsi="Times New Roman;sans-serif"/>
          <w:b w:val="false"/>
          <w:color w:val="000000"/>
          <w:sz w:val="20"/>
          <w:shd w:fill="FFFFFF" w:val="clear"/>
        </w:rPr>
        <w:t>tly located across urban, destination and drive-to markets in twenty-six states and Canada, contain approximately 60,300 hotel rooms and feature over 500 restaurants, bars, nightclubs and sportsbooks.</w:t>
      </w:r>
    </w:p>
    <w:p>
      <w:pPr>
        <w:pStyle w:val="TextBody"/>
        <w:bidi w:val="0"/>
        <w:spacing w:lineRule="auto" w:line="288" w:before="180" w:after="283"/>
        <w:jc w:val="both"/>
        <w:rPr/>
      </w:pPr>
      <w:r>
        <w:rPr>
          <w:rFonts w:ascii="Times New Roman;sans-serif" w:hAnsi="Times New Roman;sans-serif"/>
          <w:b w:val="false"/>
          <w:color w:val="000000"/>
          <w:sz w:val="20"/>
        </w:rPr>
        <w:t xml:space="preserve">We also have a growing array of real estate and financing partnerships with leading operators in other experiential sectors, including Bowlero, Cabot, Canyon Ranch, Chelsea Piers, Great Wolf Resorts, Homefield, and Kalahari Resorts. This portfolio includes certain real estate debt investments that we have originated for strategic reasons, primarily in connection with transactions that either do or may provide the potential to convert our investment into the ownership of certain of the underlying real estate in the future. In addition, we own approximately 33 acres of undeveloped or underdeveloped land on and adjacent to the Las Vegas Strip that is leased to Caesars, which we may look to monetize as appropriate.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September 30, 2024</w:t>
      </w:r>
      <w:r>
        <w:rPr>
          <w:rFonts w:ascii="Times New Roman;sans-serif" w:hAnsi="Times New Roman;sans-serif"/>
          <w:b w:val="false"/>
          <w:color w:val="000000"/>
          <w:sz w:val="20"/>
          <w:shd w:fill="FFFFFF" w:val="clear"/>
        </w:rPr>
        <w:t xml:space="preserve">, our properties are 100% leased with a weighted average lease term, including extension options, of approximately 41.0 years. </w:t>
      </w:r>
      <w:r>
        <w:rPr>
          <w:rFonts w:ascii="Times New Roman;sans-serif" w:hAnsi="Times New Roman;sans-serif"/>
          <w:b w:val="false"/>
          <w:color w:val="000000"/>
          <w:sz w:val="20"/>
        </w:rPr>
        <w:t xml:space="preserve">VICI also owns four championship golf courses located near certain of our properties, two of which are in close proximity to the Las Vegas Strip.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have a mutually beneficial relationship with each of our tenants, all of which are leading owners and operators of gaming, entertainment and leisure properties. Our long-term triple-net lease agreements with our tenants provide us with a highly predictable revenue stream with embedded growth potential. We believe our geographic diversification limits the effect of changes in any one market on our overall performance. We are focused on driving long-term total returns through managing experiential asset growth and allocating capital diligently, maintaining a highly productive tenant base, and optimizing our capital structure to support external growth. As a growth focused public real estate investment trust with long-term investments, we believe our relationship with our partners will position us for additional investments in our current properties and the acquisition of additional properties across leisure and hospitality over the long-term.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portfolio is competitively positioned and well-maintained. Pursuant to the terms of our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Our long-term triple-net leases provide our tenants with complete control over management at our leased properties, including sole responsibility for all operations and related expenses, including property taxes, insurance and maintenance, repair, improvement and other capital expenditures, as well as over the implementation of environmental sustainability and other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84785"/>
                <wp:effectExtent l="0" t="0" r="0" b="0"/>
                <wp:wrapNone/>
                <wp:docPr id="47" name="Frame4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 our operations as a REIT for U.S. federal income tax purposes. We generally will not be subject to U.S. federal income taxes on our taxable income to the extent that we annually distribute all of our net taxable income to stockholders and maintain our qualification as a REIT. We believe VICI’s election of REIT status, combined with the income generation from the lease agreements and loans, will enhance our ability to make distributions to our stockholders, providing investors with current income as well as long-term growth, subject to the macroeconomic environment, other global events and market conditions more broadly. We conduct our real property business through VICI OP and our golf course business through a TRS, VICI Golf.</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information included in this Quarterly Report on Form 10-Q is our consolidated results (including the real property business and the golf course business) for the three and nine months ended September 30, 2024.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Impact of Material Trends on Our Business </w:t>
      </w:r>
    </w:p>
    <w:p>
      <w:pPr>
        <w:pStyle w:val="TextBody"/>
        <w:bidi w:val="0"/>
        <w:spacing w:lineRule="auto" w:line="288" w:before="180" w:after="283"/>
        <w:jc w:val="both"/>
        <w:rPr/>
      </w:pPr>
      <w:r>
        <w:rPr>
          <w:rFonts w:ascii="Times New Roman;sans-serif" w:hAnsi="Times New Roman;sans-serif"/>
          <w:b w:val="false"/>
          <w:color w:val="000000"/>
          <w:sz w:val="20"/>
        </w:rPr>
        <w:t xml:space="preserve">Recent macroeconomic volatility has introduced significant uncertainty and heightened risk for businesses, including us and our tenants, including the impact of a heightened interest rate environment (and uncertainty regarding future rate changes), inflation and increased cost of capital. </w:t>
      </w:r>
      <w:r>
        <w:rPr>
          <w:rFonts w:ascii="Times New Roman;sans-serif" w:hAnsi="Times New Roman;sans-serif"/>
          <w:b w:val="false"/>
          <w:color w:val="000000"/>
          <w:sz w:val="20"/>
          <w:shd w:fill="FFFFFF" w:val="clear"/>
        </w:rPr>
        <w:t xml:space="preserve">Our tenants also face additional challenges, including potential changes in consumer confidence levels, which may impact consumer behavior and spending, and increased operational expenses, such as with respect to labor or energy costs. As a triple-net lessor, increased operational expenses at our leased properties are borne by our tenants and do not directly impact their rent obligations (other than with respect to underlying inflation as applied to the CPI-based escalators) or other obligations under our lease agreements. </w:t>
      </w:r>
      <w:r>
        <w:rPr>
          <w:rFonts w:ascii="Times New Roman;sans-serif" w:hAnsi="Times New Roman;sans-serif"/>
          <w:b w:val="false"/>
          <w:color w:val="000000"/>
          <w:sz w:val="20"/>
        </w:rPr>
        <w:t>As a triple-net lessor, we believe we are generally in a strong creditor position and structurally insulated from operational and performance impacts of our tenants, both positive and negative. However, the full extent to which these trends adversely affect our tenants and/or ultimately impact us depends on future developments that cannot be predicted with confidence, including our tenants’ financial performance, the direct and indirect effects of such trends (including among other things, interest rate changes, inflation, economic recessions, consumer confidence levels and general conditions in the capital and credit markets) and the impact of any future measures taken in response to such trends on our tenants.</w:t>
      </w:r>
    </w:p>
    <w:p>
      <w:pPr>
        <w:pStyle w:val="TextBody"/>
        <w:bidi w:val="0"/>
        <w:spacing w:lineRule="auto" w:line="288" w:before="180" w:after="283"/>
        <w:jc w:val="both"/>
        <w:rPr/>
      </w:pPr>
      <w:r>
        <w:rPr>
          <w:rFonts w:ascii="Times New Roman;sans-serif" w:hAnsi="Times New Roman;sans-serif"/>
          <w:b w:val="false"/>
          <w:color w:val="000000"/>
          <w:sz w:val="20"/>
        </w:rPr>
        <w:t xml:space="preserve">For more information, refer to the sections entitled “Key Trends That May Affect Our Business” and “Risk Factors” in our </w:t>
      </w:r>
      <w:hyperlink r:id="rId5">
        <w:r>
          <w:rPr>
            <w:rStyle w:val="InternetLink"/>
            <w:rFonts w:ascii="Times New Roman;sans-serif" w:hAnsi="Times New Roman;sans-serif"/>
            <w:b w:val="false"/>
            <w:color w:val="0000FF"/>
            <w:sz w:val="20"/>
            <w:u w:val="single"/>
          </w:rPr>
          <w:t>Annual Report on Form 10-K for the year ended December 31, 2023</w:t>
        </w:r>
      </w:hyperlink>
      <w:r>
        <w:rPr>
          <w:color w:val="000000"/>
        </w:rPr>
        <w:t xml:space="preserve"> </w:t>
      </w:r>
      <w:r>
        <w:rPr>
          <w:rFonts w:ascii="Times New Roman;sans-serif" w:hAnsi="Times New Roman;sans-serif"/>
          <w:b w:val="false"/>
          <w:color w:val="000000"/>
          <w:sz w:val="20"/>
        </w:rPr>
        <w:t>and as updated from time to time in our other filings with the SEC.</w:t>
      </w:r>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SIGNIFICANT ACTIVITIES DURING 2024</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Acquisition and Leasing Activity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Venetian Capital Investment. </w:t>
      </w:r>
      <w:r>
        <w:rPr>
          <w:rFonts w:ascii="Times New Roman;sans-serif" w:hAnsi="Times New Roman;sans-serif"/>
          <w:b w:val="false"/>
          <w:color w:val="000000"/>
          <w:sz w:val="20"/>
        </w:rPr>
        <w:t>On May 1, 2024, we entered into agreements to fund up to $700.0 million of capital investment into the Venetian Resort for extensive reinvestment projects through our Partner Property Growth Fund strategy (the “Venetian Capital Investment”). The invested capital will earn a return through the addition of incremental rent to the Venetian Lease. The up to $700.0 million of funding through the Venetian Capital Investment is comprised of $400.0 million that has already been funded and an incremental $300.0 million that the Venetian Resort will have the option, but not the obligation, to draw in whole or in part until November 1, 2026. The initial $400.0 million investment was funded based on a fixed schedule: $100.0 million was funded in the second quarter of 2024, $150.0 million was funded in the third quarter of 2024 and $150.0 million was funded on October 1, 2024. The previous Property Growth Fund Agreement entered into with the tenant in connection with the Venetian Resort acquisition providing for up to $1.0 billion of future development and construction project funding was terminated on May 1, 2024 concurrently with the entry into the agreement to fund the Venetian Capital Investment.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Venetian Capital Investment, annual rent under the Venetian Lease will increase commencing on the first day of the quarter immediately following each capital funding at a 7.25% yield (the “Incremental Venetian Rent”). In addition to any increase pursuant to the Incremental Venetian Rent, annual rent under the Venetian Lease will begin escalating annually at 2.0% on March 1, 2029 and, commencing on March 1, 2031, will begin escalating on the same terms as the rest of the rent payable under the Venetian Lease with annual escalation equal to the greater of 2.0% or CPI, capped at 3.0%. On July 1, 2024, the aggregate annual rent under the Venetian Lease increased by $7.3 million as a result of the first $100.0 million funding. Subsequent to quarter-end, on October 1, 2024, the aggregate annual rent under the Venetian Lease increased by $10.9 million as a result of the additional $150.0 million that was funded during the third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84785"/>
                <wp:effectExtent l="0" t="0" r="0" b="0"/>
                <wp:wrapNone/>
                <wp:docPr id="48" name="Frame4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Real Estate Debt Origination Activity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real estate debt origination activity (each as defined in the column titled “Real Estate Debt Investment”) for the nine months ended September 30, 2024:</w:t>
      </w:r>
    </w:p>
    <w:tbl>
      <w:tblPr>
        <w:tblW w:w="10205" w:type="dxa"/>
        <w:jc w:val="left"/>
        <w:tblInd w:w="0" w:type="dxa"/>
        <w:tblLayout w:type="fixed"/>
        <w:tblCellMar>
          <w:top w:w="28" w:type="dxa"/>
          <w:left w:w="28" w:type="dxa"/>
          <w:bottom w:w="28" w:type="dxa"/>
          <w:right w:w="28" w:type="dxa"/>
        </w:tblCellMar>
      </w:tblPr>
      <w:tblGrid>
        <w:gridCol w:w="775"/>
        <w:gridCol w:w="494"/>
        <w:gridCol w:w="457"/>
        <w:gridCol w:w="109"/>
        <w:gridCol w:w="109"/>
        <w:gridCol w:w="109"/>
        <w:gridCol w:w="411"/>
        <w:gridCol w:w="346"/>
        <w:gridCol w:w="262"/>
        <w:gridCol w:w="109"/>
        <w:gridCol w:w="109"/>
        <w:gridCol w:w="109"/>
        <w:gridCol w:w="423"/>
        <w:gridCol w:w="402"/>
        <w:gridCol w:w="403"/>
        <w:gridCol w:w="109"/>
        <w:gridCol w:w="109"/>
        <w:gridCol w:w="109"/>
        <w:gridCol w:w="301"/>
        <w:gridCol w:w="879"/>
        <w:gridCol w:w="155"/>
        <w:gridCol w:w="109"/>
        <w:gridCol w:w="109"/>
        <w:gridCol w:w="109"/>
        <w:gridCol w:w="1261"/>
        <w:gridCol w:w="962"/>
        <w:gridCol w:w="1366"/>
      </w:tblGrid>
      <w:tr>
        <w:trPr/>
        <w:tc>
          <w:tcPr>
            <w:tcW w:w="77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Debt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Collateral</w:t>
            </w:r>
          </w:p>
        </w:tc>
      </w:tr>
      <w:tr>
        <w:trPr/>
        <w:tc>
          <w:tcPr>
            <w:tcW w:w="1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Great Wolf Mezzanine Loan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Mezzanine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of nine Great Wolf Lodge resorts across the United States</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Chelsea Piers One Madison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Secured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equipment of the fitness club at the One Madison building in New York, New York, under development</w:t>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Homefield Margaritaville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Secured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Margaritaville Resort in Kansas City, Kansas, under development</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56"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In connection with the Great Wolf Mezzanine Loan origination, the $79.5 million mezzanine loan for Great Wolf Lodge Maryland was repaid in full.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Financing and Capital Markets Activity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i/>
          <w:color w:val="000000"/>
          <w:sz w:val="20"/>
        </w:rPr>
        <w:t xml:space="preserve">At-The-Market Offering Program. </w:t>
      </w:r>
      <w:r>
        <w:rPr>
          <w:rFonts w:ascii="Times New Roman;sans-serif" w:hAnsi="Times New Roman;sans-serif"/>
          <w:b w:val="false"/>
          <w:color w:val="000000"/>
          <w:sz w:val="20"/>
        </w:rPr>
        <w:t xml:space="preserve">During the nine months ended September 30, 2024, we sold an aggregate of approximately 11.7 million shares under the ATM Program, all of which were subject to ATM forward sale agreements, for estimated aggregate total proceeds of $368.5 million based on the weighted average initial forward sale price of $31.61. We did not initially receive any proceeds from the sale of the shares of common stock under the ATM forward sale agreements, which were sold to the underwriters by the forward purchasers or their respective affiliates. On July 1, 2024, we physically settled 4,000,000 forward shares under the ATM forward sale agreements in exchange for total net settlement proceeds of approximately $115.2 million. Subsequent to quarter-end, on October 1, 2024, we physically settled 7,000,000 forward shares under an ATM forward sale agreement in exchange for total net settlement proceeds of approximately $200.9 million.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i/>
          <w:color w:val="000000"/>
          <w:sz w:val="20"/>
        </w:rPr>
        <w:t xml:space="preserve">Senior Unsecured Notes Offering. </w:t>
      </w:r>
      <w:r>
        <w:rPr>
          <w:rFonts w:ascii="Times New Roman;sans-serif" w:hAnsi="Times New Roman;sans-serif"/>
          <w:b w:val="false"/>
          <w:color w:val="000000"/>
          <w:sz w:val="20"/>
        </w:rPr>
        <w:t>On March 18, 2024, VICI LP issued (i) $550.0 million in aggregate principal amount of 5.750% Senior Notes due 2034, which mature on April 1, 2034 and (ii) $500.0 million in aggregate principal amount of 6.125% Senior Notes due 2054, which mature on April 1, 2054, in each case under a supplemental indenture dated as of March 18, 2024, between VICI LP and the Trustee. We used the net proceeds of the offering to redeem (i) $1,024.2 million in aggregate principal amount of 5.625% Senior Notes due May 1, 2024 and (ii) $25.8 million in aggregate principal amount of 5.625% Senior Notes due May 1, 2024.</w:t>
      </w:r>
    </w:p>
    <w:p>
      <w:pPr>
        <w:pStyle w:val="TextBody"/>
        <w:bidi w:val="0"/>
        <w:spacing w:lineRule="auto" w:line="288" w:before="120" w:after="283"/>
        <w:ind w:left="0" w:right="0" w:hanging="360"/>
        <w:jc w:val="both"/>
        <w:rPr/>
      </w:pPr>
      <w:r>
        <w:rPr>
          <w:color w:val="231F20"/>
        </w:rPr>
        <w:t>•</w:t>
      </w:r>
      <w:r>
        <w:rPr>
          <w:rFonts w:ascii="Times New Roman;sans-serif" w:hAnsi="Times New Roman;sans-serif"/>
          <w:b/>
          <w:i/>
          <w:color w:val="000000"/>
          <w:sz w:val="20"/>
        </w:rPr>
        <w:t xml:space="preserve">Forward-Starting Interest Rate Swaps. </w:t>
      </w:r>
      <w:r>
        <w:rPr>
          <w:rFonts w:ascii="Times New Roman;sans-serif" w:hAnsi="Times New Roman;sans-serif"/>
          <w:b w:val="false"/>
          <w:color w:val="000000"/>
          <w:sz w:val="20"/>
        </w:rPr>
        <w:t xml:space="preserve">On March 11, 2024, we settled the seven outstanding forward-starting interest rate swap agreements with an aggregate notional amount of $500.0 million resulting in net proceeds of $2.8 million. Since the forward-starting swaps were hedging the interest rate risk on the March 2024 Notes, the unrealized gain in Accumulated other comprehensive income is being amortized over the term of the respective derivative instruments, which matches that of the underlying note, as a decrease in interest expense. During the quarter ended September 30, 2024, we entered into eight forward-starting interest rate swap agreements for an aggregate notional amount of $400.0 million to hedge against changes in future cash flows resulting from changes in interest rates from the trade date through the forecasted issuance of senior unsecured notes expected to be issued in connection with the refinancing of our senior unsecured notes maturing in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84785"/>
                <wp:effectExtent l="0" t="0" r="0" b="0"/>
                <wp:wrapNone/>
                <wp:docPr id="49" name="Frame4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RESULTS OF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operations discussion of VICI and VICI LP are presented combined as there are no material differences between the two reporting entities. Further, Golf revenues and Golf expenses, which are wholly attributable to VICI and not VICI LP, are shown as separate line items in the Statement of Operations of VICI. </w:t>
      </w:r>
    </w:p>
    <w:tbl>
      <w:tblPr>
        <w:tblW w:w="10267" w:type="dxa"/>
        <w:jc w:val="left"/>
        <w:tblInd w:w="0" w:type="dxa"/>
        <w:tblLayout w:type="fixed"/>
        <w:tblCellMar>
          <w:top w:w="28" w:type="dxa"/>
          <w:left w:w="28" w:type="dxa"/>
          <w:bottom w:w="28" w:type="dxa"/>
          <w:right w:w="28" w:type="dxa"/>
        </w:tblCellMar>
      </w:tblPr>
      <w:tblGrid>
        <w:gridCol w:w="836"/>
        <w:gridCol w:w="287"/>
        <w:gridCol w:w="28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u w:val="single"/>
              </w:rPr>
            </w:pPr>
            <w:r>
              <w:rPr>
                <w:rFonts w:ascii="Times New Roman;sans-serif" w:hAnsi="Times New Roman;sans-serif"/>
                <w:b/>
                <w:i/>
                <w:color w:val="000000"/>
                <w:sz w:val="18"/>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loans and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gains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common stockholders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732,898 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2,064,216 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84785"/>
                <wp:effectExtent l="0" t="0" r="0" b="0"/>
                <wp:wrapNone/>
                <wp:docPr id="50" name="Frame4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 xml:space="preserve">Revenue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and 2023, our revenue was comprised of the following items:</w:t>
      </w:r>
    </w:p>
    <w:tbl>
      <w:tblPr>
        <w:tblW w:w="10205" w:type="dxa"/>
        <w:jc w:val="left"/>
        <w:tblInd w:w="0" w:type="dxa"/>
        <w:tblLayout w:type="fixed"/>
        <w:tblCellMar>
          <w:top w:w="28" w:type="dxa"/>
          <w:left w:w="28" w:type="dxa"/>
          <w:bottom w:w="28" w:type="dxa"/>
          <w:right w:w="28" w:type="dxa"/>
        </w:tblCellMar>
      </w:tblPr>
      <w:tblGrid>
        <w:gridCol w:w="553"/>
        <w:gridCol w:w="449"/>
        <w:gridCol w:w="45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56"/>
      </w:tblGrid>
      <w:tr>
        <w:trPr/>
        <w:tc>
          <w:tcPr>
            <w:tcW w:w="55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loans and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964,669 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904,318 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2,680,123 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193,030 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Leasing Revenue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income from sales-type and financing receivables leases:</w:t>
      </w:r>
    </w:p>
    <w:tbl>
      <w:tblPr>
        <w:tblW w:w="10205" w:type="dxa"/>
        <w:jc w:val="left"/>
        <w:tblInd w:w="0" w:type="dxa"/>
        <w:tblLayout w:type="fixed"/>
        <w:tblCellMar>
          <w:top w:w="28" w:type="dxa"/>
          <w:left w:w="28" w:type="dxa"/>
          <w:bottom w:w="28" w:type="dxa"/>
          <w:right w:w="28" w:type="dxa"/>
        </w:tblCellMar>
      </w:tblPr>
      <w:tblGrid>
        <w:gridCol w:w="638"/>
        <w:gridCol w:w="407"/>
        <w:gridCol w:w="408"/>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55"/>
      </w:tblGrid>
      <w:tr>
        <w:trPr/>
        <w:tc>
          <w:tcPr>
            <w:tcW w:w="63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Income from lease financing receivables </w:t>
            </w:r>
            <w:r>
              <w:rPr>
                <w:rFonts w:ascii="Times New Roman;sans-serif" w:hAnsi="Times New Roman;sans-serif"/>
                <w:b w:val="false"/>
                <w:i/>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leasing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Non-cash adjustment </w:t>
            </w:r>
            <w:r>
              <w:rPr>
                <w:rFonts w:ascii="Times New Roman;sans-serif" w:hAnsi="Times New Roman;sans-serif"/>
                <w:b w:val="false"/>
                <w:i/>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contractual leasing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2,286,040 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2,160,266 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125,774 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Represents our asset acquisitions structured as sale leaseback transactions. In accordance with ASC 842, since the lease agreements were determined to meet the definition of a sales-type lease and control of the asset is not considered to have transferred to us, such lease agreements are accounted for as financings under ASC 310.</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Amounts represent the non-cash adjustment to income from sales-type leases and lease financing receivables in order to recognize income on an effective interest basis at a constant rate of return over the term of the leases.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Leasing revenue is generated from rent from our lease agreements. Total leasing revenue increased $42.6 million and $145.0 million during the three and nine months ended September 30, 2024, respectively, compared to the three and nine months ended September 30, 2023, respectively. Total contractual leasing revenue increased $38.0 million and $125.8 million during the three and nine months ended September 30, 2024, respectively, compared to the three and nine months ended September 30, 2023, respectively. The increases were primarily driven by the acquisition of the remaining 49.9% of the MGM Grand/Mandalay Bay portfolio in January 2023, the Rocky Gap Casino component of the master lease agreement with Century Casinos, Inc. (“Century Master Lease”) in July 2023, the Canadian portfolio component of the Century Master Lease in September 2023, the master lease agreement with Bowlero in October 2023, the lease agreement with Chelsea Piers in December 2023 and the incremental rent increase from the Venetian Capital Investment in July 2024, as well as the annual rent escalators from certain of our other lease agreements.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From Loans and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loans and securities increased $16.5 million and $44.2 million during the three and nine months ended September 30, 2024, respectively, compared to the three and nine months ended September 30, 2023, respectively. The increases were driven by the origination and subsequent funding, as applicable, of our debt investments and the related interest income from the increased principal balances outstanding under such debt investments, partially offset by the full repayment of certain loan investments.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increased $1.1 million and $2.9 million during the three and nine months ended September 30, 2024, respectively, compared to the three and nine months ended September 30, 2023, respectively. The increase was driven primarily by the additional income as a result of the assumption of certain sub-leases in connection with the closing of the acquisition of the Rocky Gap Casino in July 2023 and the sale-leaseback transaction with Chelsea Piers in December 2023. We determined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84785"/>
                <wp:effectExtent l="0" t="0" r="0" b="0"/>
                <wp:wrapNone/>
                <wp:docPr id="51" name="Frame5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that we are the primary obligor of the respective ground and use leases and, accordingly, record the related income and expense on a gross basis on our Income Statement. The lease agreements require our tenants to cover all costs associated with such ground and use sub-leases and provide for their direct payment to the primary landlord.</w:t>
      </w:r>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Operating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and 2023, our operating expenses were comprised of the following items:</w:t>
      </w:r>
    </w:p>
    <w:tbl>
      <w:tblPr>
        <w:tblW w:w="10205" w:type="dxa"/>
        <w:jc w:val="left"/>
        <w:tblInd w:w="0" w:type="dxa"/>
        <w:tblLayout w:type="fixed"/>
        <w:tblCellMar>
          <w:top w:w="28" w:type="dxa"/>
          <w:left w:w="28" w:type="dxa"/>
          <w:bottom w:w="28" w:type="dxa"/>
          <w:right w:w="28" w:type="dxa"/>
        </w:tblCellMar>
      </w:tblPr>
      <w:tblGrid>
        <w:gridCol w:w="614"/>
        <w:gridCol w:w="540"/>
        <w:gridCol w:w="543"/>
        <w:gridCol w:w="211"/>
        <w:gridCol w:w="721"/>
        <w:gridCol w:w="109"/>
        <w:gridCol w:w="109"/>
        <w:gridCol w:w="109"/>
        <w:gridCol w:w="109"/>
        <w:gridCol w:w="211"/>
        <w:gridCol w:w="826"/>
        <w:gridCol w:w="109"/>
        <w:gridCol w:w="109"/>
        <w:gridCol w:w="109"/>
        <w:gridCol w:w="109"/>
        <w:gridCol w:w="211"/>
        <w:gridCol w:w="854"/>
        <w:gridCol w:w="109"/>
        <w:gridCol w:w="109"/>
        <w:gridCol w:w="109"/>
        <w:gridCol w:w="109"/>
        <w:gridCol w:w="211"/>
        <w:gridCol w:w="826"/>
        <w:gridCol w:w="109"/>
        <w:gridCol w:w="109"/>
        <w:gridCol w:w="109"/>
        <w:gridCol w:w="109"/>
        <w:gridCol w:w="211"/>
        <w:gridCol w:w="826"/>
        <w:gridCol w:w="109"/>
        <w:gridCol w:w="109"/>
        <w:gridCol w:w="109"/>
        <w:gridCol w:w="109"/>
        <w:gridCol w:w="211"/>
        <w:gridCol w:w="854"/>
        <w:gridCol w:w="155"/>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(126,811)</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$2.0 million and $4.1 million for the three and nine months ended September 30, 2024, respectively, compared to the three and nine months ended September 30, 2023, respectively. The increase was primarily driven by an increase in compensation, including stock-based compensation and the addition of new employees.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Expenses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expenses increased $1.1 million and $2.9 million during the three and nine months ended September 30, 2024, respectively, compared to the three and nine months ended September 30, 2023, respectively. The increase was driven primarily by the additional expense as a result of the assumption of certain sub-leases in connection with the closing of the acquisition of the Rocky Gap Casino in July 2023 and the sale-leaseback transaction with Chelsea Piers in December 2023. We determined we are the primary obligor of the respective ground and use leases and, accordingly, record the related income and expense on a gross basis on our Income Statement. The lease agreements require our tenants to cover all costs associated with such ground and use sub-leases and provide for their direct payment to the primary landlord.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Change in Allowance for Credit Losses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 decreased $127.6 million during the three months ended September 30, 2024, compared to the three months ended September 30, 2023, primarily driven by positive changes in the macroeconomic forecast during the current quarter and market performance of our tenants partially offset by certain adjustments made to the assumptions used to project future cash flows for one of our investments.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 decreased $133.8 million during the nine months ended September 30, 2024, compared to the nine months ended September 30, 2023, primarily driven by lower initial CECL allowances recorded on our acquisition and loan origination activity. We recorded initial CECL allowances of $2.9 million on our $365.0 million of loan origination activity during the nine months ended September 30, 2024 compared to initial CECL allowances of $263.6 million on our $6.1 billion of property acquisition activity and $8.0 million on our $375.1 million of loan origination activity during the nine months ended September 30, 2023. The decrease was partially offset by certain adjustments made to the assumptions used to project future cash flows for one of our investments.</w:t>
      </w:r>
    </w:p>
    <w:p>
      <w:pPr>
        <w:pStyle w:val="TextBody"/>
        <w:bidi w:val="0"/>
        <w:spacing w:lineRule="auto" w:line="288" w:before="180" w:after="283"/>
        <w:jc w:val="both"/>
        <w:rPr/>
      </w:pPr>
      <w:r>
        <w:rPr>
          <w:rFonts w:ascii="Times New Roman;sans-serif" w:hAnsi="Times New Roman;sans-serif"/>
          <w:b w:val="false"/>
          <w:color w:val="000000"/>
          <w:sz w:val="20"/>
        </w:rPr>
        <w:t xml:space="preserve">Further fluctuation in the change in allowance for credit losses are the result of changes to the reasonable and supportable period, or R&amp;S Period, probability of default, or PD, and loss given default, or LGD, of our existing tenants and their parent guarantors (as applicable) as a result of market performance and changes in the macroeconomic model used to scenario condition such inputs and annual standard updates to the model used to estimate the CECL allowance. Refer to </w:t>
      </w:r>
      <w:hyperlink w:anchor="ib7dd323ab1d248519cd6bbc987f2a646_64">
        <w:r>
          <w:rPr>
            <w:rStyle w:val="InternetLink"/>
            <w:rFonts w:ascii="Times New Roman;sans-serif" w:hAnsi="Times New Roman;sans-serif"/>
            <w:b w:val="false"/>
            <w:color w:val="0000FF"/>
            <w:sz w:val="20"/>
            <w:u w:val="single"/>
          </w:rPr>
          <w:t>Note 5 - Allowance for Credit Losses</w:t>
        </w:r>
      </w:hyperlink>
      <w:r>
        <w:rPr>
          <w:color w:val="000000"/>
        </w:rPr>
        <w:t xml:space="preserve"> </w:t>
      </w:r>
      <w:r>
        <w:rPr>
          <w:rFonts w:ascii="Times New Roman;sans-serif" w:hAnsi="Times New Roman;sans-serif"/>
          <w:b w:val="false"/>
          <w:color w:val="000000"/>
          <w:sz w:val="20"/>
        </w:rPr>
        <w:t>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84785"/>
                <wp:effectExtent l="0" t="0" r="0" b="0"/>
                <wp:wrapNone/>
                <wp:docPr id="52" name="Frame5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Transaction and Acquisition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 decreased $2.4 million and $1.7 million during the three and nine months ended September 30, 2024, respectively, compared to the three and nine months ended September 30, 2023, respectively. Changes in transaction and acquisition expenses are related to fluctuations in (i) costs incurred for investments during the period that are not capitalizable under GAAP, and (ii) costs incurred for investments that we are no longer pursuing.</w:t>
      </w:r>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Non-Operating Income and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and 2023, our non-operating income and expenses were comprised of the following items:</w:t>
      </w:r>
    </w:p>
    <w:tbl>
      <w:tblPr>
        <w:tblW w:w="10205" w:type="dxa"/>
        <w:jc w:val="left"/>
        <w:tblInd w:w="0" w:type="dxa"/>
        <w:tblLayout w:type="fixed"/>
        <w:tblCellMar>
          <w:top w:w="28" w:type="dxa"/>
          <w:left w:w="28" w:type="dxa"/>
          <w:bottom w:w="28" w:type="dxa"/>
          <w:right w:w="28" w:type="dxa"/>
        </w:tblCellMar>
      </w:tblPr>
      <w:tblGrid>
        <w:gridCol w:w="988"/>
        <w:gridCol w:w="870"/>
        <w:gridCol w:w="877"/>
        <w:gridCol w:w="302"/>
        <w:gridCol w:w="584"/>
        <w:gridCol w:w="109"/>
        <w:gridCol w:w="109"/>
        <w:gridCol w:w="109"/>
        <w:gridCol w:w="109"/>
        <w:gridCol w:w="302"/>
        <w:gridCol w:w="584"/>
        <w:gridCol w:w="109"/>
        <w:gridCol w:w="109"/>
        <w:gridCol w:w="109"/>
        <w:gridCol w:w="109"/>
        <w:gridCol w:w="234"/>
        <w:gridCol w:w="452"/>
        <w:gridCol w:w="120"/>
        <w:gridCol w:w="109"/>
        <w:gridCol w:w="109"/>
        <w:gridCol w:w="109"/>
        <w:gridCol w:w="302"/>
        <w:gridCol w:w="584"/>
        <w:gridCol w:w="109"/>
        <w:gridCol w:w="109"/>
        <w:gridCol w:w="109"/>
        <w:gridCol w:w="109"/>
        <w:gridCol w:w="225"/>
        <w:gridCol w:w="661"/>
        <w:gridCol w:w="109"/>
        <w:gridCol w:w="109"/>
        <w:gridCol w:w="109"/>
        <w:gridCol w:w="109"/>
        <w:gridCol w:w="211"/>
        <w:gridCol w:w="677"/>
        <w:gridCol w:w="161"/>
      </w:tblGrid>
      <w:tr>
        <w:trPr/>
        <w:tc>
          <w:tcPr>
            <w:tcW w:w="98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2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gains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from Unconsolidated Affiliate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unconsolidated affiliate during the nine months ended September 30, 2023 represents our 50.1% share of the income of the MGM Grand/Mandalay Bay JV for the period from January 1, 2023 through January 8, 2023, immediately prior to the closing of the MGM Grand/Mandalay Bay JV Interest Acquisition. Beginning on January 9, 2023, upon the closing of the MGM Grand/Mandalay Bay JV Interest Acquisition, we consolidated the operations of the MGM Grand/Mandalay Bay JV, and subsequently, such income is included in Income from sales-type lease on our Statement of Operations and, accordingly, no Income from unconsolidated affiliate was recognized for the three and nine months ended September 30, 2024.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Expense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increased $2.4 million and $5.1 million during the three and nine months ended September 30, 2024, respectively, compared to the three and nine months ended September 30, 2023, respectively. The increase during the three and nine months ended September 30, 2024 were primarily related to the increase in debt from the (i) C$140.0 million, C$75.0 million and £14.5 million draws on the Revolving Credit Facility to finance the acquisition of the portfolio of assets leased to PURE Canadian Gaming, Corp. in January 2023, the acquisition of the Canadian portfolio component of the Century Master Lease in September 2023 and the Cabot Highlands loan in December 2023, respectively, partially offset by a C$15.0 million principal repayment under the Revolving Credit Facility in August 2024 and (ii) assumption of $3.0 billion aggregate principal amount of CMBS debt on January 9, 2023, in connection with the MGM Grand/Mandalay Bay JV Interest Acquisition, the combination of which resulted in an additional $3.2 billion in notional amount of debt.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weighted average annualized interest rate of our debt, net of the impact of the forward-starting interest rate swaps and treasury locks, increased to 4.34% from 4.32% for both the three and nine months ended September 30, 2024 compared to the three and nine months ended September 30, 2023, as a result of a higher effective interest rate on (i) the draws on the Revolving Credit Facility and (ii) the March 2024 Notes as compared to the debt that was refinanced by such notes.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representing interest earned on our excess cash, decreased $4.5 million and $4.2 million during the three and nine months ended September 30, 2024, respectively, compared to the three and nine months ended September 30, 2023, respectively. The decrease was primarily driven by an overall decrease in our cash on hand throughout the current periods as compared to the prior periods.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(Losses) Gains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(losses) decreased $1.1 million during the three months ended September 30, 2024 compared to the three months ended September 30, 2023 and Other gains decreased $3.5 million during the nine months ended September 30, 2024 compared to the nine months ended September 30, 2023. The changes primarily relate to foreign currency remeasurement adjustments associated with our investments in Canada and the United Kingdom. In connection with such transactions, we entered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84785"/>
                <wp:effectExtent l="0" t="0" r="0" b="0"/>
                <wp:wrapNone/>
                <wp:docPr id="53" name="Frame5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pPr>
      <w:r>
        <w:rPr>
          <w:rFonts w:ascii="Times New Roman;sans-serif" w:hAnsi="Times New Roman;sans-serif"/>
          <w:b w:val="false"/>
          <w:color w:val="000000"/>
          <w:sz w:val="20"/>
        </w:rPr>
        <w:t xml:space="preserve">foreign denominated debt on the Revolving Credit Facility, of which </w:t>
      </w:r>
      <w:r>
        <w:rPr>
          <w:rFonts w:ascii="Times New Roman;sans-serif" w:hAnsi="Times New Roman;sans-serif"/>
          <w:b w:val="false"/>
          <w:color w:val="000000"/>
          <w:sz w:val="20"/>
          <w:shd w:fill="FFFFFF" w:val="clear"/>
        </w:rPr>
        <w:t>C$200.0 million and £14.5 million</w:t>
      </w:r>
      <w:r>
        <w:rPr>
          <w:color w:val="000000"/>
        </w:rPr>
        <w:t xml:space="preserve"> </w:t>
      </w:r>
      <w:r>
        <w:rPr>
          <w:rFonts w:ascii="Times New Roman;sans-serif" w:hAnsi="Times New Roman;sans-serif"/>
          <w:b w:val="false"/>
          <w:color w:val="000000"/>
          <w:sz w:val="20"/>
        </w:rPr>
        <w:t>is currently outstanding and, since such debt is held at entities with USD as their functional currency, certain of the related assets and liabilities are remeasured through the Statement of Operations.</w:t>
      </w:r>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RECONCILIATION OF NON-GAAP MEASURES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present VICI’s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VICI’s business.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FFO is a non-GAAP financial measure that is considered a supplemental measure for the real estate industry and a supplement to GAAP measures. Consistent with the definition used by the National Association of Real Estate Investment Trusts (NAREIT), we define FFO as VICI’s net income (or loss) attributable to common stockholders (computed in accordance with GAAP) excluding (i) gains (or losses) from sales of certain real estate assets, (ii) depreciation and amortization related to real estate, (iii) gains and losses from change in control, (iv) impairment write-downs of certain real estate assets and investments in entities when the impairment is directly attributable to decreases in the value of depreciable real estate held by the entity and (v) our proportionate share of such adjustments from our investment in unconsolidated affiliate.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AFFO is a non-GAAP financial measure that we use as a supplemental operating measure to evaluate VICI’s performance. We calculate VICI’s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and interest rate swap settlements, other (losses) gains, deferred income tax benefits and expenses, other non-recurring non-cash transactions, our proportionate share of non-cash adjustments from our investment in unconsolidated affiliate (including the amortization of any basis differences) with respect to certain of the foregoing and non-cash adjustments attributable to non-controlling interest with respect to certain of the foregoing.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VICI’s Adjusted EBITDA by adding or subtracting from AFFO contractual interest expense (including the impact of the forward-starting interest rate swaps and treasury locks) and interest income (collectively, interest expense, net), income tax expense and our proportionate share of such adjustments from our investment in unconsolidated affiliate.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non-GAAP financial measures: (i) do not represent VICI’s cash flow from operations as defined by GAAP; (ii) should not be considered as an alternative to VICI’s net income as a measure of operating performance or to cash flows from operating, investing and financing activities; and (iii) are not alternatives to VICI’s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VICI’s financial results in accordance with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84785"/>
                <wp:effectExtent l="0" t="0" r="0" b="0"/>
                <wp:wrapNone/>
                <wp:docPr id="54" name="Frame5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Reconciliation of VICI’s Net Income to FFO, FFO per Share, AFFO, AFFO per Share and Adjusted EBITDA</w:t>
      </w:r>
    </w:p>
    <w:tbl>
      <w:tblPr>
        <w:tblW w:w="10205" w:type="dxa"/>
        <w:jc w:val="left"/>
        <w:tblInd w:w="0" w:type="dxa"/>
        <w:tblLayout w:type="fixed"/>
        <w:tblCellMar>
          <w:top w:w="28" w:type="dxa"/>
          <w:left w:w="28" w:type="dxa"/>
          <w:bottom w:w="28" w:type="dxa"/>
          <w:right w:w="28" w:type="dxa"/>
        </w:tblCellMar>
      </w:tblPr>
      <w:tblGrid>
        <w:gridCol w:w="1434"/>
        <w:gridCol w:w="978"/>
        <w:gridCol w:w="985"/>
        <w:gridCol w:w="267"/>
        <w:gridCol w:w="1069"/>
        <w:gridCol w:w="109"/>
        <w:gridCol w:w="109"/>
        <w:gridCol w:w="109"/>
        <w:gridCol w:w="109"/>
        <w:gridCol w:w="267"/>
        <w:gridCol w:w="1069"/>
        <w:gridCol w:w="109"/>
        <w:gridCol w:w="109"/>
        <w:gridCol w:w="109"/>
        <w:gridCol w:w="109"/>
        <w:gridCol w:w="234"/>
        <w:gridCol w:w="1102"/>
        <w:gridCol w:w="109"/>
        <w:gridCol w:w="109"/>
        <w:gridCol w:w="109"/>
        <w:gridCol w:w="109"/>
        <w:gridCol w:w="234"/>
        <w:gridCol w:w="1102"/>
        <w:gridCol w:w="156"/>
      </w:tblGrid>
      <w:tr>
        <w:trPr/>
        <w:tc>
          <w:tcPr>
            <w:tcW w:w="143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data and per share data)</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1,765,771 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 depreciation and non-controlling interest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FFO attributable to common stockholders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732,898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556,329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2,064,216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1,767,197</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leasing and financing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change in allowance for credit losses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original issue discount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losses (gains) </w:t>
            </w:r>
            <w:r>
              <w:rPr>
                <w:rFonts w:ascii="Times New Roman;sans-serif" w:hAnsi="Times New Roman;sans-serif"/>
                <w:b w:val="false"/>
                <w:i/>
                <w:color w:val="000000"/>
                <w:sz w:val="13"/>
              </w:rPr>
              <w:t>(1)</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provision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 non-cash adjustments and non-controlling interest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AFFO attributable to common stockholders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593,858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547,614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1,769,454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1,616,626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 interest expense and non-controlling interest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attributable to common stockholders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777,995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726,406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2,319,118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2,160,122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common share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FFO per common share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Basic</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6808" w:type="dxa"/>
            <w:gridSpan w:val="21"/>
            <w:tcBorders/>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AFFO per common share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number of shares of common stock outstanding</w:t>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1,046,626,838 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1,012,986,784 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1,043,921,660 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1,007,110,068 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1,048,338,348 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1,013,589,640 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1,044,897,468 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1,008,437,452 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(1)Represents non-cash foreign currency remeasurement adjustment and gain on sale of land.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84785"/>
                <wp:effectExtent l="0" t="0" r="0" b="0"/>
                <wp:wrapNone/>
                <wp:docPr id="55" name="Frame5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Liquidity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our available cash and cash-equivalents balance, short-term investments, capacity under our Revolving Credit Facility and proceeds available from outstanding forward sale agreements were as follows:</w:t>
      </w:r>
    </w:p>
    <w:tbl>
      <w:tblPr>
        <w:tblW w:w="7439" w:type="dxa"/>
        <w:jc w:val="left"/>
        <w:tblInd w:w="0" w:type="dxa"/>
        <w:tblLayout w:type="fixed"/>
        <w:tblCellMar>
          <w:top w:w="28" w:type="dxa"/>
          <w:left w:w="28" w:type="dxa"/>
          <w:bottom w:w="28" w:type="dxa"/>
          <w:right w:w="28" w:type="dxa"/>
        </w:tblCellMar>
      </w:tblPr>
      <w:tblGrid>
        <w:gridCol w:w="2094"/>
        <w:gridCol w:w="1844"/>
        <w:gridCol w:w="1852"/>
        <w:gridCol w:w="259"/>
        <w:gridCol w:w="1201"/>
        <w:gridCol w:w="189"/>
      </w:tblGrid>
      <w:tr>
        <w:trPr/>
        <w:tc>
          <w:tcPr>
            <w:tcW w:w="209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u w:val="single"/>
              </w:rPr>
            </w:pPr>
            <w:r>
              <w:rPr>
                <w:rFonts w:ascii="Times New Roman;sans-serif" w:hAnsi="Times New Roman;sans-serif"/>
                <w:b/>
                <w:i/>
                <w:color w:val="000000"/>
                <w:sz w:val="18"/>
                <w:u w:val="single"/>
              </w:rPr>
              <w:t>(In thousands)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355,667 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Capacity under Revolving Credit Facility </w:t>
            </w:r>
            <w:r>
              <w:rPr>
                <w:rFonts w:ascii="Times New Roman;sans-serif" w:hAnsi="Times New Roman;sans-serif"/>
                <w:b w:val="false"/>
                <w:i/>
                <w:color w:val="000000"/>
                <w:sz w:val="13"/>
              </w:rPr>
              <w:t>(1)</w:t>
            </w:r>
            <w:r>
              <w:rPr>
                <w:color w:val="000000"/>
              </w:rPr>
              <w:t xml:space="preserve"> </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2,332,296 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Net proceeds available from settlement of Forward Sale Agreements </w:t>
            </w:r>
            <w:r>
              <w:rPr>
                <w:rFonts w:ascii="Times New Roman;sans-serif" w:hAnsi="Times New Roman;sans-serif"/>
                <w:b w:val="false"/>
                <w:i/>
                <w:color w:val="000000"/>
                <w:sz w:val="13"/>
              </w:rPr>
              <w:t>(2)</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630,222 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3,318,185 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w:t>
      </w:r>
    </w:p>
    <w:p>
      <w:pPr>
        <w:pStyle w:val="TextBody"/>
        <w:bidi w:val="0"/>
        <w:spacing w:lineRule="auto" w:line="288" w:before="0" w:after="0"/>
        <w:ind w:left="0" w:right="0" w:hanging="360"/>
        <w:jc w:val="both"/>
        <w:rPr/>
      </w:pPr>
      <w:r>
        <w:rPr>
          <w:rFonts w:ascii="Times New Roman;sans-serif" w:hAnsi="Times New Roman;sans-serif"/>
          <w:b w:val="false"/>
          <w:i/>
          <w:color w:val="231F20"/>
          <w:sz w:val="16"/>
        </w:rPr>
        <w:t>(1)</w:t>
      </w:r>
      <w:r>
        <w:rPr>
          <w:rFonts w:ascii="Times New Roman;sans-serif" w:hAnsi="Times New Roman;sans-serif"/>
          <w:b w:val="false"/>
          <w:i/>
          <w:color w:val="000000"/>
          <w:sz w:val="16"/>
        </w:rPr>
        <w:t xml:space="preserve">In addition, the Revolving Credit Facility includes the option to increase the revolving loan commitments by up to $1.0 billion to the extent that any one or more lenders (from the syndicate or otherwise) agree to provide such additional extensions of credit. </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(2)Assumes the physical settlement of the 20,853,338 shares remaining to be settled as of September 30, 2024 under our ATM forward sale agreements at a forward sales price of $30.22, calculated as of September 30, 2024. Subsequent to quarter-end, on October 1, 2024, we physically settled 7,000,000 shares under an ATM forward sale agreement in exchange for total net settlement proceeds of approximately $200.9 million.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have sufficient liquidity to meet our material cash requirements, including our contractual obligations, debt maturities and commitments as well as our additional funding requirements, primarily through currently available cash and cash equivalents, cash received under our lease agreements, existing borrowings from banks, including our undrawn capacity under our Revolving Credit Facility, net proceeds available under our outstanding forward sale agreements, and proceeds from future issuances of debt and equity securities (including issuances under the ATM Program) for the next 12 months and in future periods. </w:t>
      </w:r>
    </w:p>
    <w:p>
      <w:pPr>
        <w:pStyle w:val="TextBody"/>
        <w:bidi w:val="0"/>
        <w:spacing w:lineRule="auto" w:line="288" w:before="180" w:after="283"/>
        <w:jc w:val="both"/>
        <w:rPr/>
      </w:pPr>
      <w:r>
        <w:rPr>
          <w:rFonts w:ascii="Times New Roman;sans-serif" w:hAnsi="Times New Roman;sans-serif"/>
          <w:b w:val="false"/>
          <w:color w:val="000000"/>
          <w:sz w:val="20"/>
        </w:rPr>
        <w:t xml:space="preserve">All of our lease agreements call for an initial term of between fifteen and thirty-two years with additional tenant renewal options and, along with our loans, are designed to provide us with a reliable and predictable long-term revenue stream. Our cash flows from operations and our ability to access capital resources could be adversely affected due to uncertain economic factors and volatility in the financial and credit markets, including as a result of the current interest rate environment, inflationary pressures, equity market volatility, and changes in consumer behavior and spending. In particular, we can provide no assurances that our tenants will not default on their leases or fail to make full rental payments if their businesses become challenged due to, among other things, current or future adverse economic conditions. See “Overview — Impact of Material Trends on our Business” above for additional detail. In the event our tenants are unable to make all of their contractual rent payments as provided by our lease agreements, we believe we have sufficient liquidity from the other sources discussed above to meet all of our contractual obligations for a significant period of time. For more information, refer to the risk factors incorporated by reference into </w:t>
      </w:r>
      <w:hyperlink w:anchor="ib7dd323ab1d248519cd6bbc987f2a646_106">
        <w:r>
          <w:rPr>
            <w:rStyle w:val="InternetLink"/>
            <w:rFonts w:ascii="Times New Roman;sans-serif" w:hAnsi="Times New Roman;sans-serif"/>
            <w:b w:val="false"/>
            <w:color w:val="0000FF"/>
            <w:sz w:val="20"/>
            <w:u w:val="single"/>
          </w:rPr>
          <w:t>Part II. Item 1A. Risk Factors</w:t>
        </w:r>
      </w:hyperlink>
      <w:r>
        <w:rPr>
          <w:color w:val="000000"/>
        </w:rPr>
        <w:t xml:space="preserve"> </w:t>
      </w:r>
      <w:r>
        <w:rPr>
          <w:rFonts w:ascii="Times New Roman;sans-serif" w:hAnsi="Times New Roman;sans-serif"/>
          <w:b w:val="false"/>
          <w:color w:val="000000"/>
          <w:sz w:val="20"/>
        </w:rPr>
        <w:t xml:space="preserve">herein from our </w:t>
      </w:r>
      <w:hyperlink r:id="rId6">
        <w:r>
          <w:rPr>
            <w:rStyle w:val="InternetLink"/>
            <w:rFonts w:ascii="Times New Roman;sans-serif" w:hAnsi="Times New Roman;sans-serif"/>
            <w:b w:val="false"/>
            <w:color w:val="0000FF"/>
            <w:sz w:val="20"/>
            <w:u w:val="single"/>
          </w:rPr>
          <w:t>Annual Report on Form 10-K for the year ended December 31, 2023</w:t>
        </w:r>
      </w:hyperlink>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raise funds in the future through the issuance of debt and equity securities and access to other third-party sources of capital on attractive terms, or at all, will be dependent on, among other things, general economic conditions, general market conditions for REITs and investment grade issuers, market perceptions, the trading price of our stock and uncertainties related to the macroeconomic environment. We will continue to analyze which sources of capital are most advantageous to us at any particular point in time, but financing through the capital markets may not be consistently available on terms we deem attractive, or at all.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Material Cash Requirements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Contractual Obligations</w:t>
      </w:r>
    </w:p>
    <w:p>
      <w:pPr>
        <w:pStyle w:val="TextBody"/>
        <w:bidi w:val="0"/>
        <w:spacing w:lineRule="auto" w:line="288" w:before="180" w:after="283"/>
        <w:jc w:val="both"/>
        <w:rPr/>
      </w:pPr>
      <w:r>
        <w:rPr>
          <w:rFonts w:ascii="Times New Roman;sans-serif" w:hAnsi="Times New Roman;sans-serif"/>
          <w:b w:val="false"/>
          <w:color w:val="000000"/>
          <w:sz w:val="20"/>
        </w:rPr>
        <w:t xml:space="preserve">Our short-term obligations consist primarily of regular interest payments on our debt obligations, dividends to our common stockholders, distributions to the VICI OP Unit holders and Bowlero OP Unit holders, normal recurring operating expenses, recurring expenditures for corporate and administrative needs, certain lease and other contractual commitments related to our golf operations and certain non-recurring expenditures. For more information on our material contractual commitments, refer to </w:t>
      </w:r>
      <w:hyperlink w:anchor="ib7dd323ab1d248519cd6bbc987f2a646_79">
        <w:r>
          <w:rPr>
            <w:rStyle w:val="InternetLink"/>
            <w:rFonts w:ascii="Times New Roman;sans-serif" w:hAnsi="Times New Roman;sans-serif"/>
            <w:b w:val="false"/>
            <w:color w:val="0000FF"/>
            <w:sz w:val="20"/>
            <w:u w:val="single"/>
          </w:rPr>
          <w:t>Note 10 - Commitments and Contingent Liabilities</w:t>
        </w:r>
      </w:hyperlink>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long-term obligations consist primarily of principal payments on our outstanding debt obligations and future funding commitments under our lease and loan agreements. As of September 30, 2024, we have $17.1 billion of debt obligations outstanding of which $750.0 million matures on February 15, 2025, $500.0 million matures on May 15, 2025 and $800.0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84785"/>
                <wp:effectExtent l="0" t="0" r="0" b="0"/>
                <wp:wrapNone/>
                <wp:docPr id="56" name="Frame5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pPr>
      <w:r>
        <w:rPr>
          <w:rFonts w:ascii="Times New Roman;sans-serif" w:hAnsi="Times New Roman;sans-serif"/>
          <w:b w:val="false"/>
          <w:color w:val="000000"/>
          <w:sz w:val="20"/>
        </w:rPr>
        <w:t xml:space="preserve">million matures on June 15, 2025. For a summary of principal debt balances and their maturity dates and principal terms, refer to </w:t>
      </w:r>
      <w:hyperlink w:anchor="ib7dd323ab1d248519cd6bbc987f2a646_70">
        <w:r>
          <w:rPr>
            <w:rStyle w:val="InternetLink"/>
            <w:rFonts w:ascii="Times New Roman;sans-serif" w:hAnsi="Times New Roman;sans-serif"/>
            <w:b w:val="false"/>
            <w:color w:val="0000FF"/>
            <w:sz w:val="20"/>
            <w:u w:val="single"/>
          </w:rPr>
          <w:t>Note 7 - Debt</w:t>
        </w:r>
      </w:hyperlink>
      <w:r>
        <w:rPr>
          <w:rFonts w:ascii="Times New Roman;sans-serif" w:hAnsi="Times New Roman;sans-serif"/>
          <w:b w:val="false"/>
          <w:color w:val="000000"/>
          <w:sz w:val="20"/>
        </w:rPr>
        <w:t xml:space="preserve">. For a summary of our future funding commitments under our loan portfolio, refer to </w:t>
      </w:r>
      <w:hyperlink w:anchor="ib7dd323ab1d248519cd6bbc987f2a646_61">
        <w:r>
          <w:rPr>
            <w:rStyle w:val="InternetLink"/>
            <w:rFonts w:ascii="Times New Roman;sans-serif" w:hAnsi="Times New Roman;sans-serif"/>
            <w:b w:val="false"/>
            <w:color w:val="0000FF"/>
            <w:sz w:val="20"/>
            <w:u w:val="single"/>
          </w:rPr>
          <w:t>Note 4 - Real Estate Portfolio</w:t>
        </w:r>
      </w:hyperlink>
      <w:r>
        <w:rPr>
          <w:rFonts w:ascii="Times New Roman;sans-serif" w:hAnsi="Times New Roman;sans-serif"/>
          <w:b w:val="false"/>
          <w:color w:val="000000"/>
          <w:sz w:val="20"/>
        </w:rPr>
        <w:t>.</w:t>
      </w:r>
    </w:p>
    <w:p>
      <w:pPr>
        <w:pStyle w:val="TextBody"/>
        <w:bidi w:val="0"/>
        <w:spacing w:lineRule="auto" w:line="288" w:before="180" w:after="283"/>
        <w:jc w:val="both"/>
        <w:rPr/>
      </w:pPr>
      <w:r>
        <w:rPr>
          <w:rFonts w:ascii="Times New Roman;sans-serif" w:hAnsi="Times New Roman;sans-serif"/>
          <w:b w:val="false"/>
          <w:color w:val="000000"/>
          <w:sz w:val="20"/>
        </w:rPr>
        <w:t xml:space="preserve">Pursuant to our lease agreements, capital expenditures, insurance and taxes for our properties are the responsibility of the tenants. Minimum capital expenditure spending requirements of the tenants pursuant to our gaming lease agreements are described in </w:t>
      </w:r>
      <w:hyperlink w:anchor="ib7dd323ab1d248519cd6bbc987f2a646_61">
        <w:r>
          <w:rPr>
            <w:rStyle w:val="InternetLink"/>
            <w:rFonts w:ascii="Times New Roman;sans-serif" w:hAnsi="Times New Roman;sans-serif"/>
            <w:b w:val="false"/>
            <w:color w:val="0000FF"/>
            <w:sz w:val="20"/>
            <w:u w:val="single"/>
          </w:rPr>
          <w:t>Note 4 - Real Estate Portfolio</w:t>
        </w:r>
      </w:hyperlink>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concerning our material contractual obligations and commitments to make future payments under contracts such as our indebtedness, future funding commitments under our loans and Partner Property Growth Fund and future contractual operating commitments (such as future lease payments under our corporate lease) are included in the following table as of September 30, 2024. Amounts in this table omit, among other things, non-contractual commitments and items such as dividends and recurring or non-recurring operating expenses and other expenditures, including acquisitions and other investments:</w:t>
      </w:r>
    </w:p>
    <w:tbl>
      <w:tblPr>
        <w:tblW w:w="11578" w:type="dxa"/>
        <w:jc w:val="left"/>
        <w:tblInd w:w="0" w:type="dxa"/>
        <w:tblLayout w:type="fixed"/>
        <w:tblCellMar>
          <w:top w:w="28" w:type="dxa"/>
          <w:left w:w="28" w:type="dxa"/>
          <w:bottom w:w="28" w:type="dxa"/>
          <w:right w:w="28" w:type="dxa"/>
        </w:tblCellMar>
      </w:tblPr>
      <w:tblGrid>
        <w:gridCol w:w="230"/>
        <w:gridCol w:w="158"/>
        <w:gridCol w:w="146"/>
        <w:gridCol w:w="597"/>
        <w:gridCol w:w="357"/>
        <w:gridCol w:w="247"/>
        <w:gridCol w:w="109"/>
        <w:gridCol w:w="109"/>
        <w:gridCol w:w="109"/>
        <w:gridCol w:w="211"/>
        <w:gridCol w:w="1081"/>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1081"/>
        <w:gridCol w:w="154"/>
      </w:tblGrid>
      <w:tr>
        <w:trPr/>
        <w:tc>
          <w:tcPr>
            <w:tcW w:w="2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Payments Due By Period</w:t>
            </w:r>
          </w:p>
        </w:tc>
      </w:tr>
      <w:tr>
        <w:trPr/>
        <w:tc>
          <w:tcPr>
            <w:tcW w:w="173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 (remaining)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 and Thereafter</w:t>
            </w:r>
          </w:p>
        </w:tc>
      </w:tr>
      <w:tr>
        <w:trPr/>
        <w:tc>
          <w:tcPr>
            <w:tcW w:w="17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Grand/Mandalay Bay JV CMBS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1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Scheduled interest payments </w:t>
            </w:r>
            <w:r>
              <w:rPr>
                <w:rFonts w:ascii="Times New Roman;sans-serif" w:hAnsi="Times New Roman;sans-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5,463,660 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contractual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22,581,363 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14,927,684 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Leases and contracts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Future funding commitments – loan investments and Partner Property Growth Fund </w:t>
            </w:r>
            <w:r>
              <w:rPr>
                <w:rFonts w:ascii="Times New Roman;sans-serif" w:hAnsi="Times New Roman;sans-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course operating lease and contractual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office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leases and contract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23,441,213 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623,993 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3,051,471 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2,721,318 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2,070,586 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14,973,845 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Estimated interest payments on variable interest debt under our Revolving Credit Facility are based on the CORRA and SONIA rates as of September 30, 2024.</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Excludes ground and use leases which are paid directly by our tenants to the primary lease holder.</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(3) The allocation of our future funding commitments is based on construction draw schedules, commitment funding dates, expiration dates or other information, as applicable; however, we may be obligated to fund these commitments earlier than such applicable date. Amounts include (i) the remaining $150.0 million funding commitment in connection with the Venetian Capital Investment outstanding as of September 30, 2024 (which was funded subsequent to quarter-end on October 1, 2024).</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Additional Funding Requirements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contractual obligations and commitments set forth in the table above, we have and may enter into additional agreements that commit us to potentially acquire properties in the future, fund future property improvements or otherwise provide capital to our tenants, borrowers and other counterparties, including through our put-call agreements and Partner Property Growth Fund. As of September 30, 2024, we had $300.0 million of additional potential future funding commitments in connection with the Venetian Capital Investment entered into on May 1, 2024, pursuant to which the tenant has the option, but not the obligation, to draw our future funds. The utilization of funding commitments under the Partner Property Growth Fund, as well as the total funding ultimately provided under such arrangements, is at the discretion of the respective tenant and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84785"/>
                <wp:effectExtent l="0" t="0" r="0" b="0"/>
                <wp:wrapNone/>
                <wp:docPr id="57" name="Frame5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dependent upon independent decisions made by such tenant with respect to any capital improvement projects and the source of funds for such projects. For further information, refer to Note 3 – Real Estate Transactions.</w:t>
      </w:r>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Cash Flow Analysis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cash flows for the nine months ended September 30, 2024 and 2023:</w:t>
      </w:r>
    </w:p>
    <w:tbl>
      <w:tblPr>
        <w:tblW w:w="10205" w:type="dxa"/>
        <w:jc w:val="left"/>
        <w:tblInd w:w="0" w:type="dxa"/>
        <w:tblLayout w:type="fixed"/>
        <w:tblCellMar>
          <w:top w:w="28" w:type="dxa"/>
          <w:left w:w="28" w:type="dxa"/>
          <w:bottom w:w="28" w:type="dxa"/>
          <w:right w:w="28" w:type="dxa"/>
        </w:tblCellMar>
      </w:tblPr>
      <w:tblGrid>
        <w:gridCol w:w="485"/>
        <w:gridCol w:w="425"/>
        <w:gridCol w:w="425"/>
        <w:gridCol w:w="1592"/>
        <w:gridCol w:w="1385"/>
        <w:gridCol w:w="1400"/>
        <w:gridCol w:w="211"/>
        <w:gridCol w:w="976"/>
        <w:gridCol w:w="109"/>
        <w:gridCol w:w="109"/>
        <w:gridCol w:w="109"/>
        <w:gridCol w:w="109"/>
        <w:gridCol w:w="211"/>
        <w:gridCol w:w="976"/>
        <w:gridCol w:w="109"/>
        <w:gridCol w:w="109"/>
        <w:gridCol w:w="109"/>
        <w:gridCol w:w="109"/>
        <w:gridCol w:w="211"/>
        <w:gridCol w:w="878"/>
        <w:gridCol w:w="158"/>
      </w:tblGrid>
      <w:tr>
        <w:trPr/>
        <w:tc>
          <w:tcPr>
            <w:tcW w:w="48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571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in investing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1,282,279 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in) provided by financing activities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(1,884,668)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 of exchange rate changes on cash, cash equivalents and restricted cash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cash equivalents and restricted cash</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(468,858)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(155,217)</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$132.9 million for the nine months ended September 30, 2024 compared with the nine months ended September 30, 2023. The increase was primarily driven by the acquisition of the remaining 49.9% of the MGM Grand/Mandalay Bay portfolio in January 2023, and an increase in rental payments from the addition of the Rocky Gap Casino component of the Century Master Lease in July 2023, the Canadian portfolio component of the Century Master Lease in September 2023, the master lease agreement with Bowlero in October 2023, the lease agreement with Chelsea Piers in December 2023, the annual rent escalators on our Caesars Leases and certain of our other lease agreements, and the incremental rent increase from the Venetian Capital Investment in July 2024, as well as the incremental interest income associated with additional loan fundings and originations.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decreased $1,282.3 million for the nine months ended September 30, 2024 compared with the nine months ended September 30, 2023.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2024, the primary sources and uses of cash from investing activities included: </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Disbursements to fund investments in our loan and securities portfolio in the amount of $473.7 million;</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Payments to fund the Venetian Capital Investment and Property Growth Fund investment at Caruthersville in the amount of </w:t>
      </w:r>
      <w:r>
        <w:rPr>
          <w:rFonts w:ascii="Times New Roman;sans-serif" w:hAnsi="Times New Roman;sans-serif"/>
          <w:b w:val="false"/>
          <w:color w:val="000000"/>
          <w:sz w:val="20"/>
        </w:rPr>
        <w:t>$261.8 million;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Proceeds from the repayment of the Great Wolf Lodge Maryland mezzanine loan in the amount of $79.5 million;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shd w:fill="FFFFFF" w:val="clear"/>
        </w:rPr>
        <w:t xml:space="preserve">Investments and maturities of short-term investments of </w:t>
      </w:r>
      <w:r>
        <w:rPr>
          <w:rFonts w:ascii="Times New Roman;sans-serif" w:hAnsi="Times New Roman;sans-serif"/>
          <w:b w:val="false"/>
          <w:color w:val="000000"/>
          <w:sz w:val="20"/>
        </w:rPr>
        <w:t>$29.6 million; and</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rPr>
        <w:t>Payments for property and equipment costs of $6.4 million.</w:t>
      </w:r>
    </w:p>
    <w:p>
      <w:pPr>
        <w:pStyle w:val="TextBody"/>
        <w:bidi w:val="0"/>
        <w:spacing w:lineRule="auto" w:line="288" w:before="120" w:after="283"/>
        <w:jc w:val="both"/>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nine months ended September 30, 2023</w:t>
      </w:r>
      <w:r>
        <w:rPr>
          <w:rFonts w:ascii="Times New Roman;sans-serif" w:hAnsi="Times New Roman;sans-serif"/>
          <w:b w:val="false"/>
          <w:color w:val="000000"/>
          <w:sz w:val="20"/>
          <w:shd w:fill="FFFFFF" w:val="clear"/>
        </w:rPr>
        <w:t xml:space="preserve">, the primary sources and uses of cash from investing activities included: </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Net payments of </w:t>
      </w:r>
      <w:r>
        <w:rPr>
          <w:rFonts w:ascii="Times New Roman;sans-serif" w:hAnsi="Times New Roman;sans-serif"/>
          <w:b w:val="false"/>
          <w:color w:val="000000"/>
          <w:sz w:val="20"/>
        </w:rPr>
        <w:t>$1,266.9 million</w:t>
      </w:r>
      <w:r>
        <w:rPr>
          <w:rFonts w:ascii="Times New Roman;sans-serif" w:hAnsi="Times New Roman;sans-serif"/>
          <w:b w:val="false"/>
          <w:color w:val="000000"/>
          <w:sz w:val="20"/>
          <w:shd w:fill="FFFFFF" w:val="clear"/>
        </w:rPr>
        <w:t>, including acquisition costs, in connection with the MGM Grand/Mandalay Bay JV Interest Acquisition;</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Disbursements to fund investments in our loan and securities portfolio in the amount of </w:t>
      </w:r>
      <w:r>
        <w:rPr>
          <w:rFonts w:ascii="Times New Roman;sans-serif" w:hAnsi="Times New Roman;sans-serif"/>
          <w:b w:val="false"/>
          <w:color w:val="000000"/>
          <w:sz w:val="20"/>
        </w:rPr>
        <w:t>$702.1 million</w:t>
      </w:r>
      <w:r>
        <w:rPr>
          <w:rFonts w:ascii="Times New Roman;sans-serif" w:hAnsi="Times New Roman;sans-serif"/>
          <w:b w:val="false"/>
          <w:color w:val="000000"/>
          <w:sz w:val="20"/>
          <w:shd w:fill="FFFFFF" w:val="clear"/>
        </w:rPr>
        <w:t>;</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Proceeds from the principal repayment of the Forum Convention Center Mortgage Loan of $400.0 million;</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Payments to fund the</w:t>
      </w:r>
      <w:r>
        <w:rPr>
          <w:color w:val="000000"/>
        </w:rPr>
        <w:t xml:space="preserve"> </w:t>
      </w:r>
      <w:r>
        <w:rPr>
          <w:rFonts w:ascii="Times New Roman;sans-serif" w:hAnsi="Times New Roman;sans-serif"/>
          <w:b w:val="false"/>
          <w:color w:val="000000"/>
          <w:sz w:val="20"/>
        </w:rPr>
        <w:t xml:space="preserve">acquisition of the portfolio of assets leased to PURE Canadian Gaming, Corp. and the acquisition of the Canadian portfolio of assets leased to Century Casinos, Inc. </w:t>
      </w:r>
      <w:r>
        <w:rPr>
          <w:rFonts w:ascii="Times New Roman;sans-serif" w:hAnsi="Times New Roman;sans-serif"/>
          <w:b w:val="false"/>
          <w:color w:val="000000"/>
          <w:sz w:val="20"/>
          <w:shd w:fill="FFFFFF" w:val="clear"/>
        </w:rPr>
        <w:t xml:space="preserve">for a total cost of </w:t>
      </w:r>
      <w:r>
        <w:rPr>
          <w:rFonts w:ascii="Times New Roman;sans-serif" w:hAnsi="Times New Roman;sans-serif"/>
          <w:b w:val="false"/>
          <w:color w:val="000000"/>
          <w:sz w:val="20"/>
        </w:rPr>
        <w:t>$365.8 million</w:t>
      </w:r>
      <w:r>
        <w:rPr>
          <w:rFonts w:ascii="Times New Roman;sans-serif" w:hAnsi="Times New Roman;sans-serif"/>
          <w:b w:val="false"/>
          <w:color w:val="000000"/>
          <w:sz w:val="20"/>
          <w:shd w:fill="FFFFFF" w:val="clear"/>
        </w:rPr>
        <w:t>, including acquisition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84785"/>
                <wp:effectExtent l="0" t="0" r="0" b="0"/>
                <wp:wrapNone/>
                <wp:docPr id="58" name="Frame5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Payments to fund the</w:t>
      </w:r>
      <w:r>
        <w:rPr>
          <w:color w:val="000000"/>
        </w:rPr>
        <w:t xml:space="preserve"> </w:t>
      </w:r>
      <w:r>
        <w:rPr>
          <w:rFonts w:ascii="Times New Roman;sans-serif" w:hAnsi="Times New Roman;sans-serif"/>
          <w:b w:val="false"/>
          <w:color w:val="000000"/>
          <w:sz w:val="20"/>
        </w:rPr>
        <w:t>acquisition of the Rocky Gap Casino asset leased to Century Casinos, Inc. (including acquisition costs) and the Property Growth Fund investment at Caruthersville</w:t>
      </w:r>
      <w:r>
        <w:rPr>
          <w:color w:val="000000"/>
          <w:shd w:fill="FFFFFF" w:val="clear"/>
        </w:rPr>
        <w:t xml:space="preserve"> </w:t>
      </w:r>
      <w:r>
        <w:rPr>
          <w:rFonts w:ascii="Times New Roman;sans-serif" w:hAnsi="Times New Roman;sans-serif"/>
          <w:b w:val="false"/>
          <w:color w:val="000000"/>
          <w:sz w:val="20"/>
          <w:shd w:fill="FFFFFF" w:val="clear"/>
        </w:rPr>
        <w:t xml:space="preserve">for a total cost of </w:t>
      </w:r>
      <w:r>
        <w:rPr>
          <w:rFonts w:ascii="Times New Roman;sans-serif" w:hAnsi="Times New Roman;sans-serif"/>
          <w:b w:val="false"/>
          <w:color w:val="000000"/>
          <w:sz w:val="20"/>
        </w:rPr>
        <w:t>$231.2 million</w:t>
      </w:r>
      <w:r>
        <w:rPr>
          <w:rFonts w:ascii="Times New Roman;sans-serif" w:hAnsi="Times New Roman;sans-serif"/>
          <w:b w:val="false"/>
          <w:color w:val="000000"/>
          <w:sz w:val="20"/>
          <w:shd w:fill="FFFFFF" w:val="clear"/>
        </w:rPr>
        <w:t>, including acquisition costs;</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Maturities of short-term investments of </w:t>
      </w:r>
      <w:r>
        <w:rPr>
          <w:rFonts w:ascii="Times New Roman;sans-serif" w:hAnsi="Times New Roman;sans-serif"/>
          <w:b w:val="false"/>
          <w:color w:val="000000"/>
          <w:sz w:val="20"/>
        </w:rPr>
        <w:t>$217.3 million</w:t>
      </w:r>
      <w:r>
        <w:rPr>
          <w:rFonts w:ascii="Times New Roman;sans-serif" w:hAnsi="Times New Roman;sans-serif"/>
          <w:b w:val="false"/>
          <w:color w:val="000000"/>
          <w:sz w:val="20"/>
          <w:shd w:fill="FFFFFF" w:val="clear"/>
        </w:rPr>
        <w: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Proceeds from the sale of land of $6.2 million;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Payments for property and equipment costs of $1.9 million.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decreased $1,884.7 million for the nine months ended September 30, 2024, compared with the nine months ended September 30, 2023.</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2024, the primary sources and uses of cash in financing activities included: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proceeds from the issuance of the March 2024 Notes in the amount of $1,028.5 million;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Redemption of the outstanding (i) $1,024.2 million in aggregate principal amount of the 5.625% Senior Notes due 2024 and (ii) $25.8 million in aggregate principal amount of the 5.625% MGP OP Notes due 2024;</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Dividend payments of $1,300.3 million;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Net proceeds of $115.1 million from the physical settlement of 4,000,000 forward shares under our ATM Program;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Repayment of $85.9 million on our Revolving Credit Facility;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Draw of $82.2 million on our Revolving Credit Facility;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Distributions of $23.2 million to non-controlling interests;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Repurchase of shares of common stock for tax withholding in connection with the vesting of employee stock compensation of $5.3 million;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Payments of debt issuance costs of $3.3 million.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the primary sources and uses of cash from financing activities included: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proceeds of $1,672.4 million from the issuance of an aggregate 53,192,592 shares of our common stock pursuant to the full physical settlement of the then-outstanding forward sale agreements;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Dividend payments of $1,161.8 million;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Draw of $408.2 million on our Revolving Credit Facility;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Repayment of $250.0 million on our Revolving Credit Facility;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Distributions of $21.5 million to non-controlling interests;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Repurchase of shares of common stock for tax withholding in connection with the vesting of employee stock compensation of $5.0 million.</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Debt</w:t>
      </w:r>
    </w:p>
    <w:p>
      <w:pPr>
        <w:pStyle w:val="TextBody"/>
        <w:bidi w:val="0"/>
        <w:spacing w:lineRule="auto" w:line="288" w:before="180" w:after="283"/>
        <w:jc w:val="both"/>
        <w:rPr/>
      </w:pPr>
      <w:r>
        <w:rPr>
          <w:rFonts w:ascii="Times New Roman;sans-serif" w:hAnsi="Times New Roman;sans-serif"/>
          <w:b w:val="false"/>
          <w:color w:val="000000"/>
          <w:sz w:val="20"/>
        </w:rPr>
        <w:t xml:space="preserve">For a summary of our debt obligations as of September 30, 2024, refer to </w:t>
      </w:r>
      <w:hyperlink w:anchor="ib7dd323ab1d248519cd6bbc987f2a646_70">
        <w:r>
          <w:rPr>
            <w:rStyle w:val="InternetLink"/>
            <w:rFonts w:ascii="Times New Roman;sans-serif" w:hAnsi="Times New Roman;sans-serif"/>
            <w:b w:val="false"/>
            <w:color w:val="0000FF"/>
            <w:sz w:val="20"/>
            <w:u w:val="single"/>
          </w:rPr>
          <w:t>Note 7 - Debt</w:t>
        </w:r>
      </w:hyperlink>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Covenants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debt obligations are subject to certain customary financial and protective covenants that restrict our ability to incur additional debt, sell certain assets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 At September 30, 2024, we were in compliance with all debt-related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84785"/>
                <wp:effectExtent l="0" t="0" r="0" b="0"/>
                <wp:wrapNone/>
                <wp:docPr id="59" name="Frame5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Distribution Policy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make regular quarterly distributions to holders of shares of our common stock. Dividends declared (on a per share basis) during the nine months ended September 30, 2024 and 2023 were as follows:</w:t>
      </w:r>
    </w:p>
    <w:tbl>
      <w:tblPr>
        <w:tblW w:w="10043" w:type="dxa"/>
        <w:jc w:val="left"/>
        <w:tblInd w:w="0" w:type="dxa"/>
        <w:tblLayout w:type="fixed"/>
        <w:tblCellMar>
          <w:top w:w="28" w:type="dxa"/>
          <w:left w:w="28" w:type="dxa"/>
          <w:bottom w:w="28" w:type="dxa"/>
          <w:right w:w="28" w:type="dxa"/>
        </w:tblCellMar>
      </w:tblPr>
      <w:tblGrid>
        <w:gridCol w:w="592"/>
        <w:gridCol w:w="520"/>
        <w:gridCol w:w="523"/>
        <w:gridCol w:w="109"/>
        <w:gridCol w:w="109"/>
        <w:gridCol w:w="109"/>
        <w:gridCol w:w="574"/>
        <w:gridCol w:w="574"/>
        <w:gridCol w:w="577"/>
        <w:gridCol w:w="109"/>
        <w:gridCol w:w="109"/>
        <w:gridCol w:w="109"/>
        <w:gridCol w:w="469"/>
        <w:gridCol w:w="469"/>
        <w:gridCol w:w="471"/>
        <w:gridCol w:w="109"/>
        <w:gridCol w:w="109"/>
        <w:gridCol w:w="109"/>
        <w:gridCol w:w="955"/>
        <w:gridCol w:w="955"/>
        <w:gridCol w:w="970"/>
        <w:gridCol w:w="109"/>
        <w:gridCol w:w="109"/>
        <w:gridCol w:w="109"/>
        <w:gridCol w:w="211"/>
        <w:gridCol w:w="721"/>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2024</w:t>
            </w:r>
          </w:p>
        </w:tc>
      </w:tr>
      <w:tr>
        <w:trPr/>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2024 -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2024 -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2024 -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043" w:type="dxa"/>
        <w:jc w:val="center"/>
        <w:tblInd w:w="0" w:type="dxa"/>
        <w:tblLayout w:type="fixed"/>
        <w:tblCellMar>
          <w:top w:w="28" w:type="dxa"/>
          <w:left w:w="28" w:type="dxa"/>
          <w:bottom w:w="28" w:type="dxa"/>
          <w:right w:w="28" w:type="dxa"/>
        </w:tblCellMar>
      </w:tblPr>
      <w:tblGrid>
        <w:gridCol w:w="592"/>
        <w:gridCol w:w="520"/>
        <w:gridCol w:w="523"/>
        <w:gridCol w:w="109"/>
        <w:gridCol w:w="109"/>
        <w:gridCol w:w="109"/>
        <w:gridCol w:w="574"/>
        <w:gridCol w:w="574"/>
        <w:gridCol w:w="577"/>
        <w:gridCol w:w="109"/>
        <w:gridCol w:w="109"/>
        <w:gridCol w:w="109"/>
        <w:gridCol w:w="469"/>
        <w:gridCol w:w="469"/>
        <w:gridCol w:w="471"/>
        <w:gridCol w:w="109"/>
        <w:gridCol w:w="109"/>
        <w:gridCol w:w="109"/>
        <w:gridCol w:w="955"/>
        <w:gridCol w:w="955"/>
        <w:gridCol w:w="970"/>
        <w:gridCol w:w="109"/>
        <w:gridCol w:w="109"/>
        <w:gridCol w:w="109"/>
        <w:gridCol w:w="211"/>
        <w:gridCol w:w="721"/>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r>
      <w:tr>
        <w:trPr/>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2023 -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2023 -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 2023 -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40"/>
        <w:jc w:val="both"/>
        <w:rPr>
          <w:rFonts w:ascii="Times New Roman;sans-serif" w:hAnsi="Times New Roman;sans-serif"/>
          <w:b w:val="false"/>
          <w:color w:val="000000"/>
          <w:sz w:val="20"/>
        </w:rPr>
      </w:pPr>
      <w:r>
        <w:rPr>
          <w:rFonts w:ascii="Times New Roman;sans-serif" w:hAnsi="Times New Roman;sans-serif"/>
          <w:b w:val="false"/>
          <w:color w:val="000000"/>
          <w:sz w:val="20"/>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make distributions to our stockholders to comply with the REIT requirements of the Internal Revenue Code of 1986, as amended (the “Code”), and to avoid or otherwise minimize paying entity level federal income or excise tax (other than at any TRS of ours). We may generate taxable income greater than our income for financial reporting purposes prepared in accordance with GAAP. Further, we may generate REIT taxable income greater than our cash flow from operations 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Critical Accounting Policies and Estimates</w:t>
      </w:r>
    </w:p>
    <w:p>
      <w:pPr>
        <w:pStyle w:val="TextBody"/>
        <w:bidi w:val="0"/>
        <w:spacing w:lineRule="auto" w:line="288" w:before="180" w:after="283"/>
        <w:jc w:val="both"/>
        <w:rPr/>
      </w:pPr>
      <w:r>
        <w:rPr>
          <w:rFonts w:ascii="Times New Roman;sans-serif" w:hAnsi="Times New Roman;sans-serif"/>
          <w:b w:val="false"/>
          <w:color w:val="000000"/>
          <w:sz w:val="20"/>
        </w:rPr>
        <w:t xml:space="preserve">A complete discussion of our critical accounting policies and estimates is included in our </w:t>
      </w:r>
      <w:hyperlink r:id="rId7">
        <w:r>
          <w:rPr>
            <w:rStyle w:val="InternetLink"/>
            <w:rFonts w:ascii="Times New Roman;sans-serif" w:hAnsi="Times New Roman;sans-serif"/>
            <w:b w:val="false"/>
            <w:color w:val="0000FF"/>
            <w:sz w:val="20"/>
            <w:u w:val="single"/>
          </w:rPr>
          <w:t>Annual Report on Form 10-K for the year ended December 31, 2023</w:t>
        </w:r>
      </w:hyperlink>
      <w:r>
        <w:rPr>
          <w:rFonts w:ascii="Times New Roman;sans-serif" w:hAnsi="Times New Roman;sans-serif"/>
          <w:b w:val="false"/>
          <w:color w:val="000000"/>
          <w:sz w:val="20"/>
        </w:rPr>
        <w:t>. There have been no significant changes in our critical policies and estimates for the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Item 3.        Quantitative and Qualitative Disclosures About Market Risk</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interest rate risk management objective is to limit the impact of future interest rate changes on our earnings and cash flows. To achieve this objective, our consolidated subsidiaries primarily borrow on a fixed-rate basis for longer-term debt issuances. As of September 30, 2024, we had $17.1 billion aggregate principal amount of outstanding indebtedness, of which 99.0% has fixed rate interest and 1.0% has a variable interest rate, representing the US$167.7 million outstanding balance under the Revolving Credit Facility (denominated in CAD and GBP and based on the applicable exchange rate as of September 30, 2024). As of September 30, 2024, a one percent increase or decrease in the annual interest rate on our variable rate borrowings would increase or decrease our annual cash interest expense by approximately $1.7 million using the applicable exchange rate as of September 30, 2024.</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are exposed to interest rate risk between the time we enter into a transaction and the time we finance the related transaction with long-term fixed-rate debt. In addition, when that long-term debt matures, we may have to refinance such debt at a higher interest rate. In a heightened interest rate environment, we have from time to time and may in the future seek to mitigate that risk by utilizing forward-starting interest rate swap agreements, treasury locks and other derivative instruments. Market interest rates are sensitive to many factors that are beyond our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84785"/>
                <wp:effectExtent l="0" t="0" r="0" b="0"/>
                <wp:wrapNone/>
                <wp:docPr id="60" name="Frame5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Capital Markets Risks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long-term indebtedness, borrowings under credit facilities or other debt instruments.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Item 4.        Controls and Procedures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VICI Properties Inc.</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maintains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VICI’s management, including VICI’s principal executive officer and principal financial officer, as appropriate, to allow timely decisions regarding required disclosure.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VICI’s management has evaluated, under the supervision and with the participation of our principal executive officer and principal financial officer, the effectiveness of our disclosure controls and procedures pursuant to Exchange Act Rule 13a-15(e) as of the end of the period covered by this report. Based upon this evaluation, VICI’s principal executive officer and principal financial officer concluded that VICI’s disclosure controls and procedures were effective as of the end of the period covered by this report.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VICI’s internal control over financial reporting (as defined in Rules 13a-15(f) and 15d-15(f) under the Exchange Act) that occurred during the three months ended September 30, 2024, that have materially affected, or are reasonably likely to materially affect, VICI’s internal control over financial reporting.</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VICI Properties L.P.</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LP maintains disclosure controls and procedures (as defined in Rules 13a-15(e) and 15d-15(e) of the Exchange Act) designed to provide reasonable assurance that information required to be disclosed in reports filed under the Exchange Act is recorded, processed, summarized and reported within the specified time periods, and is accumulated and communicated to our management, including VICI LP’s principal executive officer and principal financial officer, as appropriate, to allow timely decisions regarding required disclosure.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LP’s management has evaluated, under the supervision and with the participation of VICI LP’s principal executive officer and principal financial officer, the effectiveness of VICI LP’s disclosure controls and procedures pursuant to Exchange Act Rule 13a-15(e) as of the end of the period covered by this report. Based upon this evaluation, VICI LP’s principal executive officer and principal financial officer concluded that VICI LP’s disclosure controls and procedures were effective as of the end of the period covered by this report.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VICI LP’s internal control over financial reporting (as defined in Rules 13a-15(f) and 15d-15(f) under the Exchange Act) that occurred during the three months ended September 30, 2024, that have materially affected, or are reasonably likely to materially affect, VICI LP’s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84785"/>
                <wp:effectExtent l="0" t="0" r="0" b="0"/>
                <wp:wrapNone/>
                <wp:docPr id="61" name="Frame6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both"/>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Item 1.        Legal Proceedings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information contained under the heading “Litigation” in </w:t>
      </w:r>
      <w:hyperlink w:anchor="ib7dd323ab1d248519cd6bbc987f2a646_79">
        <w:r>
          <w:rPr>
            <w:rStyle w:val="InternetLink"/>
            <w:rFonts w:ascii="Times New Roman;sans-serif" w:hAnsi="Times New Roman;sans-serif"/>
            <w:b w:val="false"/>
            <w:color w:val="0000FF"/>
            <w:sz w:val="20"/>
            <w:u w:val="single"/>
          </w:rPr>
          <w:t>Note 10 - Commitments and Contingent Liabilities</w:t>
        </w:r>
      </w:hyperlink>
      <w:r>
        <w:rPr>
          <w:color w:val="000000"/>
        </w:rPr>
        <w:t xml:space="preserve"> </w:t>
      </w:r>
      <w:r>
        <w:rPr>
          <w:rFonts w:ascii="Times New Roman;sans-serif" w:hAnsi="Times New Roman;sans-serif"/>
          <w:b w:val="false"/>
          <w:color w:val="000000"/>
          <w:sz w:val="20"/>
        </w:rPr>
        <w:t xml:space="preserve">to our Financial Statements included in this report is incorporated by reference into this Item 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1A.    Risk Factors</w:t>
      </w:r>
    </w:p>
    <w:p>
      <w:pPr>
        <w:pStyle w:val="TextBody"/>
        <w:bidi w:val="0"/>
        <w:spacing w:lineRule="auto" w:line="288" w:before="180" w:after="283"/>
        <w:jc w:val="both"/>
        <w:rPr/>
      </w:pPr>
      <w:r>
        <w:rPr>
          <w:rFonts w:ascii="Times New Roman;sans-serif" w:hAnsi="Times New Roman;sans-serif"/>
          <w:b w:val="false"/>
          <w:color w:val="000000"/>
          <w:sz w:val="20"/>
        </w:rPr>
        <w:t xml:space="preserve">A description of certain factors that may affect our future results and risk factors is set forth in our </w:t>
      </w:r>
      <w:hyperlink r:id="rId8">
        <w:r>
          <w:rPr>
            <w:rStyle w:val="InternetLink"/>
            <w:rFonts w:ascii="Times New Roman;sans-serif" w:hAnsi="Times New Roman;sans-serif"/>
            <w:b w:val="false"/>
            <w:color w:val="0000FF"/>
            <w:sz w:val="20"/>
            <w:u w:val="single"/>
          </w:rPr>
          <w:t>Annual Report on Form 10-K for the year ended December 31, 2023</w:t>
        </w:r>
      </w:hyperlink>
      <w:r>
        <w:rPr>
          <w:rFonts w:ascii="Times New Roman;sans-serif" w:hAnsi="Times New Roman;sans-serif"/>
          <w:b w:val="false"/>
          <w:color w:val="000000"/>
          <w:sz w:val="20"/>
        </w:rPr>
        <w:t>, and is incorporated by reference into this Item 1A. There have been no material changes to those factors for the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2.     Unregistered Sales of Equity Securities and Use of Proceeds</w:t>
      </w:r>
    </w:p>
    <w:p>
      <w:pPr>
        <w:pStyle w:val="TextBody"/>
        <w:bidi w:val="0"/>
        <w:spacing w:lineRule="auto" w:line="288" w:before="180" w:after="60"/>
        <w:jc w:val="left"/>
        <w:rPr>
          <w:rFonts w:ascii="Times New Roman;sans-serif" w:hAnsi="Times New Roman;sans-serif"/>
          <w:b/>
          <w:color w:val="000000"/>
          <w:sz w:val="20"/>
        </w:rPr>
      </w:pPr>
      <w:r>
        <w:rPr>
          <w:rFonts w:ascii="Times New Roman;sans-serif" w:hAnsi="Times New Roman;sans-serif"/>
          <w:b/>
          <w:color w:val="000000"/>
          <w:sz w:val="20"/>
        </w:rPr>
        <w:t>(a) Unregistered Sales of Equity Securities and Use of Proceeds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(b) Use of Proceeds from Registered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(c) Issuer Purchases of Equity Securities</w:t>
      </w:r>
    </w:p>
    <w:p>
      <w:pPr>
        <w:pStyle w:val="TextBody"/>
        <w:bidi w:val="0"/>
        <w:spacing w:lineRule="auto" w:line="288" w:before="240" w:after="60"/>
        <w:jc w:val="left"/>
        <w:rPr>
          <w:rFonts w:ascii="Times New Roman;sans-serif" w:hAnsi="Times New Roman;sans-serif"/>
          <w:b/>
          <w:i/>
          <w:color w:val="000000"/>
          <w:sz w:val="20"/>
        </w:rPr>
      </w:pPr>
      <w:r>
        <w:rPr>
          <w:rFonts w:ascii="Times New Roman;sans-serif" w:hAnsi="Times New Roman;sans-serif"/>
          <w:b/>
          <w:i/>
          <w:color w:val="000000"/>
          <w:sz w:val="20"/>
        </w:rPr>
        <w:t>VICI Properties Inc.</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During the three months ended September 30, 2024,</w:t>
      </w:r>
      <w:r>
        <w:rPr>
          <w:color w:val="000000"/>
        </w:rPr>
        <w:t xml:space="preserve"> </w:t>
      </w:r>
      <w:r>
        <w:rPr>
          <w:rFonts w:ascii="Times New Roman;sans-serif" w:hAnsi="Times New Roman;sans-serif"/>
          <w:b w:val="false"/>
          <w:color w:val="000000"/>
          <w:sz w:val="20"/>
        </w:rPr>
        <w:t>certain employees surrendered shares of common stock owned by them to VICI to satisfy their statutory minimum federal and state income tax obligations associated with the vesting of shares of restricted common stock issued under our stock incentive plan. The following table summarizes such common stock repurchases during the three months ended September 30, 2024:</w:t>
      </w:r>
    </w:p>
    <w:tbl>
      <w:tblPr>
        <w:tblW w:w="10205" w:type="dxa"/>
        <w:jc w:val="left"/>
        <w:tblInd w:w="0" w:type="dxa"/>
        <w:tblLayout w:type="fixed"/>
        <w:tblCellMar>
          <w:top w:w="28" w:type="dxa"/>
          <w:left w:w="28" w:type="dxa"/>
          <w:bottom w:w="28" w:type="dxa"/>
          <w:right w:w="28" w:type="dxa"/>
        </w:tblCellMar>
      </w:tblPr>
      <w:tblGrid>
        <w:gridCol w:w="750"/>
        <w:gridCol w:w="521"/>
        <w:gridCol w:w="527"/>
        <w:gridCol w:w="109"/>
        <w:gridCol w:w="109"/>
        <w:gridCol w:w="109"/>
        <w:gridCol w:w="466"/>
        <w:gridCol w:w="466"/>
        <w:gridCol w:w="468"/>
        <w:gridCol w:w="109"/>
        <w:gridCol w:w="109"/>
        <w:gridCol w:w="109"/>
        <w:gridCol w:w="289"/>
        <w:gridCol w:w="866"/>
        <w:gridCol w:w="149"/>
        <w:gridCol w:w="109"/>
        <w:gridCol w:w="109"/>
        <w:gridCol w:w="109"/>
        <w:gridCol w:w="690"/>
        <w:gridCol w:w="690"/>
        <w:gridCol w:w="691"/>
        <w:gridCol w:w="109"/>
        <w:gridCol w:w="109"/>
        <w:gridCol w:w="109"/>
        <w:gridCol w:w="678"/>
        <w:gridCol w:w="678"/>
        <w:gridCol w:w="968"/>
      </w:tblGrid>
      <w:tr>
        <w:trPr/>
        <w:tc>
          <w:tcPr>
            <w:tcW w:w="75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1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w:t>
              <w:br/>
              <w:t>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Number Of Shares That </w:t>
              <w:br/>
              <w:t>May Yet Be Purchased Under The Plans Or Programs</w:t>
            </w:r>
          </w:p>
        </w:tc>
      </w:tr>
      <w:tr>
        <w:trPr/>
        <w:tc>
          <w:tcPr>
            <w:tcW w:w="1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2024 through July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 through August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September 1, 2024 through September 30, 2024 </w:t>
            </w:r>
            <w:r>
              <w:rPr>
                <w:rFonts w:ascii="Times New Roman;sans-serif" w:hAnsi="Times New Roman;sans-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267</w:t>
            </w:r>
            <w:r>
              <w:rPr>
                <w:color w:val="000000"/>
              </w:rPr>
              <w:t>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33.59</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All shares of common stock were surrendered by certain employees to VICI to satisfy their statutory minimum federal and state income tax obligations associated with the vesting of performance-based restricted stock units and shares of restricted common stock issued under our stock incentive plan.</w:t>
      </w:r>
    </w:p>
    <w:p>
      <w:pPr>
        <w:pStyle w:val="TextBody"/>
        <w:bidi w:val="0"/>
        <w:spacing w:lineRule="auto" w:line="288" w:before="240" w:after="60"/>
        <w:jc w:val="left"/>
        <w:rPr>
          <w:rFonts w:ascii="Times New Roman;sans-serif" w:hAnsi="Times New Roman;sans-serif"/>
          <w:b/>
          <w:i/>
          <w:color w:val="000000"/>
          <w:sz w:val="20"/>
        </w:rPr>
      </w:pPr>
      <w:r>
        <w:rPr>
          <w:rFonts w:ascii="Times New Roman;sans-serif" w:hAnsi="Times New Roman;sans-serif"/>
          <w:b/>
          <w:i/>
          <w:color w:val="000000"/>
          <w:sz w:val="20"/>
        </w:rPr>
        <w:t>VICI Properties L.P.</w:t>
      </w:r>
    </w:p>
    <w:p>
      <w:pPr>
        <w:pStyle w:val="TextBody"/>
        <w:bidi w:val="0"/>
        <w:spacing w:lineRule="auto" w:line="288" w:before="24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VICI LP did not repurchase any equity securities registered pursuant to Section 12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3.Defaults Upon Senior Securities</w:t>
      </w:r>
    </w:p>
    <w:p>
      <w:pPr>
        <w:pStyle w:val="TextBody"/>
        <w:bidi w:val="0"/>
        <w:spacing w:lineRule="auto" w:line="288" w:before="180" w:after="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84785"/>
                <wp:effectExtent l="0" t="0" r="0" b="0"/>
                <wp:wrapNone/>
                <wp:docPr id="62" name="Frame6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both"/>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4.Mine Safety Disclosures</w:t>
      </w:r>
    </w:p>
    <w:p>
      <w:pPr>
        <w:pStyle w:val="TextBody"/>
        <w:bidi w:val="0"/>
        <w:spacing w:lineRule="auto" w:line="288" w:before="180" w:after="60"/>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5.Other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4"/>
        </w:rPr>
        <w:t>Item 6.</w:t>
      </w:r>
      <w:r>
        <w:rPr>
          <w:rFonts w:ascii="Times New Roman;sans-serif" w:hAnsi="Times New Roman;sans-serif"/>
          <w:b/>
          <w:color w:val="000000"/>
          <w:sz w:val="24"/>
        </w:rPr>
        <w:t>Exhibits</w: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1674"/>
        <w:gridCol w:w="1674"/>
        <w:gridCol w:w="1596"/>
        <w:gridCol w:w="109"/>
        <w:gridCol w:w="109"/>
        <w:gridCol w:w="109"/>
        <w:gridCol w:w="297"/>
        <w:gridCol w:w="297"/>
        <w:gridCol w:w="298"/>
        <w:gridCol w:w="109"/>
        <w:gridCol w:w="109"/>
        <w:gridCol w:w="109"/>
        <w:gridCol w:w="170"/>
        <w:gridCol w:w="170"/>
        <w:gridCol w:w="171"/>
        <w:gridCol w:w="116"/>
        <w:gridCol w:w="116"/>
        <w:gridCol w:w="116"/>
        <w:gridCol w:w="210"/>
        <w:gridCol w:w="210"/>
        <w:gridCol w:w="211"/>
        <w:gridCol w:w="116"/>
        <w:gridCol w:w="116"/>
        <w:gridCol w:w="116"/>
        <w:gridCol w:w="211"/>
        <w:gridCol w:w="211"/>
        <w:gridCol w:w="212"/>
        <w:gridCol w:w="166"/>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32024exh311xviciprope.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32024exh311xviciprope.htm">
              <w:r>
                <w:rPr>
                  <w:rStyle w:val="InternetLink"/>
                  <w:rFonts w:ascii="Times New Roman;sans-serif" w:hAnsi="Times New Roman;sans-serif"/>
                  <w:b w:val="false"/>
                  <w:color w:val="0000FF"/>
                  <w:sz w:val="20"/>
                  <w:u w:val="single"/>
                </w:rPr>
                <w:t>VICI Properties Inc. 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32024exh312xviciprope.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32024exh312xviciprope.htm">
              <w:r>
                <w:rPr>
                  <w:rStyle w:val="InternetLink"/>
                  <w:rFonts w:ascii="Times New Roman;sans-serif" w:hAnsi="Times New Roman;sans-serif"/>
                  <w:b w:val="false"/>
                  <w:color w:val="0000FF"/>
                  <w:sz w:val="20"/>
                  <w:u w:val="single"/>
                </w:rPr>
                <w:t>VICI Properties Inc. 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32024exh313xviciprope.htm">
              <w:r>
                <w:rPr>
                  <w:rStyle w:val="InternetLink"/>
                  <w:rFonts w:ascii="Times New Roman;sans-serif" w:hAnsi="Times New Roman;sans-serif"/>
                  <w:b w:val="false"/>
                  <w:color w:val="0000FF"/>
                  <w:sz w:val="20"/>
                  <w:u w:val="single"/>
                </w:rPr>
                <w:t>31.3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32024exh313xviciprope.htm">
              <w:r>
                <w:rPr>
                  <w:rStyle w:val="InternetLink"/>
                  <w:rFonts w:ascii="Times New Roman;sans-serif" w:hAnsi="Times New Roman;sans-serif"/>
                  <w:b w:val="false"/>
                  <w:color w:val="0000FF"/>
                  <w:sz w:val="20"/>
                  <w:u w:val="single"/>
                </w:rPr>
                <w:t>VICI Properties L.P. 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32024exh314xviciprope.htm">
              <w:r>
                <w:rPr>
                  <w:rStyle w:val="InternetLink"/>
                  <w:rFonts w:ascii="Times New Roman;sans-serif" w:hAnsi="Times New Roman;sans-serif"/>
                  <w:b w:val="false"/>
                  <w:color w:val="0000FF"/>
                  <w:sz w:val="20"/>
                  <w:u w:val="single"/>
                </w:rPr>
                <w:t>31.4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32024exh314xviciprope.htm">
              <w:r>
                <w:rPr>
                  <w:rStyle w:val="InternetLink"/>
                  <w:rFonts w:ascii="Times New Roman;sans-serif" w:hAnsi="Times New Roman;sans-serif"/>
                  <w:b w:val="false"/>
                  <w:color w:val="0000FF"/>
                  <w:sz w:val="20"/>
                  <w:u w:val="single"/>
                </w:rPr>
                <w:t>VICI Properties L.P. 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32024exh321xviciprope.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32024exh321xviciprope.htm">
              <w:r>
                <w:rPr>
                  <w:rStyle w:val="InternetLink"/>
                  <w:rFonts w:ascii="Times New Roman;sans-serif" w:hAnsi="Times New Roman;sans-serif"/>
                  <w:b w:val="false"/>
                  <w:color w:val="0000FF"/>
                  <w:sz w:val="20"/>
                  <w:u w:val="single"/>
                </w:rPr>
                <w:t>VICI Properties Inc. Certification of Principal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32024exh322xviciprope.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32024exh322xviciprope.htm">
              <w:r>
                <w:rPr>
                  <w:rStyle w:val="InternetLink"/>
                  <w:rFonts w:ascii="Times New Roman;sans-serif" w:hAnsi="Times New Roman;sans-serif"/>
                  <w:b w:val="false"/>
                  <w:color w:val="0000FF"/>
                  <w:sz w:val="20"/>
                  <w:u w:val="single"/>
                </w:rPr>
                <w:t>VICI Properties Inc. Certification of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32024exh323xviciprope.htm">
              <w:r>
                <w:rPr>
                  <w:rStyle w:val="InternetLink"/>
                  <w:rFonts w:ascii="Times New Roman;sans-serif" w:hAnsi="Times New Roman;sans-serif"/>
                  <w:b w:val="false"/>
                  <w:color w:val="0000FF"/>
                  <w:sz w:val="20"/>
                  <w:u w:val="single"/>
                </w:rPr>
                <w:t>32.3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32024exh323xviciprope.htm">
              <w:r>
                <w:rPr>
                  <w:rStyle w:val="InternetLink"/>
                  <w:rFonts w:ascii="Times New Roman;sans-serif" w:hAnsi="Times New Roman;sans-serif"/>
                  <w:b w:val="false"/>
                  <w:color w:val="0000FF"/>
                  <w:sz w:val="20"/>
                  <w:u w:val="single"/>
                </w:rPr>
                <w:t>VICI Properties L.P. Certification of Principal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32024exh324xviciprope.htm">
              <w:r>
                <w:rPr>
                  <w:rStyle w:val="InternetLink"/>
                  <w:rFonts w:ascii="Times New Roman;sans-serif" w:hAnsi="Times New Roman;sans-serif"/>
                  <w:b w:val="false"/>
                  <w:color w:val="0000FF"/>
                  <w:sz w:val="20"/>
                  <w:u w:val="single"/>
                </w:rPr>
                <w:t>32.4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32024exh324xviciprope.htm">
              <w:r>
                <w:rPr>
                  <w:rStyle w:val="InternetLink"/>
                  <w:rFonts w:ascii="Times New Roman;sans-serif" w:hAnsi="Times New Roman;sans-serif"/>
                  <w:b w:val="false"/>
                  <w:color w:val="0000FF"/>
                  <w:sz w:val="20"/>
                  <w:u w:val="single"/>
                </w:rPr>
                <w:t>VICI Properties L.P. Certification of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both"/>
        <w:rPr/>
      </w:pPr>
      <w:hyperlink w:anchor="ib7dd323ab1d248519cd6bbc987f2a646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both"/>
        <w:rPr>
          <w:color w:val="000000"/>
        </w:rPr>
      </w:pPr>
      <w:r>
        <w:rPr>
          <w:color w:val="000000"/>
        </w:rPr>
        <w:t>                        </w:t>
      </w:r>
    </w:p>
    <w:tbl>
      <w:tblPr>
        <w:tblW w:w="8349" w:type="dxa"/>
        <w:jc w:val="left"/>
        <w:tblInd w:w="0" w:type="dxa"/>
        <w:tblLayout w:type="fixed"/>
        <w:tblCellMar>
          <w:top w:w="28" w:type="dxa"/>
          <w:left w:w="28" w:type="dxa"/>
          <w:bottom w:w="28" w:type="dxa"/>
          <w:right w:w="28" w:type="dxa"/>
        </w:tblCellMar>
      </w:tblPr>
      <w:tblGrid>
        <w:gridCol w:w="964"/>
        <w:gridCol w:w="849"/>
        <w:gridCol w:w="857"/>
        <w:gridCol w:w="174"/>
        <w:gridCol w:w="174"/>
        <w:gridCol w:w="174"/>
        <w:gridCol w:w="1047"/>
        <w:gridCol w:w="1047"/>
        <w:gridCol w:w="981"/>
        <w:gridCol w:w="174"/>
        <w:gridCol w:w="174"/>
        <w:gridCol w:w="174"/>
        <w:gridCol w:w="502"/>
        <w:gridCol w:w="502"/>
        <w:gridCol w:w="556"/>
      </w:tblGrid>
      <w:tr>
        <w:trPr/>
        <w:tc>
          <w:tcPr>
            <w:tcW w:w="9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83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VICI PROPERTIES INC.</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31,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31,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GABRIEL F. WASSERMAN</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31,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Gabriel F. Wasserman</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18" w:type="dxa"/>
        <w:jc w:val="left"/>
        <w:tblInd w:w="0" w:type="dxa"/>
        <w:tblLayout w:type="fixed"/>
        <w:tblCellMar>
          <w:top w:w="28" w:type="dxa"/>
          <w:left w:w="28" w:type="dxa"/>
          <w:bottom w:w="28" w:type="dxa"/>
          <w:right w:w="28" w:type="dxa"/>
        </w:tblCellMar>
      </w:tblPr>
      <w:tblGrid>
        <w:gridCol w:w="964"/>
        <w:gridCol w:w="849"/>
        <w:gridCol w:w="857"/>
        <w:gridCol w:w="169"/>
        <w:gridCol w:w="169"/>
        <w:gridCol w:w="169"/>
        <w:gridCol w:w="1020"/>
        <w:gridCol w:w="1020"/>
        <w:gridCol w:w="1034"/>
        <w:gridCol w:w="169"/>
        <w:gridCol w:w="169"/>
        <w:gridCol w:w="169"/>
        <w:gridCol w:w="486"/>
        <w:gridCol w:w="486"/>
        <w:gridCol w:w="588"/>
      </w:tblGrid>
      <w:tr>
        <w:trPr/>
        <w:tc>
          <w:tcPr>
            <w:tcW w:w="9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83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VICI PROPERTIES L.P.</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31,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31,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GABRIEL F. WASSERMAN</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31,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Gabriel F. Wasserman</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31.1</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84785"/>
                <wp:effectExtent l="0" t="0" r="0" b="0"/>
                <wp:wrapNone/>
                <wp:docPr id="64" name="Frame6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Edward B. Pitoniak,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VICI Properties Inc.;</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857"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31,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31.2</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89560"/>
                <wp:effectExtent l="0" t="0" r="0" b="0"/>
                <wp:wrapNone/>
                <wp:docPr id="65" name="Frame64"/>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David Kieske,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VICI Properties Inc.;</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color w:val="000000"/>
        </w:rPr>
      </w:pPr>
      <w:r>
        <w:rPr>
          <w:color w:val="000000"/>
        </w:rPr>
        <w:t> </w:t>
      </w:r>
    </w:p>
    <w:tbl>
      <w:tblPr>
        <w:tblW w:w="4572"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31,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31.3</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89560"/>
                <wp:effectExtent l="0" t="0" r="0" b="0"/>
                <wp:wrapNone/>
                <wp:docPr id="66" name="Frame65"/>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Edward B. Pitoniak,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VICI Properties L.P.;</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857"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October 31,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31.4</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89560"/>
                <wp:effectExtent l="0" t="0" r="0" b="0"/>
                <wp:wrapNone/>
                <wp:docPr id="67" name="Frame66"/>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David Kieske,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VICI Properties L.P.;</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color w:val="000000"/>
        </w:rPr>
      </w:pPr>
      <w:r>
        <w:rPr>
          <w:color w:val="000000"/>
        </w:rPr>
        <w:t> </w:t>
      </w:r>
    </w:p>
    <w:tbl>
      <w:tblPr>
        <w:tblW w:w="4572"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October 31,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32.1</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89560"/>
                <wp:effectExtent l="0" t="0" r="0" b="0"/>
                <wp:wrapNone/>
                <wp:docPr id="68" name="Frame67"/>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Inc. (the “Company”), hereby certifies, to such officer's knowledge, that: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accompanying Quarterly Report on Form 10-Q of the Company for the quarterly period ended September 30, 2024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w:t>
      </w:r>
    </w:p>
    <w:tbl>
      <w:tblPr>
        <w:tblW w:w="4857"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31,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bidi w:val="0"/>
        <w:spacing w:before="180" w:after="283"/>
        <w:jc w:val="both"/>
        <w:rPr/>
      </w:pPr>
      <w:r>
        <w:rPr/>
      </w:r>
    </w:p>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32.2</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89560"/>
                <wp:effectExtent l="0" t="0" r="0" b="0"/>
                <wp:wrapNone/>
                <wp:docPr id="69" name="Frame68"/>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Financial Officer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Inc. (the “Company”), hereby certifies, to such officer's knowledge, that: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accompanying Quarterly Report on Form 10-Q of the Company for the quarterly period ended September 30, 2024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w:t>
      </w:r>
    </w:p>
    <w:tbl>
      <w:tblPr>
        <w:tblW w:w="4572"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31,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32.3</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89560"/>
                <wp:effectExtent l="0" t="0" r="0" b="0"/>
                <wp:wrapNone/>
                <wp:docPr id="70" name="Frame69"/>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L.P. (the “Partnership”), hereby certifies, to such officer's knowledge, that: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accompanying Quarterly Report on Form 10-Q of the Partnership for the quarterly period ended September 30, 2024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Partnership. </w:t>
      </w:r>
    </w:p>
    <w:tbl>
      <w:tblPr>
        <w:tblW w:w="4857"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October 31,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 </w:t>
      </w:r>
    </w:p>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32.4</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89560"/>
                <wp:effectExtent l="0" t="0" r="0" b="0"/>
                <wp:wrapNone/>
                <wp:docPr id="71" name="Frame70"/>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Financial Officer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L.P. (the “Partnership”), hereby certifies, to such officer's knowledge, that: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accompanying Quarterly Report on Form 10-Q of the Partnership for the quarterly period ended September 30, 2024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Partnership. </w:t>
      </w:r>
    </w:p>
    <w:tbl>
      <w:tblPr>
        <w:tblW w:w="4572"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October 31,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 </w:t>
      </w:r>
    </w:p>
    <w:p>
      <w:pPr>
        <w:pStyle w:val="TextBody"/>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89560"/>
                <wp:effectExtent l="0" t="0" r="0" b="0"/>
                <wp:wrapNone/>
                <wp:docPr id="72" name="Frame7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ix?doc=/Archives/edgar/data/1705696/000170569624000033/vici-20231231.htm" TargetMode="External"/><Relationship Id="rId4" Type="http://schemas.openxmlformats.org/officeDocument/2006/relationships/hyperlink" Target="https://www.sec.gov/ix?doc=/Archives/edgar/data/1705696/000170569624000033/vici-20231231.htm" TargetMode="External"/><Relationship Id="rId5" Type="http://schemas.openxmlformats.org/officeDocument/2006/relationships/hyperlink" Target="https://www.sec.gov/ix?doc=/Archives/edgar/data/1705696/000170569624000033/vici-20231231.htm" TargetMode="External"/><Relationship Id="rId6" Type="http://schemas.openxmlformats.org/officeDocument/2006/relationships/hyperlink" Target="https://www.sec.gov/ix?doc=/Archives/edgar/data/1705696/000170569624000033/vici-20231231.htm" TargetMode="External"/><Relationship Id="rId7" Type="http://schemas.openxmlformats.org/officeDocument/2006/relationships/hyperlink" Target="https://www.sec.gov/ix?doc=/Archives/edgar/data/1705696/000170569624000033/vici-20231231.htm" TargetMode="External"/><Relationship Id="rId8" Type="http://schemas.openxmlformats.org/officeDocument/2006/relationships/hyperlink" Target="https://www.sec.gov/ix?doc=/Archives/edgar/data/1705696/000170569624000033/vici-2023123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33723</Words>
  <Characters>189798</Characters>
  <CharactersWithSpaces>220999</CharactersWithSpaces>
  <Paragraphs>5067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