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45"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40"/>
        <w:jc w:val="center"/>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28,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6367" w:type="dxa"/>
        <w:jc w:val="center"/>
        <w:tblInd w:w="0" w:type="dxa"/>
        <w:tblLayout w:type="fixed"/>
        <w:tblCellMar>
          <w:top w:w="28" w:type="dxa"/>
          <w:left w:w="28" w:type="dxa"/>
          <w:bottom w:w="28" w:type="dxa"/>
          <w:right w:w="28" w:type="dxa"/>
        </w:tblCellMar>
      </w:tblPr>
      <w:tblGrid>
        <w:gridCol w:w="1031"/>
        <w:gridCol w:w="906"/>
        <w:gridCol w:w="912"/>
        <w:gridCol w:w="109"/>
        <w:gridCol w:w="109"/>
        <w:gridCol w:w="109"/>
        <w:gridCol w:w="459"/>
        <w:gridCol w:w="459"/>
        <w:gridCol w:w="462"/>
        <w:gridCol w:w="109"/>
        <w:gridCol w:w="109"/>
        <w:gridCol w:w="109"/>
        <w:gridCol w:w="433"/>
        <w:gridCol w:w="433"/>
        <w:gridCol w:w="618"/>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Maryland (VICI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333-264352-01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18" w:type="dxa"/>
        <w:jc w:val="left"/>
        <w:tblInd w:w="0" w:type="dxa"/>
        <w:tblLayout w:type="fixed"/>
        <w:tblCellMar>
          <w:top w:w="28" w:type="dxa"/>
          <w:left w:w="28" w:type="dxa"/>
          <w:bottom w:w="28" w:type="dxa"/>
          <w:right w:w="28" w:type="dxa"/>
        </w:tblCellMar>
      </w:tblPr>
      <w:tblGrid>
        <w:gridCol w:w="124"/>
        <w:gridCol w:w="109"/>
        <w:gridCol w:w="109"/>
        <w:gridCol w:w="1430"/>
        <w:gridCol w:w="1430"/>
        <w:gridCol w:w="1430"/>
        <w:gridCol w:w="1430"/>
        <w:gridCol w:w="1430"/>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center"/>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406" w:type="dxa"/>
        <w:jc w:val="left"/>
        <w:tblInd w:w="0" w:type="dxa"/>
        <w:tblLayout w:type="fixed"/>
        <w:tblCellMar>
          <w:top w:w="28" w:type="dxa"/>
          <w:left w:w="28" w:type="dxa"/>
          <w:bottom w:w="28" w:type="dxa"/>
          <w:right w:w="28" w:type="dxa"/>
        </w:tblCellMar>
      </w:tblPr>
      <w:tblGrid>
        <w:gridCol w:w="625"/>
        <w:gridCol w:w="548"/>
        <w:gridCol w:w="552"/>
        <w:gridCol w:w="109"/>
        <w:gridCol w:w="109"/>
        <w:gridCol w:w="109"/>
        <w:gridCol w:w="689"/>
        <w:gridCol w:w="689"/>
        <w:gridCol w:w="97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2097" w:type="dxa"/>
        <w:jc w:val="left"/>
        <w:tblInd w:w="0" w:type="dxa"/>
        <w:tblLayout w:type="fixed"/>
        <w:tblCellMar>
          <w:top w:w="28" w:type="dxa"/>
          <w:left w:w="28" w:type="dxa"/>
          <w:bottom w:w="28" w:type="dxa"/>
          <w:right w:w="28" w:type="dxa"/>
        </w:tblCellMar>
      </w:tblPr>
      <w:tblGrid>
        <w:gridCol w:w="625"/>
        <w:gridCol w:w="548"/>
        <w:gridCol w:w="552"/>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On October 28, 2026, VICI Properties Inc. (the “Company”) issued a press release announcing its consolidated financial results for the three and nine months ended September 30, 2026, and made available supplemental financial and operating information concerning the Company as of September 30, 2026. A copy of the press release and a copy of this supplemental information are furnished herewith as Exhibit 99.1 and Exhibit 99.2, respectively, to this Current Report on Form 8-K and are incorporated herein by reference.</w:t>
      </w:r>
    </w:p>
    <w:tbl>
      <w:tblPr>
        <w:tblW w:w="3314" w:type="dxa"/>
        <w:jc w:val="left"/>
        <w:tblInd w:w="0" w:type="dxa"/>
        <w:tblLayout w:type="fixed"/>
        <w:tblCellMar>
          <w:top w:w="28" w:type="dxa"/>
          <w:left w:w="28" w:type="dxa"/>
          <w:bottom w:w="28" w:type="dxa"/>
          <w:right w:w="28" w:type="dxa"/>
        </w:tblCellMar>
      </w:tblPr>
      <w:tblGrid>
        <w:gridCol w:w="348"/>
        <w:gridCol w:w="305"/>
        <w:gridCol w:w="307"/>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disclosure contained in Item 2.02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Item 2.02 and Item 7.01 of this Current Report on Form 8-K, including Exhibit 99.1 and Exhibit 99.2,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 The furnishing of the information included in Item 7.01 of this Current Report on Form 8-K shall not be deemed an admission as to the materiality of any information herein that is required to be disclosed solely by reason of Regulation FD.</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80" w:after="283"/>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8053"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038"/>
        <w:gridCol w:w="2038"/>
        <w:gridCol w:w="289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viciq3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viciq32026earningsrelease.htm">
              <w:r>
                <w:rPr>
                  <w:rStyle w:val="InternetLink"/>
                  <w:rFonts w:ascii="Times New Roman;serif" w:hAnsi="Times New Roman;serif"/>
                  <w:b w:val="false"/>
                  <w:color w:val="000080"/>
                  <w:sz w:val="20"/>
                  <w:u w:val="single"/>
                </w:rPr>
                <w:t xml:space="preserve">Press Release, dated </w:t>
              </w:r>
            </w:hyperlink>
            <w:hyperlink w:anchor="viciq32026earningsrelease.htm">
              <w:r>
                <w:rPr>
                  <w:rStyle w:val="InternetLink"/>
                  <w:rFonts w:ascii="Times New Roman;serif" w:hAnsi="Times New Roman;serif"/>
                  <w:b w:val="false"/>
                  <w:color w:val="000080"/>
                  <w:sz w:val="20"/>
                  <w:u w:val="single"/>
                </w:rPr>
                <w:t>October 28</w:t>
              </w:r>
            </w:hyperlink>
            <w:hyperlink w:anchor="viciq32026earningsrelease.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3q26financialsupplem.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3q26financialsupplem.htm">
              <w:r>
                <w:rPr>
                  <w:rStyle w:val="InternetLink"/>
                  <w:rFonts w:ascii="Times New Roman;serif" w:hAnsi="Times New Roman;serif"/>
                  <w:b w:val="false"/>
                  <w:color w:val="000080"/>
                  <w:sz w:val="20"/>
                  <w:u w:val="single"/>
                </w:rPr>
                <w:t xml:space="preserve">Supplemental Financial &amp; Operating Data, </w:t>
              </w:r>
            </w:hyperlink>
            <w:hyperlink w:anchor="vici3q26financialsupplem.htm">
              <w:r>
                <w:rPr>
                  <w:rStyle w:val="InternetLink"/>
                  <w:rFonts w:ascii="Times New Roman;serif" w:hAnsi="Times New Roman;serif"/>
                  <w:b w:val="false"/>
                  <w:color w:val="000080"/>
                  <w:sz w:val="20"/>
                  <w:u w:val="single"/>
                </w:rPr>
                <w:t xml:space="preserve">Third </w:t>
              </w:r>
            </w:hyperlink>
            <w:hyperlink w:anchor="vici3q26financialsupplem.htm">
              <w:r>
                <w:rPr>
                  <w:rStyle w:val="InternetLink"/>
                  <w:rFonts w:ascii="Times New Roman;serif" w:hAnsi="Times New Roman;serif"/>
                  <w:b w:val="false"/>
                  <w:color w:val="000080"/>
                  <w:sz w:val="20"/>
                  <w:u w:val="single"/>
                </w:rPr>
                <w:t>Quarter Ended</w:t>
              </w:r>
            </w:hyperlink>
            <w:hyperlink w:anchor="vici3q26financialsupplem.htm">
              <w:r>
                <w:rPr>
                  <w:rStyle w:val="InternetLink"/>
                  <w:rFonts w:ascii="Times New Roman;serif" w:hAnsi="Times New Roman;serif"/>
                  <w:b w:val="false"/>
                  <w:color w:val="000080"/>
                  <w:sz w:val="20"/>
                  <w:u w:val="single"/>
                </w:rPr>
                <w:t xml:space="preserve"> September</w:t>
              </w:r>
            </w:hyperlink>
            <w:hyperlink w:anchor="vici3q26financialsupplem.htm">
              <w:r>
                <w:rPr>
                  <w:rStyle w:val="InternetLink"/>
                  <w:rFonts w:ascii="Times New Roman;serif" w:hAnsi="Times New Roman;serif"/>
                  <w:b w:val="false"/>
                  <w:color w:val="000080"/>
                  <w:sz w:val="20"/>
                  <w:u w:val="single"/>
                </w:rPr>
                <w:t xml:space="preserve"> 30, 2026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registrant has duly caused this report to be signed on its behalf by the undersigned hereunto duly authorized.</w:t>
      </w:r>
    </w:p>
    <w:tbl>
      <w:tblPr>
        <w:tblW w:w="7846" w:type="dxa"/>
        <w:jc w:val="center"/>
        <w:tblInd w:w="0" w:type="dxa"/>
        <w:tblLayout w:type="fixed"/>
        <w:tblCellMar>
          <w:top w:w="28" w:type="dxa"/>
          <w:left w:w="28" w:type="dxa"/>
          <w:bottom w:w="28" w:type="dxa"/>
          <w:right w:w="28" w:type="dxa"/>
        </w:tblCellMar>
      </w:tblPr>
      <w:tblGrid>
        <w:gridCol w:w="726"/>
        <w:gridCol w:w="640"/>
        <w:gridCol w:w="643"/>
        <w:gridCol w:w="356"/>
        <w:gridCol w:w="356"/>
        <w:gridCol w:w="356"/>
        <w:gridCol w:w="1386"/>
        <w:gridCol w:w="1386"/>
        <w:gridCol w:w="199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INC.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28,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L.P.</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28,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center"/>
        <w:rPr>
          <w:rFonts w:ascii="Times New Roman;serif" w:hAnsi="Times New Roman;serif"/>
          <w:b/>
          <w:color w:val="000000"/>
          <w:sz w:val="24"/>
        </w:rPr>
      </w:pPr>
      <w:r>
        <w:rPr>
          <w:rFonts w:ascii="Times New Roman;serif" w:hAnsi="Times New Roman;serif"/>
          <w:b/>
          <w:color w:val="000000"/>
          <w:sz w:val="24"/>
        </w:rPr>
        <w:t>VICI PROPERTIES INC. ANNOUNCES THIRD QUARTER 2026 RESULTS</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Announced Agreement to Add Highfield Investment Group to VICI's Tenant Roster -</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Completed $1.75 Billion Investment Grade Senior Notes Offering -</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 Increased Annual Dividend for 9th Consecutive Year - </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Raised Guidance for Full Year 2026 -</w:t>
      </w:r>
    </w:p>
    <w:p>
      <w:pPr>
        <w:pStyle w:val="TextBody"/>
        <w:bidi w:val="0"/>
        <w:spacing w:before="0" w:after="0"/>
        <w:jc w:val="center"/>
        <w:rPr/>
      </w:pPr>
      <w:r>
        <w:rPr/>
      </w:r>
    </w:p>
    <w:p>
      <w:pPr>
        <w:pStyle w:val="TextBody"/>
        <w:bidi w:val="0"/>
        <w:spacing w:lineRule="auto" w:line="417" w:before="0" w:after="0"/>
        <w:jc w:val="both"/>
        <w:rPr/>
      </w:pPr>
      <w:r>
        <w:rPr>
          <w:rFonts w:ascii="Times New Roman;serif" w:hAnsi="Times New Roman;serif"/>
          <w:b/>
          <w:color w:val="000000"/>
          <w:sz w:val="20"/>
        </w:rPr>
        <w:t xml:space="preserve">NEW YORK, NY – October 28, 2026 </w:t>
      </w:r>
      <w:r>
        <w:rPr>
          <w:color w:val="000000"/>
        </w:rPr>
        <w:t xml:space="preserve">– </w:t>
      </w:r>
      <w:r>
        <w:rPr>
          <w:rFonts w:ascii="Times New Roman;serif" w:hAnsi="Times New Roman;serif"/>
          <w:b w:val="false"/>
          <w:color w:val="000000"/>
          <w:sz w:val="20"/>
        </w:rPr>
        <w:t>VICI Properties Inc. (NYSE: VICI) (“VICI Properties”, “VICI” or the “Company”), an experiential real estate investment trust, today reported results for the quarter ended September 30, 2026. All per share amounts included herein are on a per diluted common share basis unless otherwise stated.</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Third Quarter 2026 Financial and Operating Highlights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Total revenues increased 5.8% year-over-year to $1.1 billion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Net income attributable to common stockholders decreased 55.1% year-over-year to $342.5 million and, on a per share basis, decreased 56.4% year-over-year to $0.31 due to the impact of the change in the CECL allowance for the quarter ended September 30, 2026</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AFFO attributable to common stockholders increased 7.5% year-over-year to $685.2 million and, on a per share basis, increased 4.3% year-over-year to $0.62</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Declared a quarterly cash dividend of $0.46 per share, representing a 2.2% year-over-year increase</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Issued $1.75 billion of investment grade senior notes to refinance 2026 maturities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Announced an agreement to enter into a new triple-net master lease with Highfield Investment Group, in connection with Century Casinos' agreement to sell the operations of Century Mile Racetrack and Century Downs Racetrack, located in Alberta, Canada, to Highfield, adding to VICI's tenant roster upon closing</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Ended the quarter with $270.3 million in cash and cash equivalents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Raised AFFO guidance for full year 2026 to between</w:t>
      </w:r>
      <w:r>
        <w:rPr>
          <w:color w:val="000000"/>
        </w:rPr>
        <w:t xml:space="preserve"> </w:t>
      </w:r>
      <w:r>
        <w:rPr>
          <w:rFonts w:ascii="Times New Roman;serif" w:hAnsi="Times New Roman;serif"/>
          <w:b w:val="false"/>
          <w:color w:val="000000"/>
          <w:sz w:val="20"/>
        </w:rPr>
        <w:t>$2,695 million and $2,705 million, or between $2.47 and $2.48 per diluted share</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Subsequent to quarter-end, our Board of Directors authorized a share repurchase program for up to $2.0 billion in shares</w:t>
      </w:r>
    </w:p>
    <w:p>
      <w:pPr>
        <w:pStyle w:val="TextBody"/>
        <w:bidi w:val="0"/>
        <w:spacing w:lineRule="auto" w:line="417" w:before="180" w:after="283"/>
        <w:jc w:val="left"/>
        <w:rPr>
          <w:rFonts w:ascii="Times New Roman;serif" w:hAnsi="Times New Roman;serif"/>
          <w:b/>
          <w:color w:val="000000"/>
          <w:sz w:val="20"/>
        </w:rPr>
      </w:pPr>
      <w:r>
        <w:rPr>
          <w:rFonts w:ascii="Times New Roman;serif" w:hAnsi="Times New Roman;serif"/>
          <w:b/>
          <w:color w:val="000000"/>
          <w:sz w:val="20"/>
        </w:rPr>
        <w:t>CEO Comments</w:t>
      </w:r>
    </w:p>
    <w:p>
      <w:pPr>
        <w:pStyle w:val="TextBody"/>
        <w:bidi w:val="0"/>
        <w:spacing w:lineRule="auto" w:line="417"/>
        <w:jc w:val="left"/>
        <w:rPr>
          <w:rFonts w:ascii="Times New Roman;serif" w:hAnsi="Times New Roman;serif"/>
          <w:b w:val="false"/>
          <w:color w:val="000000"/>
          <w:sz w:val="20"/>
        </w:rPr>
      </w:pPr>
      <w:r>
        <w:rPr>
          <w:rFonts w:ascii="Times New Roman;serif" w:hAnsi="Times New Roman;serif"/>
          <w:b w:val="false"/>
          <w:color w:val="000000"/>
          <w:sz w:val="20"/>
        </w:rPr>
        <w:t>Edward Pitoniak, Chief Executive Officer of VICI Properties, said, “In the third quarter of 2026, we grew our quarterly revenue by 5.8% and our AFFO per share by 4.3% year-over-year, once again demonstrating the flow-through efficiency of our business model, and we were pleased to announce our 9th consecutive annual dividend increase since our IPO almost nine years ago. Our commitment to situational readiness positioned us to refinance all of our remaining 2026 maturities through a $1.75 billion investment grade notes offering in August at an adjusted weighted average interest rate of 5.42%. In September, we announced our agreement to enter into a new lease with Highfield Investment Group, and we look forward to welcoming Highfield to our tenant roster upon closing, further diversifying our tenant base and further strengthening our presence in the dynamic region of Alberta. At VICI, we are always working to strengthen our portfolio while keeping our balance sheet ready to grow alongside new and existing partners. We believe that discipline will enable us to keep compounding value for our stockholders for years to come.”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 Quarter 2026 Financial Results</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Total Revenues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were $1.1 billion for the quarter, an increase of 5.8% compared to $1.0 billion for the quarter ended September 30, 2025. Total revenues for the quarter included $132.0 million of non-cash leasing and financing adjustments and $19.0 million of other income. </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Net Income Attributable to Common Stockholders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was $342.5 million for the quarter, or $0.31 per share, compared to $762.0 million, or $0.71 per share, for the quarter ended September 30, 2025. The year-over-year decrease in net income was driven, on an absolute basis, by the $478.2 million aggregate change in the CECL allowance for the quarter ended September 30, 2026 compared to the quarter ended September 30, 2025.</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Funds from Operations (“FFO”)</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FFO attributable to common stockholders was $342.5 million for the quarter, or $0.31 per share, compared to $762.0 million, or $0.71 per share, for the quarter ended September 30, 2025. The year-over-year decrease in FFO was driven, on an absolute basis, by the $478.2 million aggregate change in the CECL allowance for the quarter ended September 30, 2026 compared to the quarter ended September 30, 2025.</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Adjusted Funds from Operations (“AFFO”)</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attributable to common stockholders was $685.2 million for the quarter, an increase of 7.5% compared to $637.6 million for the quarter ended September 30, 2025. AFFO per share was $0.62 for the quarter, an increase of 4.3% compared to $0.60 for the quarter ended September 30, 2025. </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Third Quarter 2026 Investment and Portfolio Activity</w:t>
      </w:r>
    </w:p>
    <w:p>
      <w:pPr>
        <w:pStyle w:val="TextBody"/>
        <w:bidi w:val="0"/>
        <w:spacing w:lineRule="auto" w:line="417"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Investment and Portfolio Activity</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28, 2026, VICI announced, in connection with Century Casinos, Inc.’s (NASDAQ: CNTY) (“Century Casinos”) agreement to sell the operations of Century Mile Racetrack and Century Downs Racetrack (together, the “Century Canada Racinos”), located in Alberta, Canada, to a subsidiary of Highfield Investment Group, Inc. (“Highfield”), its agreement to enter into a new separate triple-net master lease with a subsidiary of Highfield with respect to the real property of the Century Canada Racinos (the “Highfield Master Lease”) and to amend the Master Lease between VICI and Century Casinos (the “Century Master Lease”).</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Highfield Master Lease will have an initial annual base rent of C$10.7 million (approximately US$7.5 million as of the day prior to the announcement) and, if closing occurs after January 1, 2027, such base rent shall escalate as provided for in the Century Master Lease on such date. Upon closing, the Highfield Master Lease will begin a new 20-year initial lease term with four 5-year tenant renewal options. The other economic terms of the Highfield Master Lease will be substantially similar to the terms for the Century Canada Racinos under the Century Master Lease, including escalation equal to the greater of 1.25% and the change in Canadian CPI (capped at 2.50%) and a minimum capital expenditure requirement equal to 1.0% of annual net revenue at each property. The Highfield Master Lease will be guaranteed by Highfield Investment Group, Inc.</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Upon closing, the Century Master Lease will be amended to account for Century Casinos' divestiture of the operations of the Century Canada Racinos, which will result in a corresponding reduction of the annual base rent under the Century Master Lease by C$10.7 million (approximately US$7.5 million as of the day prior to the announcement) with adjustments to reflect the escalated rent if the transaction closing occurs after January 1, 2027. There will be no change to the aggregate rent collected by VICI. The transaction is subject to customary closing conditions and regulatory approvals and is expected to be completed in the fourth quarter of 2026 or the first quarter of 2027.</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 xml:space="preserve">Third Quarter 2026 and Subsequent Capital Markets Activity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VICI priced the offering of $1.75 billion aggregate principal amount of senior unsecured notes (the “August 2026 Notes”). On August 14, 2026, VICI issued the August 2026 Notes comprised of (i) $900.0 million aggregate principal amount of 5.400% Senior Notes due 2031, which mature on October 15, 2031, and (ii) $850.0 million aggregate principal amount of 5.750% Senior Notes due 2036, which mature on October 15, 2036. The weighted average interest rate for the August 2026 Notes is 5.570%, and the adjusted weighted average interest rate, after taking into account the impact of forward-starting interest rate swaps and treasury locks, is 5.422%. The net proceeds of the August 2026 Notes were used to redeem the then-outstanding (i) $480.5 million aggregate principal amount of 4.500% Exchange Notes due 2026, (ii) $1,250.0 million aggregate principal amount of 4.250% November 2019 Notes due 2026, and (iii) $19.5 million aggregate principal amount of 4.500% MGP OP Notes due 2026.</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VICI entered into a combination of forward-starting interest rate swap agreements and treasury locks with an aggregate notional amount of $1.1 billion. In connection with the August 2026 Notes offering, VICI settled the outstanding forward-starting interest rate swaps and treasury locks for total proceeds of $20.0 million. Since the forward-starting swaps and treasury locks were hedging the interest rate risk on the anticipated issuance of the August 2026 Notes, the unrealized gain, which was recorded in Accumulated other comprehensive income on VICI's consolidated balance sheets, will be amortized over the term of the respective derivative instruments as a reduction in interest expense.</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Subsequent to quarter-end, on October 27, 2026, VICI’s Board of Directors authorized a share repurchase program for up to $2.0 billion in shares of the Company’s common stock, which will expire on September 30, 2029. Repurchases under the share repurchase program may be made from time to time at management’s discretion through open market purchases, privately negotiated transactions, Rule 10b5-1 plans or other methods, in each case in accordance with applicable securities laws. The share repurchase program does not obligate VICI to repurchase any particular amount of common stock and may be suspended or discontinued at any time.</w:t>
      </w:r>
    </w:p>
    <w:p>
      <w:pPr>
        <w:pStyle w:val="TextBody"/>
        <w:bidi w:val="0"/>
        <w:spacing w:lineRule="auto" w:line="417"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196"/>
        <w:gridCol w:w="1874"/>
        <w:gridCol w:w="1880"/>
        <w:gridCol w:w="109"/>
        <w:gridCol w:w="109"/>
        <w:gridCol w:w="109"/>
        <w:gridCol w:w="928"/>
        <w:gridCol w:w="408"/>
        <w:gridCol w:w="231"/>
        <w:gridCol w:w="231"/>
        <w:gridCol w:w="231"/>
        <w:gridCol w:w="231"/>
        <w:gridCol w:w="928"/>
        <w:gridCol w:w="408"/>
        <w:gridCol w:w="332"/>
      </w:tblGrid>
      <w:tr>
        <w:trPr/>
        <w:tc>
          <w:tcPr>
            <w:tcW w:w="219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1,068,811,371 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Golden Entertainment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24,296,255 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physical settlement of forward sale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12,101,372 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5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340,637 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Ending Balance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1,101,083,124 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1,068,808,694 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3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569"/>
        <w:gridCol w:w="1317"/>
        <w:gridCol w:w="1323"/>
        <w:gridCol w:w="546"/>
        <w:gridCol w:w="430"/>
        <w:gridCol w:w="174"/>
        <w:gridCol w:w="174"/>
        <w:gridCol w:w="174"/>
        <w:gridCol w:w="174"/>
        <w:gridCol w:w="546"/>
        <w:gridCol w:w="430"/>
        <w:gridCol w:w="174"/>
        <w:gridCol w:w="109"/>
        <w:gridCol w:w="109"/>
        <w:gridCol w:w="109"/>
        <w:gridCol w:w="508"/>
        <w:gridCol w:w="468"/>
        <w:gridCol w:w="164"/>
        <w:gridCol w:w="164"/>
        <w:gridCol w:w="164"/>
        <w:gridCol w:w="164"/>
        <w:gridCol w:w="508"/>
        <w:gridCol w:w="468"/>
        <w:gridCol w:w="239"/>
      </w:tblGrid>
      <w:tr>
        <w:trPr/>
        <w:tc>
          <w:tcPr>
            <w:tcW w:w="156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4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shares: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1,059,871 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1,100,625 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1,068,369 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1,086,581 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1,060,732 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300" w:after="283"/>
        <w:jc w:val="left"/>
        <w:rPr>
          <w:rFonts w:ascii="Times New Roman;serif" w:hAnsi="Times New Roman;serif"/>
          <w:b/>
          <w:color w:val="000000"/>
          <w:sz w:val="20"/>
        </w:rPr>
      </w:pPr>
      <w:r>
        <w:rPr>
          <w:rFonts w:ascii="Times New Roman;serif" w:hAnsi="Times New Roman;serif"/>
          <w:b/>
          <w:color w:val="000000"/>
          <w:sz w:val="20"/>
        </w:rPr>
        <w:t>Balance Sheet and Liquidity</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had approximately $17.2 billion in total debt and approximately $2.5 billion in liquidity, comprised of $270.3 million in cash and cash equivalents and approximately $2.2 billion of availability under its revolving credit facility.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outstanding indebtedness as of September 30, 2026 was as follows:</w:t>
      </w:r>
    </w:p>
    <w:tbl>
      <w:tblPr>
        <w:tblW w:w="4589" w:type="dxa"/>
        <w:jc w:val="center"/>
        <w:tblInd w:w="0" w:type="dxa"/>
        <w:tblLayout w:type="fixed"/>
        <w:tblCellMar>
          <w:top w:w="28" w:type="dxa"/>
          <w:left w:w="28" w:type="dxa"/>
          <w:bottom w:w="28" w:type="dxa"/>
          <w:right w:w="28" w:type="dxa"/>
        </w:tblCellMar>
      </w:tblPr>
      <w:tblGrid>
        <w:gridCol w:w="1066"/>
        <w:gridCol w:w="935"/>
        <w:gridCol w:w="939"/>
        <w:gridCol w:w="281"/>
        <w:gridCol w:w="1163"/>
        <w:gridCol w:w="205"/>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16"/>
              </w:rPr>
            </w:pPr>
            <w:r>
              <w:rPr>
                <w:rFonts w:ascii="Times New Roman;serif" w:hAnsi="Times New Roman;serif"/>
                <w:b/>
                <w:i/>
                <w:color w:val="000000"/>
                <w:sz w:val="16"/>
              </w:rPr>
              <w:t>($ in millions USD)</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USD Borrowings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 xml:space="preserve">CAD Borrowings </w:t>
            </w:r>
            <w:r>
              <w:rPr>
                <w:rFonts w:ascii="Times New Roman;serif" w:hAnsi="Times New Roman;serif"/>
                <w:b w:val="false"/>
                <w:color w:val="000000"/>
                <w:sz w:val="13"/>
              </w:rPr>
              <w:t>(1)</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color w:val="000000"/>
                <w:sz w:val="13"/>
              </w:rPr>
              <w:t>(1)</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Notes Due 2027</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Notes Due 2027</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 Notes Due 2028</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Notes Due 2028</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Notes Due 2028</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3.875% Notes Due 2029</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4.625% Notes Due 2029</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4.950% Notes Due 2030</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4.125% Notes Due 2030</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5.400% Notes Due 2031</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5.125% Notes Due 2031</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5.125% Notes Due 2032</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Notes Due 2034</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5.625% Notes Due 2035</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Notes Due 2036</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5.625% Notes Due 2052</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6.125% Notes Due 2054</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Unsecured Debt Outstanding</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Debt Due 2032</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Debt Outstanding</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16,947.5 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6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jc w:val="both"/>
        <w:rPr>
          <w:rFonts w:ascii="Times New Roman;serif" w:hAnsi="Times New Roman;serif"/>
          <w:b w:val="false"/>
          <w:i/>
          <w:color w:val="000000"/>
          <w:sz w:val="16"/>
        </w:rPr>
      </w:pPr>
      <w:r>
        <w:rPr>
          <w:rFonts w:ascii="Times New Roman;serif" w:hAnsi="Times New Roman;serif"/>
          <w:b w:val="false"/>
          <w:i/>
          <w:color w:val="000000"/>
          <w:sz w:val="16"/>
        </w:rPr>
        <w:t>(1) Based on applicable exchange rates as of September 30, 2026.</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3, 2026, the Company declared a regular quarterly cash dividend of $0.46 per share, representing a 2.2% year-over-year increase. The Q3 2026 dividend was paid on October 8, 2026 to stockholders of record as of the close of business on September 17, 2026 and totaled in aggregate approximately $506.3 million.</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2026 Guidance</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raising its AFFO guidance for the full year 2026. In determining AFFO, the Company adjusts for certain items that are otherwise included in determining net income attributable to common stockholders, the most comparable generally accepted accounting principles in the United States (“GAAP”) financial measure. In reliance on the exception provided by applicable rules, the Company does not provide guidance for GAAP net income, the most comparable GAAP financial measure, or a reconciliation of 2026 AFFO to GAAP net income because we are unable to predict with reasonable certainty the amount of the change in non-cash allowance for credit losses under ASU No. 2016-13 - Financial Instruments—Credit Losses (Topic 326) (“ASC 326”) for a future period. The non-cash change in allowance for credit losses under ASC 326 with respect to a future period is dependent upon future events that are entirely outside of the Company’s control and may not be reliably predicted, including its tenants’ respective financial performance, fluctuations in the trading price of their common stock, credit ratings and outlook (each to the extent applicable), as well as broader macroeconomic performance. Based on past results and, as disclosed in our historical financial results, the impact of these adjustments could be material, individually or in the aggregate, to the Company’s reported GAAP results. For more information, see “Non-GAAP Financial Measures.”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AFFO for the year ending December 31, 2026 will be between $2,695 million and $2,705 million, or between $2.47 and $2.48 per diluted common share. Guidance does not include the impact on operating results from any pending acquisitions without announced expected closing dates, possible future acquisitions or dispositions, capital markets activity, or other non-recurring transactions. </w:t>
      </w:r>
    </w:p>
    <w:p>
      <w:pPr>
        <w:pStyle w:val="TextBody"/>
        <w:bidi w:val="0"/>
        <w:spacing w:lineRule="auto" w:line="417"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raised full-year 2026 guidance:</w:t>
      </w:r>
    </w:p>
    <w:tbl>
      <w:tblPr>
        <w:tblW w:w="10205" w:type="dxa"/>
        <w:jc w:val="center"/>
        <w:tblInd w:w="0" w:type="dxa"/>
        <w:tblLayout w:type="fixed"/>
        <w:tblCellMar>
          <w:top w:w="28" w:type="dxa"/>
          <w:left w:w="28" w:type="dxa"/>
          <w:bottom w:w="28" w:type="dxa"/>
          <w:right w:w="28" w:type="dxa"/>
        </w:tblCellMar>
      </w:tblPr>
      <w:tblGrid>
        <w:gridCol w:w="2020"/>
        <w:gridCol w:w="1781"/>
        <w:gridCol w:w="1787"/>
        <w:gridCol w:w="109"/>
        <w:gridCol w:w="109"/>
        <w:gridCol w:w="109"/>
        <w:gridCol w:w="277"/>
        <w:gridCol w:w="277"/>
        <w:gridCol w:w="184"/>
        <w:gridCol w:w="183"/>
        <w:gridCol w:w="183"/>
        <w:gridCol w:w="183"/>
        <w:gridCol w:w="252"/>
        <w:gridCol w:w="252"/>
        <w:gridCol w:w="217"/>
        <w:gridCol w:w="109"/>
        <w:gridCol w:w="109"/>
        <w:gridCol w:w="109"/>
        <w:gridCol w:w="238"/>
        <w:gridCol w:w="238"/>
        <w:gridCol w:w="245"/>
        <w:gridCol w:w="155"/>
        <w:gridCol w:w="155"/>
        <w:gridCol w:w="155"/>
        <w:gridCol w:w="223"/>
        <w:gridCol w:w="223"/>
        <w:gridCol w:w="323"/>
      </w:tblGrid>
      <w:tr>
        <w:trPr/>
        <w:tc>
          <w:tcPr>
            <w:tcW w:w="2020"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Guidance</w:t>
            </w:r>
          </w:p>
        </w:tc>
      </w:tr>
      <w:tr>
        <w:trPr/>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5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Adjusted Funds From Operations (AFFO) </w:t>
            </w:r>
            <w:r>
              <w:rPr>
                <w:rFonts w:ascii="Times New Roman;serif" w:hAnsi="Times New Roman;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$2,695</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$2,695</w:t>
            </w:r>
          </w:p>
        </w:tc>
      </w:tr>
      <w:tr>
        <w:trPr/>
        <w:tc>
          <w:tcPr>
            <w:tcW w:w="5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Adjusted Funds From Operations (AFFO) 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r>
      <w:tr>
        <w:trPr/>
        <w:tc>
          <w:tcPr>
            <w:tcW w:w="5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Weighted Average Share Count for the Year </w:t>
            </w:r>
            <w:r>
              <w:rPr>
                <w:rFonts w:ascii="Times New Roman;serif" w:hAnsi="Times New Roman;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1,090.2</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1,090.3</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1,090.3</w:t>
            </w:r>
          </w:p>
        </w:tc>
      </w:tr>
    </w:tbl>
    <w:p>
      <w:pPr>
        <w:pStyle w:val="TextBody"/>
        <w:bidi w:val="0"/>
        <w:spacing w:lineRule="auto" w:line="417" w:before="300" w:after="240"/>
        <w:jc w:val="both"/>
        <w:rPr>
          <w:rFonts w:ascii="Times New Roman;serif" w:hAnsi="Times New Roman;serif"/>
          <w:b w:val="false"/>
          <w:color w:val="000000"/>
          <w:sz w:val="20"/>
        </w:rPr>
      </w:pPr>
      <w:r>
        <w:rPr>
          <w:rFonts w:ascii="Times New Roman;serif" w:hAnsi="Times New Roman;serif"/>
          <w:b w:val="false"/>
          <w:color w:val="000000"/>
          <w:sz w:val="20"/>
        </w:rPr>
        <w:t>VICI partnership units held by third parties are reflected as non-controlling interests and the income allocable to them is deducted from net income to arrive at net income attributable to common stockholders and AFFO; accordingly, guidance represents AFFO per share attributable to common stockholders based solely on outstanding shares of VICI common stock.</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estimates set forth above reflect management’s view of current and future market conditions, including assumptions with respect to the earnings impact of the events referenced in this release. The estimates set forth above may be subject to fluctuations as a result of several factors and there can be no assurance that the Company’s actual results will not differ materially from the estimates set forth above.</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this release, the Company has furnished Supplemental Financial Information, which is available on our website in the “Investors” section, under the menu heading “Financials”. This additional information is being provided as a supplement to the information in this release and our other filings with the SEC. The Company has no obligation to update any of the information provided to conform to actual results or changes in the Company’s portfolio, capital structure or future expectations, except as may be required by applicable law.</w:t>
      </w:r>
    </w:p>
    <w:p>
      <w:pPr>
        <w:pStyle w:val="TextBody"/>
        <w:bidi w:val="0"/>
        <w:spacing w:lineRule="auto" w:line="417" w:before="180" w:after="283"/>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417" w:before="180" w:after="283"/>
        <w:jc w:val="both"/>
        <w:rPr/>
      </w:pPr>
      <w:r>
        <w:rPr>
          <w:rFonts w:ascii="Times New Roman;serif" w:hAnsi="Times New Roman;serif"/>
          <w:b w:val="false"/>
          <w:color w:val="000000"/>
          <w:sz w:val="20"/>
        </w:rPr>
        <w:t>The Company will host a conference call and audio webcast on Thursday, October 29, 2026 at 10:00 a.m. Eastern Time (ET). Please visit the VICI Properties website (</w:t>
      </w:r>
      <w:r>
        <w:rPr>
          <w:rFonts w:ascii="Times New Roman;serif" w:hAnsi="Times New Roman;serif"/>
          <w:b w:val="false"/>
          <w:color w:val="3051F2"/>
          <w:sz w:val="20"/>
          <w:u w:val="single"/>
        </w:rPr>
        <w:t>https://investors.viciproperties.com/news-events/events</w:t>
      </w:r>
      <w:r>
        <w:rPr>
          <w:rFonts w:ascii="Times New Roman;serif" w:hAnsi="Times New Roman;serif"/>
          <w:b w:val="false"/>
          <w:color w:val="000000"/>
          <w:sz w:val="20"/>
        </w:rPr>
        <w:t xml:space="preserve">) to listen to the earnings call via a live webcast. Listeners who wish to participate in the question and answer session may do so via telephone by pre-registering on the Company’s earnings call registration webpage </w:t>
      </w:r>
      <w:r>
        <w:rPr>
          <w:rFonts w:ascii="Times New Roman;serif" w:hAnsi="Times New Roman;serif"/>
          <w:b w:val="false"/>
          <w:color w:val="3051F2"/>
          <w:sz w:val="20"/>
          <w:u w:val="single"/>
        </w:rPr>
        <w:t>(https://register-conf.media-server.com/register/BI4ddda18555004fa48ace389ea769214e)</w:t>
      </w:r>
      <w:r>
        <w:rPr>
          <w:rFonts w:ascii="Times New Roman;serif" w:hAnsi="Times New Roman;serif"/>
          <w:b w:val="false"/>
          <w:color w:val="000000"/>
          <w:sz w:val="20"/>
        </w:rPr>
        <w:t>. All registrants will receive dial-in information and a PIN allowing them to access the live call. An on-demand replay of the earnings call will be available on the Company’s website (</w:t>
      </w:r>
      <w:r>
        <w:rPr>
          <w:rFonts w:ascii="Times New Roman;serif" w:hAnsi="Times New Roman;serif"/>
          <w:b w:val="false"/>
          <w:color w:val="3051F2"/>
          <w:sz w:val="20"/>
          <w:u w:val="single"/>
        </w:rPr>
        <w:t>https://investors.viciproperties.com/news-events/events</w:t>
      </w:r>
      <w:r>
        <w:rPr>
          <w:rFonts w:ascii="Times New Roman;serif" w:hAnsi="Times New Roman;serif"/>
          <w:b w:val="false"/>
          <w:color w:val="000000"/>
          <w:sz w:val="20"/>
        </w:rPr>
        <w:t>) immediately following the conclusion of the live call for a period of one year.</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About VICI Properties</w:t>
      </w:r>
    </w:p>
    <w:p>
      <w:pPr>
        <w:pStyle w:val="TextBody"/>
        <w:bidi w:val="0"/>
        <w:spacing w:lineRule="auto" w:line="417" w:before="180" w:after="283"/>
        <w:jc w:val="both"/>
        <w:rPr/>
      </w:pPr>
      <w:r>
        <w:rPr>
          <w:rFonts w:ascii="Times New Roman;serif" w:hAnsi="Times New Roman;serif"/>
          <w:b w:val="false"/>
          <w:color w:val="000000"/>
          <w:sz w:val="20"/>
        </w:rPr>
        <w:t xml:space="preserve">VICI Properties Inc. is an S&amp;P 500® experiential real estate investment trust that owns one of the largest portfolios of market-leading gaming, hospitality, wellness, entertainment and leisure destinations, including Caesars Palace Las Vegas, MGM Grand and the Venetian Resort Las Vegas, three of the most iconic entertainment facilities on the Las Vegas Strip. VICI Properties owns 103 experiential assets across a geographically diverse portfolio consisting of 63 gaming properties and 40 other experiential properties across the United States and Canada. The portfolio is comprised of approximately 130 million square feet and features approximately 66,000 hotel rooms and over 700 restaurants, bars, nightclubs and sportsbooks. Its properties are occupied by industry-leading gaming, leisure and hospitality operators under long-term, triple-net lease agreements. VICI Properties has a growing array of real estate and financing partnerships with leading operators in other experiential sectors, including Cabot, Cain, Canyon Ranch, Chelsea Piers, Club Med, Great Wolf Resorts, Homefield, Kalahari Resorts, and Lucky Strike Entertainment. VICI Properties also owns four championship golf courses and approximately 33 acres of undeveloped and underdeveloped land adjacent to the Las Vegas Strip. VICI Properties’ goal is to create the highest quality and most productive experiential real estate portfolio through a strategy of partnering with the highest quality experiential place makers and operators. For additional information, please visit </w:t>
      </w:r>
      <w:r>
        <w:rPr>
          <w:rFonts w:ascii="Times New Roman;serif" w:hAnsi="Times New Roman;serif"/>
          <w:b w:val="false"/>
          <w:color w:val="0000FF"/>
          <w:sz w:val="20"/>
        </w:rPr>
        <w:t>www.viciproperties.com</w:t>
      </w:r>
      <w:r>
        <w:rPr>
          <w:rFonts w:ascii="Times New Roman;serif" w:hAnsi="Times New Roman;serif"/>
          <w:b w:val="false"/>
          <w:color w:val="000000"/>
          <w:sz w:val="20"/>
        </w:rPr>
        <w:t xml:space="preserve">. </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417"/>
        <w:jc w:val="both"/>
        <w:rPr/>
      </w:pPr>
      <w:r>
        <w:rPr>
          <w:rFonts w:ascii="Times New Roman;serif" w:hAnsi="Times New Roman;serif"/>
          <w:b w:val="false"/>
          <w:color w:val="000000"/>
          <w:sz w:val="20"/>
        </w:rPr>
        <w:t>This press release contains forward-looking statements within the meaning of the federal securities laws. You can identify these statements by our use of the words “anticipates,” “assumes,” “believes,” “estimates,” “expects,” “guidance,” “intends,” “plans,” “projects,”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the Company’s control and could materially affect actual results, performance, or achievements, which could differ materially from those set forth in the forward-looking statements and may be affected by a variety of risks. Among those risks, uncertainties and other factors are: the impact of, and expectations relating to,</w:t>
      </w:r>
      <w:r>
        <w:rPr>
          <w:color w:val="000000"/>
        </w:rPr>
        <w:t xml:space="preserve"> </w:t>
      </w:r>
      <w:r>
        <w:rPr>
          <w:rFonts w:ascii="Times New Roman;serif" w:hAnsi="Times New Roman;serif"/>
          <w:b w:val="false"/>
          <w:color w:val="000000"/>
          <w:sz w:val="20"/>
        </w:rPr>
        <w:t xml:space="preserve">changes in general economic conditions and market developments, including inflation, interest rate changes and volatility, tariffs and trade barriers, supply chain disruptions, changes in consumer spending, consumer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 xml:space="preserve">confidence levels, unemployment levels, governmental action,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pending and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pending or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the credit risk of our tenants and borrowers in connection with the rental and other obligations owed to us under applicable leases, related guarantees, or loan agreements, including risks distinct to our lending activities with respect to development and construction loans for non-stabilized properties; our dependence on the gaming industry, which is characterized by, among other things, a high degree of competition, extensive regulation, and sensitivity to changes in consumer behavior and discretionary spending;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including developments relating to the regulation of emerging alternative platforms;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pending and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pending and completed transactions, including pursuant to tax protection agreements to which we are a party; increased volatility in our stock price, including as a result of our pending and completed transactions; our inability to maintain our qualification for taxation as a REIT; the impact of climate change, natural disasters or other severe weather events, war or conflict, geopolitical uncertainty, tariffs and trade barriers, public health conditions, uncertainty or civil unrest, violence or terrorist activities or threats on our properties, or in areas where our properties are located, or globally, and changes in economic conditions or heightened travel security, and any measures instituted in response to these events; the impact of reduced travel demand or increased costs of travel affecting visitation and operating performance at the properties operated by our tenants, particularly in destination markets such as Las Vegas; the loss of the services of key personnel; the inability to attract, retain and motivate employees; the costs and liabilities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and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believes that in making such forward-looking statements its expectations are based upon reasonable assumptions, such statements may be influenced by factors that could cause actual outcomes and results to be materially different from those projected. The Company cannot assure you that the assumptions upon which these statements are based will prove to have been correct. Additional important factors that may affect the Company’s business, results of operations and financial position are described from time to time in the Company’s Annual Report on Form 10-K for the year ended December 31, 2025, Quarterly Reports on Form 10-Q and the Company’s other filings with the Securities and Exchange Commission. The Company does not undertake any obligation to update or revise any forward-looking statement, whether as a result of new information, future events, or otherwise, except as may be required by applicable law.</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presents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our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capitalized interest on real estate under development,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swap settlements, other gains (or losses), deferred income tax provision (or benefit), other non-recurring non-cash transactions and non-cash adjustments attributable to non-controlling interest with respect to certain of the foregoing.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We calculate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Reconciliations of net income to FFO, FFO per share, AFFO, AFFO per share and Adjusted EBITDA are included in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left"/>
        <w:rPr/>
      </w:pPr>
      <w:r>
        <w:rPr/>
      </w:r>
    </w:p>
    <w:tbl>
      <w:tblPr>
        <w:tblW w:w="7586" w:type="dxa"/>
        <w:jc w:val="center"/>
        <w:tblInd w:w="0" w:type="dxa"/>
        <w:tblLayout w:type="fixed"/>
        <w:tblCellMar>
          <w:top w:w="28" w:type="dxa"/>
          <w:left w:w="28" w:type="dxa"/>
          <w:bottom w:w="28" w:type="dxa"/>
          <w:right w:w="28" w:type="dxa"/>
        </w:tblCellMar>
      </w:tblPr>
      <w:tblGrid>
        <w:gridCol w:w="1464"/>
        <w:gridCol w:w="1290"/>
        <w:gridCol w:w="1311"/>
        <w:gridCol w:w="241"/>
        <w:gridCol w:w="1239"/>
        <w:gridCol w:w="124"/>
        <w:gridCol w:w="109"/>
        <w:gridCol w:w="109"/>
        <w:gridCol w:w="109"/>
        <w:gridCol w:w="232"/>
        <w:gridCol w:w="1189"/>
        <w:gridCol w:w="169"/>
      </w:tblGrid>
      <w:tr>
        <w:trPr/>
        <w:tc>
          <w:tcPr>
            <w:tcW w:w="146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24,370,572 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19,235,774 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2,984,010 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under development</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1,030,126 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48,064,304 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16,916,934 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18,624,646 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18,501,581 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Stockholders’ equity</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25,859,760 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24,898,868 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3,025,489 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stockholders’ equity</w:t>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29,011,715 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27,797,640 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29,439,658 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28,222,587 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48,064,304 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w:t>
      </w:r>
    </w:p>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Note: As of September 30, 2026 and December 31, 2025, our Investments in leases - sales-type, Investments in leases - financing receivables, Investments in loans and securities and Other assets (sales-type sub-leases) are net of allowance for credit losses of $1,282.4 million, $884.9 million, $159.0 million and $29.7 million, respectively, and $919.2 million, $769.9 million, $56.4 million and $23.9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57"/>
        <w:gridCol w:w="1000"/>
        <w:gridCol w:w="1010"/>
        <w:gridCol w:w="271"/>
        <w:gridCol w:w="1065"/>
        <w:gridCol w:w="114"/>
        <w:gridCol w:w="114"/>
        <w:gridCol w:w="114"/>
        <w:gridCol w:w="114"/>
        <w:gridCol w:w="271"/>
        <w:gridCol w:w="1065"/>
        <w:gridCol w:w="114"/>
        <w:gridCol w:w="109"/>
        <w:gridCol w:w="109"/>
        <w:gridCol w:w="109"/>
        <w:gridCol w:w="237"/>
        <w:gridCol w:w="1099"/>
        <w:gridCol w:w="109"/>
        <w:gridCol w:w="109"/>
        <w:gridCol w:w="109"/>
        <w:gridCol w:w="109"/>
        <w:gridCol w:w="237"/>
        <w:gridCol w:w="1099"/>
        <w:gridCol w:w="161"/>
      </w:tblGrid>
      <w:tr>
        <w:trPr/>
        <w:tc>
          <w:tcPr>
            <w:tcW w:w="135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Revenues</w:t>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Expenses</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159,062 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773,620 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2,204,253 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Net income per common share</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1,100,560,183 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1,067,253,644 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1,086,503,368 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1,059,870,808 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1,100,625,472 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1,068,369,218 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1,086,581,026 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1,060,732,039 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Reconciliation of Net Income to FFO, FFO per Share, AFFO, AFFO per Share and Adjusted EBITDA</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02"/>
        <w:gridCol w:w="1034"/>
        <w:gridCol w:w="1036"/>
        <w:gridCol w:w="267"/>
        <w:gridCol w:w="1069"/>
        <w:gridCol w:w="114"/>
        <w:gridCol w:w="114"/>
        <w:gridCol w:w="114"/>
        <w:gridCol w:w="114"/>
        <w:gridCol w:w="267"/>
        <w:gridCol w:w="1069"/>
        <w:gridCol w:w="114"/>
        <w:gridCol w:w="109"/>
        <w:gridCol w:w="109"/>
        <w:gridCol w:w="109"/>
        <w:gridCol w:w="234"/>
        <w:gridCol w:w="1102"/>
        <w:gridCol w:w="109"/>
        <w:gridCol w:w="109"/>
        <w:gridCol w:w="109"/>
        <w:gridCol w:w="109"/>
        <w:gridCol w:w="234"/>
        <w:gridCol w:w="1102"/>
        <w:gridCol w:w="156"/>
      </w:tblGrid>
      <w:tr>
        <w:trPr/>
        <w:tc>
          <w:tcPr>
            <w:tcW w:w="130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342,534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762,040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1,741,445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2,170,726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on real estate under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losses (gains) </w:t>
            </w:r>
            <w:r>
              <w:rPr>
                <w:rFonts w:ascii="Times New Roman;serif" w:hAnsi="Times New Roman;serif"/>
                <w:b w:val="false"/>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685,205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637,569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2,015,748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1,883,729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879,778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825,582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2,587,506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2,449,957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common share</w:t>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4" w:type="dxa"/>
            <w:gridSpan w:val="9"/>
            <w:tcBorders/>
          </w:tcPr>
          <w:p>
            <w:pPr>
              <w:pStyle w:val="TableContents"/>
              <w:bidi w:val="0"/>
              <w:spacing w:before="0" w:after="283"/>
              <w:jc w:val="left"/>
              <w:rPr>
                <w:sz w:val="4"/>
                <w:szCs w:val="4"/>
              </w:rPr>
            </w:pPr>
            <w:r>
              <w:rPr>
                <w:sz w:val="4"/>
                <w:szCs w:val="4"/>
              </w:rPr>
            </w:r>
          </w:p>
        </w:tc>
      </w:tr>
      <w:tr>
        <w:trPr/>
        <w:tc>
          <w:tcPr>
            <w:tcW w:w="337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7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7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common share</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1,100,560,183 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1,067,253,644 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1,086,503,368 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1,059,870,808 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1,100,625,472 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1,068,369,218 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1,086,581,026 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1,060,732,039 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Represents non-cash foreign currency remeasurement adjustment and gain on sale of certain land parcels.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Revenue Breakdown</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95"/>
        <w:gridCol w:w="1246"/>
        <w:gridCol w:w="125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9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income from sales-type leases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Caesars Regional Master Lease (excluding Harrah's NOLA, AC, and Laughlin) &amp; Joliet Lease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Las Vegas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Venetian Resort Las Vegas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PENN Master Lease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Clairvest Northfield Park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Master Lease (excluding Century Canadian Portfolio)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Cincinnati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EBCI Southern Indiana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PURE Master Lease </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sales-type leases non-cash adjustment </w:t>
            </w:r>
            <w:r>
              <w:rPr>
                <w:rFonts w:ascii="Times New Roman;serif" w:hAnsi="Times New Roman;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sales-type leases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income from lease financing receivables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Harrah's NOLA, AC, and Laughlin </w:t>
            </w:r>
            <w:r>
              <w:rPr>
                <w:rFonts w:ascii="Times New Roman;serif" w:hAnsi="Times New Roman;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Mirage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Golden Entertainment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Entertainment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CNE Gold Strike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Lucky Strike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Foundation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Century Canadian Portfolio </w:t>
            </w:r>
            <w:r>
              <w:rPr>
                <w:rFonts w:ascii="Times New Roman;serif" w:hAnsi="Times New Roman;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non-cash adjustment </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lease financing receivables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1,156,558 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interest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&amp; preferred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loans non-cash adjustment </w:t>
            </w:r>
            <w:r>
              <w:rPr>
                <w:rFonts w:ascii="Times New Roman;serif" w:hAnsi="Times New Roman;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loans and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lease financing receivables, loans and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On December 4, 2025, VICI combined the individual leases with PENN Entertainment (the PENN Greektown Lease and the PENN Margaritaville Lease) into one master lease for both properties (the “PENN Master Lease”). There was no change to the aggregate amount of rent collected by VICI. (2) Reflects Gamehost Portfolio. (3) Amounts represent non-cash adjustments to recognize revenue on an effective interest basis in accordance with GAAP. (4) Assets are part of the Caesars Regional Master Lease. (5) Assets are part of the Century Master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45" w:before="120" w:after="283"/>
        <w:jc w:val="both"/>
        <w:rPr>
          <w:rFonts w:ascii="Times New Roman;serif" w:hAnsi="Times New Roman;serif"/>
          <w:b/>
          <w:color w:val="000000"/>
          <w:sz w:val="20"/>
        </w:rPr>
      </w:pPr>
      <w:r>
        <w:rPr>
          <w:rFonts w:ascii="Times New Roman;serif" w:hAnsi="Times New Roman;serif"/>
          <w:b/>
          <w:color w:val="000000"/>
          <w:sz w:val="20"/>
        </w:rPr>
        <w:t>Investor Contacts:</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Investors@viciproperties.com</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(646) 949-4631</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David Kieske</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EVP, Chief Financial Officer</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DKieske@viciproperties.com</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Moira McCloskey</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SVP, Capital Markets</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MMcCloskey@viciproperties.com</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color w:val="000000"/>
          <w:sz w:val="20"/>
        </w:rPr>
      </w:pPr>
      <w:r>
        <w:rPr>
          <w:rFonts w:ascii="Times New Roman;serif" w:hAnsi="Times New Roman;serif"/>
          <w:b/>
          <w:color w:val="000000"/>
          <w:sz w:val="20"/>
        </w:rPr>
        <w:t>LinkedIn:</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 xml:space="preserve">www.linkedin.com/company/vici-properties-inc </w:t>
      </w:r>
    </w:p>
    <w:p>
      <w:pPr>
        <w:pStyle w:val="TextBody"/>
        <w:bidi w:val="0"/>
        <w:spacing w:before="0" w:after="0"/>
        <w:jc w:val="both"/>
        <w:rPr/>
      </w:pPr>
      <w:r>
        <w:rPr/>
      </w:r>
    </w:p>
    <w:p>
      <w:pPr>
        <w:pStyle w:val="TextBody"/>
        <w:bidi w:val="0"/>
        <w:spacing w:lineRule="auto" w:line="345"/>
        <w:jc w:val="both"/>
        <w:rPr>
          <w:rFonts w:ascii="Times New Roman;serif" w:hAnsi="Times New Roman;serif"/>
          <w:b/>
          <w:color w:val="000000"/>
          <w:sz w:val="20"/>
        </w:rPr>
      </w:pPr>
      <w:r>
        <w:rPr>
          <w:rFonts w:ascii="Times New Roman;serif" w:hAnsi="Times New Roman;serif"/>
          <w:b/>
          <w:color w:val="000000"/>
          <w:sz w:val="20"/>
        </w:rPr>
        <w:t>Press Release Category: Financial Results</w:t>
      </w:r>
    </w:p>
    <w:p>
      <w:pPr>
        <w:pStyle w:val="TextBody"/>
        <w:bidi w:val="0"/>
        <w:spacing w:before="0" w:after="0"/>
        <w:jc w:val="center"/>
        <w:rPr/>
      </w:pPr>
      <w:bookmarkStart w:id="0" w:name="vici3q26financialsupplem.htm"/>
      <w:bookmarkStart w:id="1" w:name="ksvici3q26financialsupplem"/>
      <w:bookmarkEnd w:id="0"/>
      <w:bookmarkEnd w:id="1"/>
      <w:r>
        <w:rPr/>
        <w:drawing>
          <wp:inline distT="0" distB="0" distL="0" distR="0">
            <wp:extent cx="9753600" cy="731520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jc w:val="center"/>
        <w:rPr>
          <w:color w:val="FFFFFF"/>
          <w:sz w:val="2"/>
        </w:rPr>
      </w:pPr>
      <w:r>
        <w:rPr>
          <w:color w:val="FFFFFF"/>
          <w:sz w:val="2"/>
        </w:rPr>
        <w:t xml:space="preserve">Supplemental Financial &amp; Operating Data Third Quarter Ended September 30,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2Q3 2026 SUPPLEMENTAL FINANCIAL &amp; OPERATING DATA Forward-Looking Statements This presentation contains forward-looking statements within the meaning of the federal securities laws. You can identify these statements by our use of the words “anticipates,” “assumes,” “believes,” “estimates,” “expects,” “guidance,” “intends,” “plans,” “projects,” “targets,” “can,” “may,” “should,” “will,” “would,”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the Company’s control and could materially affect actual results, performance, or achievements, which could differ materially from those set forth in the forward-looking statements and may be affected by a variety of risks. Among those risks, uncertainties and other factors are: the impact of, and expectations relating to, changes in general economic conditions and market developments, including inflation, interest rate changes and volatility, tariffs and trade barriers, supply chain disruptions, changes in consumer spending, consumer confidence levels, unemployment levels, governmental action,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pending and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pending or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the credit risk of our tenants and borrowers in connection with the rental and other obligations owed to us under applicable leases, related guarantees, or loan agreements, including risks distinct to our lending activities with respect to development and construction loans for non-stabilized properties; our dependence on the gaming industry, which is characterized by, among other things, a high degree of competition, extensive regulation, and sensitivity to changes in consumer behavior and discretionary spending;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including developments relating to the regulation of emerging alternative platforms;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pending and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pending and completed transactions, including pursuant to tax protection agreements to which we are a party; increased volatility in our stock price, including as a result of our pending and completed transactions; our inability to maintain our qualification for taxation as a REIT; the impact of climate change, natural disasters or other severe weather events, war or conflict, geopolitical uncertainty, tariffs and trade barriers, public health conditions, uncertainty or civil unrest, violence or terrorist activities or threats on our properties, or in areas where our properties are located, or globally, and changes in economic conditions or heightened travel security, and any measures instituted in response to these events; the impact of reduced travel demand or increased costs of travel affecting visitation and operating performance at the properties operated by our tenants, particularly in destination markets such as Las Vegas;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and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Although the Company believes that in making such forward-looking statements its expectations are based upon reasonable assumptions, such statements may be influenced by factors that could cause actual outcomes and results to be materially different from those projected. The Company cannot assure you that the assumptions upon which these statements are based will prove to have been correct. Additional important factors that may affect the Company’s business, results of operations and financial position are described from time to time in the Company’s Annual Report on Form 10-K for the year ended December 31, 2025, Quarterly Reports on Form 10-Q and the Company’s other filings with the Securities and Exchange Commission (“SEC”). The Company does not undertake any obligation to update or revise any forward-looking statement, whether as a result of new information, future events, or otherwise, except as may be required by applicable law. Tenant, Borrower and Other Company Information The Company makes no representation as to the accuracy or completeness of the information regarding its tenants, including Caesars Entertainment, Inc. (“Caesars”), Century Casinos, Inc. (“Century Casinos”), Chelsea Piers in New York City (“Chelsea Piers”), Clairvest Group Inc. (“Clairvest”), Club Med SAS (“Club Med”), Cherokee Nation Entertainment, L.L.C. (“CNE”), the Eastern Band of Cherokee Indians (“EBCI”), Foundation Gaming and Entertainment LLC (“Foundation Gaming”), Golden Entertainment LLC (“Golden Entertainment”), Seminole Hard Rock Entertainment, Inc. (“Hard Rock”), JACK Ohio LLC (“JACK Entertainment”), Lucky Strike Entertainment (“Lucky Strike”), MGM Resorts International (“MGM”), PENN Entertainment, Inc. (“PENN Entertainment”), an affiliate (“PURE Tenant”) of Indigenous Gaming Partners Inc. (“IGP”), and an affiliate of certain funds managed by affiliates of Apollo Global Management, Inc. (“Venetian Las Vegas Tenant”), borrowers and other companies included in this presentation. The historical audited and unaudited financial statements of Caesars, as the parent and guarantor of CEOC, LLC and MGM, as the parent and guarantor of MGM Lessee, LLC, the Company's significant lessees, have been filed with the SEC. Certain financial and other information for our tenants, guarantors, borrowers and other companies included in this presentation have been derived from their respective filings, if and as applicable, and other publicly available presentations and press releases. While we believe this information to be reliable, we have not independently investigated or verified such data. Market and Industry Data and Trademark Information This presentation may contain estimates and information concerning the Company's industry, including market position, rent growth, corporate governance, and other analyses of the Company's peers, that are based on industry publications, reports and peer company public filings. This information involves a number of assumptions and limitations, and you are cautioned not to rely on or give undue weight to this information. The Company has not independently verified the accuracy or completeness of the data contained in these industry publications, reports or filings. The industry in which the Company operates is subject to a high degree of uncertainty and risk due to a variety of factors, including those described in the "Risk Factors" section of the Company's public filings with the SEC. The brands, trademarks, service marks and logos (“Trademarks”) operated at our properties are Trademarks of their respective owners. Their use in this presentation does not imply a relationship or endorsement by the Trademark owners, nor does it suggest any affiliation with or sponsorship by VICI. None of these owners nor any of their respective officers, directors, agents or employees have approved any disclosure contained in this presentation or are responsible or liable for the content of this presentation. Any such Trademarks are used only to identify the products and services of their respective owners, and no sponsorship or endorsement on the part of VICI should be inferred from the use of the marks. Non‐GAAP Financial Measures This presentation includes reference to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 For additional information regarding these non-GAAP financial measures see “Definitions of Non-GAAP Financial Measures” included on page 26 of this presentation. Financial Data Financial information provided herein is as of September 30, 2026 unless otherwise indicated. DISCLAIMERS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3Q3 2026 SUPPLEMENTAL FINANCIAL &amp; OPERATING DATA TABLE OF CONTENTS Corporate Overview………………………………………………………………………….. 4 Portfolio &amp; Financial Highlights……………………………………………………………... 5 Consolidated Balance Sheets………………………………………………………………. 6-7 Consolidated Statement of Operations……………………………….…………………… 8-9 Non-GAAP Financial Measures…………………………………………………………….. 10-11 Revenue Detail……………………………………………………………………………….. 12-13 Annualized Contractual Rent and Income from Loans………………………………....... 14 2026 Guidance……………………………………………………………………………….. 15 Capitalization &amp; Key Credit Metrics………………………………………………………… 16 Debt Detail……………………………………………………………………………………. 17 Geographic Diversification…………………………………………………………………. 18 Summary of Current Lease Terms…………………………………………………………. 19-20 Recent Investment Activity……..…………………………………………………………… 21 Recent Capital Markets Activity………………………………..…………………………… 22 Gaming Embedded Growth Pipeline………………………………………………………. 23 Other Experiential Embedded Growth Pipeline…..………………………………………. 24 Analyst Coverage…………………………………………………………………………….. 25 Definitions of Non-GAAP Financial Measures…………………………….……………....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4Q3 2026 SUPPLEMENTAL FINANCIAL &amp; OPERATING DATA CORPORATE OVERVIEW VICI Properties Inc. is an S&amp;P 500® experiential real estate investment trust that owns one of the largest portfolios of market-leading gaming, hospitality, wellness, entertainment and leisure destinations, including Caesars Palace Las Vegas, MGM Grand and the Venetian Resort Las Vegas, three of the most iconic entertainment facilities on the Las Vegas Strip. VICI Properties owns 103 experiential assets across a geographically diverse portfolio consisting of 63 gaming properties and 40 other experiential properties across the United States and Canada. The portfolio is comprised of approximately 130 million square feet and features approximately 66,000 hotel rooms and over 700 restaurants, bars, nightclubs and sportsbooks. Its properties are occupied by industry-leading gaming, leisure and hospitality operators under long- term, triple-net lease agreements. VICI Properties has a growing array of real estate and financing partnerships with leading developers and operators in other experiential sectors, including Cabot, Cain, Canyon Ranch, Chelsea Piers, Club Med, Great Wolf Resorts, Homefield, Kalahari Resorts, and Lucky Strike Entertainment. VICI Properties also owns four championship golf courses and approximately 33 acres of undeveloped and underdeveloped land adjacent to the Las Vegas Strip. VICI Properties’ goal is to create the highest quality and most productive experiential real estate portfolio through a strategy of partnering with the highest quality experiential place makers and operators. For additional information, please visit www.viciproperties.com. Senior Management Board of Directors Contact Information Edward Pitoniak Chief Executive Officer &amp; Director John Payne President &amp; Chief Operating Officer David Kieske Executive Vice President, Chief Financial Officer &amp; Treasurer Samantha Gallagher Executive Vice President, General Counsel &amp; Secretary Jeremy Waxman Chief Accounting Officer Erin Ferreri Senior Vice President, Finance Moira McCloskey Senior Vice President, Capital Markets Gabriel Wasserman Managing Director, Business Development &amp; V.E.C.S. James Abrahamson* Director, Chairman of the Board Diana Cantor* Director, Audit Committee Chair Monica Douglas* Director Elizabeth Holland* Director, Nominating &amp; Governance Committee Chair Craig Macnab* Director, Compensation Committee Chair Edward Pitoniak Director, Chief Executive Officer Michael Rumbolz* Director John Sullivan* Director Note: * Denotes independent director Corporate Headquarters – VICI Properties Inc. 535 Madison Avenue New York, New York 10022 (646) 949-4631 Public Markets Detail Ticker: VICI Exchange: NYSE Transfer Agent – Computershare 7530 Lucerne Drive, Suite 305 Cleveland, OH 44130 (800) 962‐4284 www.computershare.com Website www.viciproperties.com LinkedIn www.linkedin.com/company/vici-properties-inc Investor Relations investors@viciproperties.com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5Q3 2026 SUPPLEMENTAL FINANCIAL &amp; OPERATING DATA Three Months Ended Sept. 30, 2026 Jun. 30, 2026 Mar. 31, 2026 Dec. 31, 2025 Net Income Per Common Share Basic $0.31 $0.48 $0.82 $0.57 Diluted $0.31 $0.48 $0.82 $0.57 Funds From Operations Per Common Share Basic $0.31 $0.48 $0.82 $0.57 Diluted $0.31 $0.48 $0.82 $0.57 Adjusted Funds From Operations Per Common Share Basic $0.62 $0.62 $0.61 $0.60 Diluted $0.62 $0.62 $0.61 $0.60 Net Income Attributable to Common Stockholders $342,534 $526,521 $872,390 $604,767 Adjusted EBITDA Attributable to Common Stockholders $879,778 $869,502 $838,226 $828,752 Annualized Dividend Per Share $1.84 $1.80 $1.80 $1.80 Dividend Yield at Period End 8.0% 6.8% 6.6% 6.4% PORTFOLIO &amp; FINANCIAL HIGHLIGHTS Note: Refer to "Non‐GAAP Financial Measures" on pages 10-11 of this presentation for reconciliations and "Definitions of Non-GAAP Financial Measures" on page 26 of this presentation (1) Inclusive of all tenant renewal options based on contractual rent. (2) Defined as Total Debt less Cash and Cash Equivalents divided by last quarter annualized (“LQA”) Adjusted EBITDA. ($ amounts in thousands, except share, per share, portfolio and property data) Financial Highlights as of September 30, 2026 Common Shares Outstanding 1,101,083,124 Third-Party Partnership Units Outstanding 13,054,659 Share Price $22.97 Equity Market Capitalization $25,591,745 Total Debt $17,217,832 Cash &amp; Cash Equivalents $270,321 Total Enterprise Value $42,539,256 LQA Net Leverage Ratio(2) 4.8x Summary Capitalization Portfolio Highlights 63 Gaming Properties ~33 Acres of Undeveloped and Underdeveloped Land around the Las Vegas Strip 26 States, 1 U.S. Territory, &amp; 1 Canadian Province 39.4 Year Weighted Average Lease Term as of September 30, 2026(1) 100% Occupancy Rate 16 Tenants with 88% of Rent with a Parent Guarantee Moody’s S&amp;P Fitch Baa3 / Stable Outlook BBB- / Stable Outlook BBB- / Stable Outlook Credit Ratings 40 Other Experiential Properties 4 Golf Courses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6Q3 2026 SUPPLEMENTAL FINANCIAL &amp; OPERATING DATA September 30, 2026 December 31, 2025 Assets Real estate portfolio: Investments in leases - sales-type, net 24,370,572$ 23,706,563$ Investments in leases - financing receivables, net 19,235,774 18,697,133 Investments in loans and securities, net 2,984,010 2,525,457 Real estate under development 25,499 — Land 148,002 148,002 Cash and cash equivalents 270,321 563,479 Short-term investments — 44,484 Other assets 1,030,126 1,039,050 Total assets 48,064,304$ 46,724,168$ Liabilities Debt, net 16,916,934$ 16,773,241$ Accrued expenses and deferred revenue 178,249 238,715 Dividends and distributions payable 511,884 486,259 Other liabilities 1,017,579 1,003,366 Total liabilities 18,624,646 18,501,581 Stockholders' equity 11,011 10,688 — — Additional paid-in capital 25,859,760 24,898,868 Accumulated other comprehensive income 115,455 121,031 Retained earnings 3,025,489 2,767,053 Total VICI stockholders' equity 29,011,715 27,797,640 Non-controlling interests 427,943 424,947 Total stockholders' equity 29,439,658 28,222,587 Total liabilities and stockholders' equity 48,064,304$ 46,724,168$ Common stock, $0.01 par value, 1,350,000,000 shares authorized and 1,101,083,124 and 1,068,811,371 shares issued and outstanding at September 30, 2026 and December 31, 2025, respectively Preferred stock, $0.01 par value, 50,000,000 shares authorized and no shares outstanding at September 30, 2026 and December 31, 2025 CONSOLIDATED BALANCE SHEETS ($ amounts in thousands,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7Q3 2026 SUPPLEMENTAL FINANCIAL &amp; OPERATING DATA September 30, 2026 June 30, 2026 March 31, 2026 December 31, 2025 Assets Real estate portfolio: Investments in leases - sales-type, net 24,370,572$ 24,577,355$ 23,897,827$ 23,706,563$ Investments in leases - financing receivables, net 19,235,774 19,280,057 18,806,242 18,697,133 Investments in loans and securities, net 2,984,010 2,917,311 2,710,021 2,525,457 Real estate under development 25,499 23,272 — — Land 148,002 148,002 148,002 148,002 Cash and cash equivalents 270,321 288,063 480,206 563,479 Short-term investments — — — 44,484 Other assets 1,030,126 1,037,160 1,047,376 1,039,050 Total assets 48,064,304$ 48,271,220$ 47,089,674$ 46,724,168$ Liabilities Debt, net 16,916,934$ 16,931,155$ 16,787,100$ 16,773,241$ Accrued expenses and deferred revenue 178,249 220,415 173,509 238,715 Dividends and distributions payable 511,884 500,755 486,316 486,259 Other liabilities 1,017,579 1,016,184 1,023,887 1,003,366 Total liabilities 18,624,646 18,668,509 18,470,812 18,501,581 Stockholders' equity Common stock 11,011 11,011 10,690 10,688 Preferred stock — — — — Additional paid-in capital 25,859,760 25,854,906 24,900,713 24,898,868 Accumulated other comprehensive income 115,455 115,412 118,852 121,031 Retained earnings 3,025,489 3,189,420 3,158,398 2,767,053 Total VICI stockholders' equity 29,011,715 29,170,749 28,188,653 27,797,640 Non-controlling interests 427,943 431,962 430,209 424,947 Total stockholders' equity 29,439,658 29,602,711 28,618,862 28,222,587 Total liabilities and stockholders' equity 48,064,304$ 48,271,220$ 47,089,674$ 46,724,168$ CONSOLIDATED BALANCE SHEETS – QUARTERLY ($ amounts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8Q3 2026 SUPPLEMENTAL FINANCIAL &amp; OPERATING DATA Three Months Ended September 30, Nine Months Ended September 30, 2026 2025 2026 2025 Revenues Income from sales-type leases 556,749$ 531,765$ 1,642,668$ 1,590,717$ Income from lease financing receivables, loans and securities 482,642 447,986 1,412,990 1,314,726 Other income 18,969 19,547 56,783 58,596 Golf revenues 7,124 8,190 30,069 28,987 Total revenues 1,065,484 1,007,488 3,142,510 2,993,026 Expenses General and administrative 17,479 16,344 48,884 45,765 Depreciation 876 937 2,841 2,674 Other expenses 18,969 19,547 56,783 58,596 Golf expenses 6,858 6,765 20,722 19,736 Change in allowance for credit losses(1) 458,030 (20,153) 610,314 24,803 Transaction and acquisition expenses 194 9 2,176 7,488 Total expenses 502,406 23,449 741,720 159,062 Interest expense (214,983) (210,333) (634,272) (633,381) Interest income 1,564 3,881 8,285 9,871 Other (losses) gains (229) (82) (595) 792 Income before income taxes 349,430 777,505 1,774,208 2,211,246 Provision for income taxes (2,579) (3,885) (6,092) (6,993) Net income 346,851 773,620 1,768,116 2,204,253 Less: Net income attributable to non-controlling interests (4,317) (11,580) (26,671) (33,527) Net income attributable to common stockholders 342,534$ 762,040$ 1,741,445$ 2,170,726$ Net income per common share Basic 0.31$ 0.71$ 1.60$ 2.05$ Diluted 0.31$ 0.71$ 1.60$ 2.05$ Weighted average number of shares of common stock outstanding Basic 1,100,560,183 1,067,253,644 1,086,503,368 1,059,870,808 Diluted 1,100,625,472 1,068,369,218 1,086,581,026 1,060,732,039 Impact to net income related to non-cash change in allowance for credit losses - CECL(1) (458,030)$ 20,153$ (610,314)$ (24,803)$ Per share impact related to non-cash change in allowance for credit losses - CECL Basic (0.42)$ 0.02$ (0.56)$ (0.02)$ Diluted (0.42)$ 0.02$ (0.56)$ (0.02)$ CONSOLIDATED STATEMENT OF OPERATIONS ($ amounts in thousands, except share and per share data) (1) Refer to Note 5 – Allowance for Credit Losses within our Quarterly Report on Form 10-Q for the quarter ended September 30, 2026 (“Q3 2026 Form 10-Q”).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9Q3 2026 SUPPLEMENTAL FINANCIAL &amp; OPERATING DATA Three Months Ended September 30, 2026 June 30, 2026 March 31, 2026 December 31, 2025 Revenues Income from sales-type leases 556,749$ 549,202$ 536,717$ 534,650$ Income from lease financing receivables, loans and securities 482,642 478,395 451,953 448,768 Other income 18,969 18,915 18,899 18,883 Golf revenues 7,124 11,993 10,952 10,789 Total revenues 1,065,484 1,058,505 1,018,521 1,013,090 Expenses General and administrative 17,479 15,429 15,976 19,317 Depreciation 876 998 967 963 Other expenses 18,969 18,915 18,899 18,883 Golf expenses 6,858 7,395 6,469 6,994 Change in allowance for credit losses(1) 458,030 271,059 (118,775) 153,084 Transaction and acquisition expenses 194 1,815 167 241 Total expenses 502,406 315,611 (76,297) 199,482 Interest expense (214,983) (209,927) (209,362) (210,233) Interest income 1,564 2,228 4,493 4,492 Other (losses) gains (229) (345) (21) 1,866 Income before income taxes 349,430 534,850 889,928 609,733 (Provision for) benefit from income taxes (2,579) 461 (3,974) 4,558 Net income 346,851 535,311 885,954 614,291 Less: Net income attributable to non-controlling interests (4,317) (8,790) (13,564) (9,524) Net income attributable to common stockholders 342,534$ 526,521$ 872,390$ 604,767$ Net income per common share Basic 0.31$ 0.48$ 0.82$ 0.57$ Diluted 0.31$ 0.48$ 0.82$ 0.57$ Weighted average number of shares of common stock outstanding Basic 1,100,560,183 1,090,197,080 1,068,399,427 1,068,343,727 Diluted 1,100,625,472 1,090,236,611 1,068,527,584 1,068,506,481 Impact to net income related to non-cash change in allowance for credit losses - CECL(1) (458,030)$ (271,059)$ 118,775$ (153,084)$ Per share impact related to non-cash change in allowance for credit losses - CECL Basic (0.42)$ (0.25)$ 0.11$ (0.14)$ Diluted (0.42)$ (0.25)$ 0.11$ (0.14)$ CONSOLIDATED STATEMENT OF OPERATIONS – QUARTERLY ($ amounts in thousands, except share and per share data) (1) Refer to Note 5 – Allowance for Credit Losses within our Q3 2026 Form 10-Q.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10Q3 2026 SUPPLEMENTAL FINANCIAL &amp; OPERATING DATA Three Months Ended September 30, Nine Months Ended September 30, 2026 2025 2026 2025 Net income attributable to common stockholders 342,534$ 762,040$ 1,741,445$ 2,170,726$ Real estate depreciation — — — — Funds From Operations (FFO) attributable to common stockholders 342,534 762,040 1,741,445 2,170,726 Non-cash leasing and financing adjustments (131,953) (131,171) (401,130) (393,240) Non-cash change in allowance for credit losses 458,030 (20,153) 610,314 24,803 Non-cash stock-based compensation 4,895 4,415 13,629 11,758 Transaction and acquisition expenses 194 9 2,176 7,488 Amortization of debt issuance costs and original issue discount 18,070 17,395 52,759 54,909 Capitalized interest on real estate under development (283) — (339) — Other depreciation 743 806 2,445 2,284 Capital expenditures (2,660) (189) (3,420) (939) Other losses (gains)(1) 229 82 595 (792) Deferred income tax provision 1,476 2,776 1,486 2,848 Non-cash adjustments attributable to non-controlling interests (6,070) 1,559 (4,212) 3,884 Adjusted Funds From Operations (AFFO) attributable to common stockholders 685,205 637,569 2,015,748 1,883,729 Interest expense, net 195,632 189,057 573,567 568,601 Current income tax expense 1,103 1,109 4,606 4,145 Adjustments attributable to non-controlling interests (2,162) (2,153) (6,415) (6,518) Adjusted EBITDA attributable to common stockholders 879,778$ 825,582$ 2,587,506$ 2,449,957$ Net income per common share Basic 0.31$ 0.71$ 1.60$ 2.05$ Diluted 0.31$ 0.71$ 1.60$ 2.05$ FFO per common share Basic 0.31$ 0.71$ 1.60$ 2.05$ Diluted 0.31$ 0.71$ 1.60$ 2.05$ AFFO per common share Basic 0.62$ 0.60$ 1.86$ 1.78$ Diluted 0.62$ 0.60$ 1.86$ 1.78$ Weighted average number of shares of common stock outstanding Basic 1,100,560,183 1,067,253,644 1,086,503,368 1,059,870,808 Diluted 1,100,625,472 1,068,369,218 1,086,581,026 1,060,732,039 NON-GAAP FINANCIAL MEASURES ($ amounts in thousands, except share and per share data) (1) Represents non-cash foreign currency remeasurement adjustment and gain on sale of certain land parcels.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11Q3 2026 SUPPLEMENTAL FINANCIAL &amp; OPERATING DATA September 30, 2026 June 30, 2026 March 31, 2026 December 31, 2025 Net income attributable to common stockholders 342,534$ 526,521$ 872,390$ 604,767$ Real estate depreciation — — — — Funds From Operations (FFO) attributable to common stockholders 342,534 526,521 872,390 604,767 Non-cash leasing and financing adjustments (131,953) (139,145) (130,032) (130,947) Non-cash change in allowance for credit losses 458,030 271,059 (118,775) 153,084 Non-cash stock-based compensation 4,895 4,609 4,125 4,437 Transaction and acquisition expenses 194 1,815 167 241 Amortization of debt issuance costs and original issue discount 18,070 17,406 17,283 17,428 Capitalized interest on real estate under development (283) (56) — — Other depreciation 743 866 836 831 Capital expenditures (2,660) (131) (629) (299) Other losses (gains)(1) 229 345 21 (1,866) Deferred income tax provision (benefit) 1,476 (2,096) 2,106 (4,591) Non-cash adjustments attributable to non-controlling interests (6,070) (1,557) 3,415 (558) Adjusted Funds From Operations (AFFO) attributable to common stockholders 685,205 679,636 650,907 642,527 Interest expense, net 195,632 190,349 187,586 188,313 Current income tax expense 1,103 1,635 1,868 33 Adjustments attributable to non-controlling interests (2,162) (2,118) (2,135) (2,121) Adjusted EBITDA attributable to common stockholders 879,778$ 869,502$ 838,226$ 828,752$ Net income per common share Basic 0.31$ 0.48$ 0.82$ 0.57$ Diluted 0.31$ 0.48$ 0.82$ 0.57$ FFO per common share Basic 0.31$ 0.48$ 0.82$ 0.57$ Diluted 0.31$ 0.48$ 0.82$ 0.57$ AFFO per common share Basic 0.62$ 0.62$ 0.61$ 0.60$ Diluted 0.62$ 0.62$ 0.61$ 0.60$ Weighted average number of shares of common stock outstanding Basic 1,100,560,183 1,090,197,080 1,068,399,427 1,068,343,727 Diluted 1,100,625,472 1,090,236,611 1,068,527,584 1,068,506,481 Three Months Ended NON-GAAP FINANCIAL MEASURES – QUARTERLY ($ amounts in thousands, except share and per share data) (1) Represents non-cash foreign currency remeasurement adjustment and gain on sale of certain land parcels.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12Q3 2026 SUPPLEMENTAL FINANCIAL &amp; OPERATING DATA Three Months Ended September 30, Nine Months Ended September 30, 2026 2025 2026 2025 Contractual income from sales-type leases Caesars Regional Master Lease (excluding Harrah's NOLA, AC, and Laughlin) &amp; Joliet Lease 140,534$ 137,689$ 421,602$ 413,067$ Caesars Las Vegas Master Lease 126,419 123,855 379,257 371,565 MGM Grand/Mandalay Bay Master Lease 82,210 80,598 245,555 240,740 The Venetian Resort Las Vegas Lease 77,175 75,545 230,439 225,309 PENN Master Lease(1) 20,379 20,178 60,800 60,088 Clairvest Northfield Park Lease 13,504 — 23,978 — Century Master Lease (excluding Century Canadian Portfolio) 12,677 12,321 38,031 36,963 Hard Rock Cincinnati Lease 12,192 11,864 36,576 35,592 EBCI Southern Indiana Lease 8,730 8,538 25,978 25,530 PURE Master Lease 2,867 — 3,089 — Income from sales-type leases non-cash adjustment(2) 60,062 61,177 177,363 181,863 Income from sales-type leases 556,749 531,765 1,642,668 1,590,717 Contractual income from lease financing receivables MGM Master Lease 184,039 193,671 563,488 575,949 Harrah's NOLA, AC, and Laughlin(3) 44,603 43,683 133,809 131,049 Hard Rock Mirage Lease 23,877 23,409 71,631 70,227 Golden Entertainment Master Lease 21,750 — 36,250 — JACK Entertainment Master Lease 18,490 18,039 55,320 54,028 CNE Gold Strike Lease 10,824 10,612 32,190 31,559 Lucky Strike Master Lease 8,300 8,098 24,900 24,294 Foundation Gaming Master Lease 6,354 6,184 19,062 18,552 Chelsea Piers Lease 6,075 6,000 18,225 18,000 PURE Master Lease 4,073 4,047 12,317 11,946 Century Canadian Portfolio(4) 3,217 3,197 9,751 9,447 Income from lease financing receivables non-cash adjustment(2) 71,902 70,070 223,846 211,507 Income from lease financing receivables 403,504 387,010 1,200,789 1,156,558 Contractual interest income Senior secured notes 3,900 2,398 8,836 7,218 Senior secured loans 27,558 22,907 76,575 59,211 Mezzanine loans &amp; preferred equity 47,866 35,887 127,368 92,251 Income from loans non-cash adjustment(2) (186) (216) (578) (512) Income from loans and securities 79,138 60,976 212,201 158,168 Income from lease financing receivables, loans and securities 482,642 447,986 1,412,990 1,314,726 Other income 18,969 19,547 56,783 58,596 Golf revenues 7,124 8,190 30,069 28,987 Total revenues 1,065,484$ 1,007,488$ 3,142,510$ 2,993,026$ REVENUE DETAIL (1) On December 4, 2025, VICI combined the PENN Greektown Lease and PENN Margaritaville Lease with PENN Entertainment into a single master lease (the “PENN Master Lease”). VICI’s aggregate rent remained unchanged. (2) Amounts represent non-cash adjustments to recognize revenue on an effective interest basis in accordance with GAAP. (3) Assets are part of the Caesars Regional Master Lease. (4) Assets are part of the Century Master Lease. ($ amounts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13Q3 2026 SUPPLEMENTAL FINANCIAL &amp; OPERATING DATA Three Months Ended September 30, 2026 June 30, 2026 March 31, 2026 December 31, 2025 Contractual income from sales-type leases Caesars Regional Master Lease (excluding Harrah's NOLA, AC, and Laughlin) &amp; Joliet Lease 140,534$ 140,534$ 140,534$ 139,586$ Caesars Las Vegas Master Lease 126,419 126,419 126,419 125,564 MGM Grand/Mandalay Bay Master Lease 82,210 82,210 81,135 80,598 The Venetian Resort Las Vegas Lease 77,175 77,175 76,089 75,545 PENN Master Lease(1) 20,379 20,244 20,177 20,178 Clairvest Northfield Park Lease 13,504 10,474 — — Century Master Lease (excluding Century Canadian Portfolio) 12,677 12,677 12,677 12,321 Hard Rock Cincinnati Lease 12,192 12,192 12,192 12,192 EBCI Southern Indiana Lease 8,730 8,624 8,624 8,624 PURE Master Lease 2,867 222 — — Income from sales-type leases non-cash adjustment(2) 60,062 58,431 58,870 60,042 Income from sales-type leases 556,749 549,202 536,717 534,650 Contractual income from lease financing receivables MGM Master Lease 184,039 185,779 193,670 193,670 Harrah's NOLA, AC, and Laughlin(3) 44,603 44,603 44,603 44,296 Hard Rock Mirage Lease 23,877 23,877 23,877 23,409 Golden Entertainment Master Lease 21,750 14,500 — — JACK Entertainment Master Lease 18,490 18,490 18,340 18,039 CNE Gold Strike Lease 10,824 10,754 10,612 10,612 Lucky Strike Master Lease 8,300 8,300 8,300 8,232 Foundation Gaming Master Lease 6,354 6,354 6,354 6,184 Chelsea Piers Lease 6,075 6,075 6,075 6,000 PURE Master Lease 4,073 4,118 4,126 3,998 Century Canadian Portfolio(4) 3,217 3,252 3,282 3,157 Income from lease financing receivables non-cash adjustment(2) 71,902 80,743 71,201 70,944 Income from lease financing receivables 403,504 406,845 390,440 388,541 Contractual interest income Senior secured notes 3,900 2,565 2,371 2,384 Senior secured loans 27,558 25,275 23,742 22,564 Mezzanine loans &amp; preferred equity 47,866 43,912 35,590 35,497 Income from loans non-cash adjustment(2) (186) (202) (190) (218) Income from loans and securities 79,138 71,550 61,513 60,227 Income from lease financing receivables, loans and securities 482,642 478,395 451,953 448,768 Other income 18,969 18,915 18,899 18,883 Golf revenues 7,124 11,993 10,952 10,789 Total revenues 1,065,484$ 1,058,505$ 1,018,521$ 1,013,090$ REVENUE DETAIL – QUARTERLY ($ amounts in thousands) (1) Reflects combined PENN Master Lease, described further on page 12. (2) Amounts represent non-cash adjustments to recognize revenue on an effective interest basis in accordance with GAAP. (3) Assets are part of the Caesars Regional Master Lease. (4) Assets are part of the Century Master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14Q3 2026 SUPPLEMENTAL FINANCIAL &amp; OPERATING DATA As of September 30, 2026 Total Commitments Principal Balance Years to Maturity(3) Blended Interest Rate Annualized Income Annualized Contractual Income from Loans and Securities Senior Secured Loans 1,510.0 $1,347.6 2.5 8.6% 116.0 Mezzanine Loans &amp; Preferred Equity 2,618.0 $1,814.9 2.6 10.4% 188.0 Total / Weighted Average $4,128.0 $3,162.5 2.5 9.6% $304.0 Total Annualized Contractual Rent and Income from Loans and Securities $3,619.0 Assets Annualized Rent Per Lease Tenant as of October 2026 Real Estate Portfolio Caesars Regional Master Lease &amp; Joliet Lease 16 Caesars Entertainment $740.5 MGM Master Lease 10 MGM Resorts International 736.2 Caesars Las Vegas Master Lease 2 Caesars Entertainment 505.7 MGM Grand/Mandalay Bay Master Lease 2 MGM Resorts International 328.8 The Venetian Resort Las Vegas Lease 1 Venetian Las Vegas Tenant 308.7 Hard Rock Mirage Lease 1 Hard Rock Entertainment 95.5 Golden Entertainment Master Lease 7 Golden Entertainment 87.0 PENN Master Lease 2 PENN Entertainment 81.5 JACK Entertainment Master Lease 2 JACK Entertainment 74.0 Century Master Lease(1)(2) 8 Century Casinos 63.4 Clairvest Northfield Park Lease 1 Clairvest 54.0 Hard Rock Cincinnati Lease 1 Hard Rock Entertainment 50.4 CNE Gold Strike Lease 1 Cherokee Nation Entertainment 43.3 EBCI Southern Indiana Lease 1 Eastern Band of Cherokee Indians 35.8 Lucky Strike Master Lease 38 Lucky Strike Entertainment 33.2 PURE Master Lease(2) 6 PURE Tenant 27.3 Foundation Gaming Master Lease 2 Foundation Gaming 25.4 Chelsea Piers Lease 1 Chelsea Piers 24.3 Real Estate Under Development Club Med St. Croix Lease 1 Club Med - Total 103 $3,315.0 ANNUALIZED CONTRACTUAL RENT AND INCOME FROM LOANS (1) On September 28, 2026, VICI announced its agreement to enter into a separate lease with a subsidiary of Highfield Investment Group, Inc. (“Highfield”) related to the real property of Century Mile and Century Downs in Alberta, Canada, in connection with Century Casinos’ agreement to sell the operations of Century Mile &amp; Century Downs, subject to customary closing conditions and regulatory approvals. There will be no change to aggregate rent collected by VICI. (2) Includes rent or a portion of rent collected in CAD, assuming an exchange rate of C$1.00:US$0.70 as of September 30, 2026. (3) Based on next maturity, not inclusive of applicable extension options. ($ amounts in millions USD) Caesars 38% MGM 32% Venetian 9% Hard Rock 4% Golden Entertainment 3% PENN 2% JACK 2% Century Casinos(1)(2) 2% Clairvest 2% Cherokee Nation 1% EBCI 1% Lucky Strike 1% PURE(2) 1% Foundation 1% Chelsea Piers 1% Club Med - 16 Tenant Partnerships (% of Annualized 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15Q3 2026 SUPPLEMENTAL FINANCIAL &amp; OPERATING DATA 2026 Guidance Updated Guidance Prior Guidance For the Year Ending December 31, 2026: Low High Low High Estimated Adjusted Funds From Operations (AFFO) $2,695.0 $2,705.0 $2,675.0 $2,695.0 Estimated Adjusted Funds From Operations (AFFO) per common diluted share $2.47 $2.48 $2.45 $2.47 Estimated Weighted Average Common Share Count at Year End 1,090.2 1,090.2 1,090.3 1,090.3 2026 GUIDANCE ($ and share amounts in millions, except per share data) The Company is raising AFFO guidance for the full year 2026. In determining AFFO, the Company adjusts for certain items that are otherwise included in determining net income attributable to common stockholders, the most comparable GAAP financial measure. In reliance on the exemption provided by applicable rules, the Company does not provide guidance for GAAP net income, the most comparable GAAP financial measure, or a reconciliation of 2026 AFFO to GAAP net income because we are unable to predict with reasonable certainty the amount of the change in non-cash allowance for credit losses under ASU No. 2016-13 - Financial Instruments—Credit Losses (Topic 326) (“ASC 326”) for a future period. The non-cash change in allowance for credit losses under ASC 326 with respect to a future period is dependent upon future events that are entirely outside of the Company’s control and may not be reliably predicted, including its tenants’ respective financial performance, fluctuations in the trading price of their common stock, credit ratings and outlook (each to the extent applicable), as well as broader macroeconomic performance. Based on past results and as disclosed in the Company’s historical financial results, the impact of these adjustments could be material, individually or in the aggregate, to the Company’s reported GAAP results. For more information, see “Non-GAAP Financial Measures” on page 26 of this presentation. The Company estimates AFFO for the year ending December 31, 2026 will be between $2,695 million and $2,705 million, or between $2.47 and $2.48 per diluted common share. Guidance does not include the impact on operating results from any pending acquisitions without announced expected closing dates, possible future acquisitions or dispositions, capital markets activity, or other non-recurring transactions. The following is a summary of the Company’s full-year 2026 guidance: VICI partnership units held by third parties are reflected as non-controlling interests and the income allocable to them is deducted from net income to arrive at net income attributable to common stockholders and AFFO; accordingly, guidance represents AFFO per share attributable to common stockholders based solely on outstanding shares of VICI common stock. The estimates set forth above reflect management’s view of current and future market conditions, including assumptions with respect to the earnings impact of the events referenced in this presentation. The estimates set forth above may be subject to fluctuations as a result of several factors and there can be no assurance that the Company’s actual results will not differ materially from the estimates set forth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16Q3 2026 SUPPLEMENTAL FINANCIAL &amp; OPERATING DATA CAPITALIZATION &amp; KEY CREDIT METRICS – AS OF SEPTEMBER 30, 2026 (1) MGM and Lucky Strike hold third-party partnership units, which may be redeemed for cash or, at VICI's election, shares of common stock. (2) Revolver draws denominated in CAD and GBP, shown here in USD, based on applicable exchange rates as of quarter end. (3) See "Non‐GAAP Financial Measures" on pages 10-11 of this presentation for the reconciliations, and "Definitions of Non-GAAP Financial Measures" on page 26 of this presentation. ($ amounts in thousands, except share and per share data) Capitalization Common Shares Outstanding 1,101,083,124 Third-Party Partnership Units Outstanding(1) 13,054,659 Share Price $22.97 Equity Market Capitalization $25,591,745 Revolving Credit Facility(2) 267,832 Senior Unsecured Notes 13,950,000 CMBS Debt 3,000,000 Total Debt $17,217,832 Total Market Capitalization $42,809,577 Less: Cash &amp; Cash Equivalents 270,321 Total Enterprise Value $42,539,256 Q3’26 LQA Net Leverage Q3’26 Adj. EBITDA(3) $879,778 Annualized Q3’26 Adj. EBITDA 3,519,112 Net Debt 16,947,511 LQA Net Leverage Ratio 4.8x VICI Issuer Credit Ratings Moody’s: Baa3 / Stable Outlook S&amp;P: BBB- / Stable Outlook Fitch: BBB- / Stable Outlook Investment Grade Bond Covenants Thresholds Actuals Total Net Debt to Adjusted Total Assets &lt; 60% 34% Senior Secured Net Debt to Adjusted Total Assets &lt; 40% 6% Interest Coverage Ratio &gt; 1.5x 4.1x Total Unencumbered Assets to Unsecured Debt &gt; 150% 322% Total Liquidity Revolving Credit Facility Capacity $2,232,168 Cash &amp; Cash Equivalents 270,321 Total Liquidity $2,502,489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17Q3 2026 SUPPLEMENTAL FINANCIAL &amp; OPERATING DATA DEBT DETAIL (1) Holders of the senior notes, as well as the trustee, administrative agent and lenders under VICI's Credit Agreement, benefit from a limited pledge of the equity of VICI Properties L.P. (2) Shown inclusive of applicable extension options. (3) Based on applicable benchmark rates as of September 30, 2026. (4) Issued in exchange for senior notes originally issued by MGM Growth Properties Operating Partnership LP (“MGP OP”). Principal amounts listed include unexchanged MGP OP notes which remain outstanding, totaling $44.1 million in the aggregate. (5) Represents the contractual interest rates adjusted to account for the impact of forward-starting interest rate swaps and treasury locks. ($ amounts in thousands USD) Refer to Note 7 – Debt and Note 8 – Derivatives within our Quarterly Report on Form 10-Q for the quarter ended September 30, 2026 for additional detail. As of September 30, 2026 Debt Maturity Date Coupon Rate Effective Rate Face Value % of Total Debt Carrying Value (GAAP) Senior Unsecured Debt(1) $2.5Bn Revolving Credit Facility Borrowings in USD 2/3/2030(2) SOFR+0.85% 4.763%(3) - - - Borrowings in CAD 2/3/2030(2) CORRA+0.85% 3.160%(3) $245,945 1.4% $245,945 Borrowings in GBP 2/3/2030(2) SONIA+0.85% 4.583%(3) $21,887 0.1% $21,887 5.750% Notes due 2027(4) 2/1/2027 5.750% 5.750% $750,000 4.4% $750,732 3.750% Notes due 2027 2/15/2027 3.750% 3.750% $750,000 4.4% $749,371 4.500% Notes due 2028(4) 1/15/2028 4.500% 4.500% $350,000 2.0% $346,677 4.750% Notes due 2028 2/15/2028 4.750% 4.516%(5) $1,250,000 7.3% $1,246,526 4.750% Notes due 2028 4/1/2028 4.750% 4.750% $400,000 2.3% $398,005 3.875% Notes due 2029(4) 2/15/2029 3.875% 3.875% $750,000 4.4% $722,408 4.625% Notes due 2029 12/1/2029 4.625% 4.625% $1,000,000 5.8% $994,932 4.950% Notes due 2030 2/15/2030 4.950% 4.541%(5) $1,000,000 5.8% $994,118 4.125% Notes due 2030 8/15/2030 4.125% 4.125% $1,000,000 5.8% $994,220 5.400% Notes due 2031 10/15/2031 5.400% 5.406%(5) $900,000 5.2% $891,799 5.125% Notes due 2031 11/15/2031 5.125% 4.969%(5) $750,000 4.4% $742,871 5.125% Notes due 2032 5/15/2032 5.125% 3.980%(5) $1,500,000 8.7% $1,488,452 5.750% Notes due 2034 4/1/2034 5.750% 5.689%(5) $550,000 3.2% $542,683 5.625% Notes due 2035 4/1/2035 5.625% 5.601%(5) $900,000 5.2% $886,584 5.750% Notes due 2036 10/15/2036 5.750% 5.440%(5) $850,000 4.9% $828,387 5.625% Notes due 2052 5/15/2052 5.625% 5.625% $750,000 4.4% $737,213 6.125% Notes due 2054 4/1/2054 6.125% 6.125% $500,000 2.9% $486,266 Total Unsecured Debt - - - $14,217,832 82.6% $14,069,076 CMBS Debt 3/5/2032 3.558% 3.558% $3,000,000 17.4% $2,847,858 Weighted Average / Total 4.73% 4.57% (5) $17,217,832 100.0% $16,916,934 Fixed Rate Debt Outstanding 98.4% Weighted Average Years to Maturity 6.0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18Q3 2026 SUPPLEMENTAL FINANCIAL &amp; OPERATING DATA GEOGRAPHIC DIVERSIFICATION (1) Based on annualized contractual rent as of October 1, 2026. Diversified Portfolio: 26 States, 1 U.S. Territory, and 1 Canadian Province Gaming: 15 States and 1 Canadian Province (52% Regional, 47% Las Vegas Strip, 1% International)(1) Other Experiential: 17 States (6 of Which Also Include Gaming) &amp; 1 U.S. Territory Alberta, Canada Gaming Other Experiential St. Croix, USVI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19Q3 2026 SUPPLEMENTAL FINANCIAL &amp; OPERATING DATA SUMMARY OF CURRENT LEASE TERMS (1) Cash rent amounts are presented prior to accounting for the portion of rent payable to the 20% JV partner at Harrah’s Joliet. After adjusting for the portion of rent payable to the 20% JV partner, current annual cash rent is $730.9 million. (2) The Caesars Master Leases are each subject to a variable rent component in Lease Years 11 and 16. (3) Annual rent escalation does not apply to $35 million of annual rent attributable to the Octavius Tower at Caesars Palace. (4) The PENN Master Lease escalated at 1% on June 1, 2026 and will escalate at 1% if the minimum net revenue to rent ratio (the “Minimum Ratio”) is achieved thereafter. Lease Tenant Annual Cash Rent as of October 2026 ($mm) Current Lease Year Annual Escalator Term Caesars Regional Master Lease and Joliet Lease Caesars Entertainment $740.5(1) Lease Year 9 11/1/25 – 10/31/26 &gt;2% / change in CPI(2) 18-year initial term with four 5-year renewal options MGM Master Lease MGM Resorts International 736.2 Lease Year 5 5/1/26 – 4/30/27 2% in years 2-10; &gt;2% / change in CPI thereafter (capped at 3%) 25-year initial term with three 10-year renewal options Caesars Las Vegas Master Lease Caesars Entertainment 505.7 Lease Year 9 11/1/25 – 10/31/26 &gt;2% / change in CPI(2)(3) 18-year initial term with four 5-year renewal options MGM Grand / Mandalay Bay Master Lease MGM Resorts International 328.8 Lease Year 7 3/1/26 – 2/28/27 2% in years 2-15; &gt;2% / change in CPI thereafter (capped at 3%) 30-year initial term with two 10-year renewal options The Venetian Resort Las Vegas Lease Affiliate of funds managed by affiliates of Apollo Global Management, Inc. 308.7 Lease Year 5 3/1/26 – 2/28/27 &gt;2% / change in CPI (capped at 3%) 30-year initial term with two 10-year renewal options Hard Rock Mirage Lease Hard Rock Entertainment 95.5 Lease Year 4 1/1/26 – 12/31/26 2% in years 2-10; &gt;2% / change in CPI thereafter (capped at 3%) 25-year initial term with three 10-year renewal options Golden Entertainment Master Lease Golden Entertainment 87.0 Lease Year 1 5/1/26 – 4/30/27 2% starting in year 3 30-year initial term with four 5-year renewal options PENN Master Lease PENN Entertainment 81.5 Lease Year 8 6/1/26 – 5/31/27 Up to 1% in years 9-15 subject to a Minimum Ratio(4) 15-year initial term with four 5-year renewal options JACK Entertainment Master Lease JACK Entertainment 74.0 Lease Year 7 2/1/26 – 1/31/27 &gt;1.5% / change in CPI (capped at 2.5%) 20-year initial term with three 5-year renewal options For additional information, please reference our Quarterly Report on Form 10-Q for the quarter ended September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20Q3 2026 SUPPLEMENTAL FINANCIAL &amp; OPERATING DATA SUMMARY OF CURRENT LEASE TERMS (CONT.) Lease Tenant Annual Cash Rent as of October 2026 ($mm) Current Lease Year Annual Escalator Term Century Master Lease Century Casinos $63.4(1)(2) Lease Year 7 1/1/26 – 12/31/26 &gt;1.25% / change in CPI (Century Canada escalation based on Canadian CPI and capped at 2.5%) 24-year initial term with three 5-year renewal options Clairvest Northfield Park Lease An affiliate of funds managed by Clairvest 54.0 Lease Year 1 5/1/26 – 4/30/27 2% in years 2-6; &gt;2% / change in CPI thereafter (capped at 3%) 25-year initial term with three 10-year renewal options Hard Rock Cincinnati Lease Hard Rock Entertainment 50.4 Lease Year 8 10/1/26 – 9/30/27 &gt;2.0% / change in CPI(3) 28-year initial term with three 10-year renewal options CNE Gold Strike Lease Cherokee Nation Entertainment 43.3 Lease Year 5 5/1/26 – 4/30/27 2% in years 2-10; &gt;2% / change in CPI thereafter (capped at 3%) 25-year initial term with three 10-year renewal options EBCI Southern Indiana Lease Eastern Band of Cherokee Indians 35.8 Lease Year 6 9/1/26 – 8/31/27 &gt;2% / change in CPI(4) 15-year initial term with four 5-year renewal options Lucky Strike Master Lease Lucky Strike Entertainment 33.2 Lease Year 3 11/1/25 – 10/31/26 &gt;2% / change in CPI (capped at 2.5%) 25-year initial term with six 5- year renewal options PURE Master Lease Affiliate of IGP(5) C$38.8 / US$27.3(2) Lease Year 4 2/1/26 – 1/31/27 &gt;1.5% / change in Canadian CPI (capped at 2.5%)(6) 25-year initial term(6) with four 5-year renewal options Foundation Gaming Master Lease Foundation Gaming 25.4 Lease Year 4 1/1/26 – 12/31/26 &gt;1.5% / change in CPI (capped at 3%) 15-year initial term with four 5-year renewal options Chelsea Piers Lease Chelsea Piers 24.3 Lease Year 3 1/1/26 – 12/31/26 1.5% 32-year initial term with one 10-year extension option (1) Reflects a portion of rent paid in CAD with respect to the Century Canadian Portfolio, which has a current annual base rent of C$18.0 million (US$12.7 million). (2) Assumes an exchange rate of C$1.00:US$0.70 as of September 30, 2026. (3) If the change in CPI is less than 0.5%, there will be no escalation in rent for such lease year. (4) The EBCI Southern Indiana Lease is subject to a variable rent component in Lease Years 8 and 11. (5) IGP is a gaming partnership established by five institutional Nova Scotia-based First Nations to acquire gaming assets in North America. (6) In connection with the Gamehost real estate acquisition (see page 21 for additional details), C$16.1 million of rent will not escalate until February 1, 2028, at which point it will escalate at 1.0%. Thereafter, such rent will escalate in line with the PURE Master Lease terms outlined herein. The initial term of the lease was reset upon closing such that the lease has a full 25-year initial term remaining starting in 2026. For additional information, please reference our Quarterly Report on Form 10-Q for the quarter ended September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21Q3 2026 SUPPLEMENTAL FINANCIAL &amp; OPERATING DATA Property / Loan Announcement Date Closing Date Transaction Size Rent Tenant / Borrower Pending Transactions Century Mile &amp; Century Downs Separate Lease 9/28/2026 Expected Q4 2026 or Q1 2027 N/A C$10.7 million / USD$7.5 million(1) Subsidiary of Highfield Investment Group, Inc. Recently Completed Transactions Gamehost Real Estate Acquisition 3/30/2026 6/24/2026 C$200.6 million / USD$141.0 million(2) C$16.1 million / USD$11.3 million(2) Affiliate of IGP Club Med St. Croix Build-to-Suit 6/15/2026 6/12/2026 $75.5 million -- Club Med SAS Golden Entertainment Sale-Leaseback 11/6/2025 4/30/2026 $1.16 billion(3) $87.0 million Holding company owned and controlled by Blake L. Sartini(4) Clairvest Northfield Park Lease 10/16/2025 4/21/2026 N/A $54.0 million(5) Affiliate of funds managed by Clairvest One Beverly Hills Construction Financing 3/23/2026 3/23/2026 $1.5 billion N/A Cain RECENT INVESTMENT ACTIVITY (1) If closing happens after January 1, 2027, the base rent escalates as provided in the Century Master Lease on that date. After that, escalation is the greater of 1.25% and the change in Canadian CPI, capped at 2.50%. Based on the applicable exchange rate the day prior to announcement. (2) Based on applicable exchange rate at the time of the transaction closing. (3) Transaction size at the time of announcement. (4) The holding company owns all of the gaming and operating assets of Golden Entertainment. (5) Reflects 2% escalation that occurred on May 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22Q3 2026 SUPPLEMENTAL FINANCIAL &amp; OPERATING DATA RECENT CAPITAL MARKETS ACTIVITY (1) Includes $480.5 million of 4.500% senior unsecured notes redeemed on August 17, 2026 and $19.5 million of 4.500% senior unsecured notes (unexchanged MGP OP Notes) repaid at maturity on September 1, 2026. (2) Represents the contractual interest rates adjusted to account for the impact of forward-starting interest rate swaps. Refer to Note 8 – Derivatives within our Q3 2026 Form 10-Q for more information. Forward Equity Offering Shares Sold Gross Offering Value Shares Settled Net Proceeds Received to Date 2025 ATM Sales 7,835,973 $254.2 million 7,835,973 $245.0 million 2024 ATM Sales 12,015,399 $384.6 million 12,015,399 $372.9 million Equity Capital Markets Type of Debt Timing Coupon Rate Effective Rate Gross Proceeds Received Redemption / Repayment Amt. Senior Unsecured Notes due September 2026(1) Redeemed August 17, 2026 4.500% 4.500% - $500.0 million Senior Unsecured Notes due December 2026 Redeemed August 17, 2026 4.250% 4.250% - $1,250.0 million Senior Unsecured Notes due October 2031 Issued August 14, 2026 5.400% 5.406%(2) $900.0 million Senior Unsecured Notes due October 2036 Issued August 14, 2026 5.750% 5.440%(2) $850.0 million Debt Capital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23Q3 2026 SUPPLEMENTAL FINANCIAL &amp; OPERATING DATA GAMING EMBEDDED GROWTH PIPELINE The descriptions of the Put/Call Agreements and Right of First Refusal / Right of First Offer Agreements herein are presented as a summary of such agreements, which are or may be subject to additional terms and conditions as described in the applicable agreements. Put / Call Agreements ROFR / ROFO Agreements (1) Caesars does not have a contractual obligation to sell the properties subject to the ROFR Agreements and will make an independent financial decision regarding whether to trigger the ROFR agreements and VICI will make an independent financial decision whether to purchase the properties. (2) Subject to any consent required from Caesars’ applicable joint venture partners. Caesars Forum Convention Center: VICI has the right to call the Caesars Forum Convention Center from Caesars at a 13.0x multiple (7.7% cap rate) of the initial annual rent in a sale-leaseback transaction until December 31, 2028. Las Vegas Strip Assets(1): VICI has a right of first refusal (“ROFR”) to acquire the land and real estate assets of each of the first two of certain specified Las Vegas Strip assets should the properties be sold by Caesars, whether pursuant to an OpCo/PropCo or a WholeCo sale. The first property subject to the ROFR will be one of: Flamingo Las Vegas, Horseshoe Las Vegas, Paris Las Vegas and Planet Hollywood Resort &amp; Casino. The second property subject to the ROFR will be selected from one of the aforementioned four properties plus The LINQ Hotel &amp; Casino. Horseshoe Casino Baltimore(1)(2): VICI has a ROFR to enter into a sale- leaseback transaction with respect to the land and real estate assets of Horseshoe Baltimore should the property be sold by Caesars. Caesars Virginia ROFR(1)(2): VICI has a ROFR to enter into a sale- leaseback transaction with respect to the land and real estate assets associated with the casino resort in Danville, Virginia owned and operated by Caesars and EBCI. Indigenous Gaming Partners: VICI has a five-year right of first offer (“ROFO”) on future sale-leaseback transactions with IGP. Any additional properties acquired pursuant to the ROFO will be added to the existing master lease for the PURE portfolio. INDIGENOUS GAMING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24Q3 2026 SUPPLEMENTAL FINANCIAL &amp; OPERATING DATA OTHER EXPERIENTIAL EMBEDDED GROWTH PIPELINE The descriptions of the Call Agreements and Right of First Refusal / Right of First Offer Agreements herein are presented as a summary of such agreements, which are or may be subject to additional terms and conditions as described in the applicable agreements. Canyon Ranch Lenox &amp; Canyon Ranch Tucson: VICI has the right to call the real estate assets of each of Canyon Ranch Tucson and Canyon Ranch Lenox at pre-negotiated terms in a sale-leaseback transaction, subject to certain conditions. If the call right(s) are exercised, Canyon Ranch would continue to operate the applicable wellness resort(s) subject to a long-term triple-net master lease with VICI. Call Right Agreements Longer Term Financing Partnerships Canyon Ranch Austin: VICI has the right to call the real estate assets of Canyon Ranch Austin at pre-negotiated terms in a sale-leaseback transaction for up to 24 months following stabilization, subject to certain conditions. If the call right is exercised, Canyon Ranch would continue to operate Canyon Ranch Austin subject to a long-term triple-net lease with VICI. Cabot Citrus Farms: VICI entered into a purchase and sale agreement, pursuant to which VICI will convert a portion of the Cabot Citrus Farms loan into the ownership of certain Cabot Citrus Farms real estate assets and simultaneously enter into a triple-net lease with Cabot that has an initial term of 25 years, with five 5-year tenant renewal options. Canyon Ranch: VICI entered into a right of first financing agreement pursuant to which VICI will have the first right, but not the obligation, to serve as the real estate capital financing partner for Canyon Ranch with respect to the acquisition, build-out and/or redevelopment of future greenfield and build-to- suit wellness resorts. Lucky Strike: VICI has a right of first offer to acquire the real estate assets of any current or future Lucky Strike asset should Lucky Strike elect to enter into a sale-leaseback transaction in the first 8 years of the lease term. Homefield KC and Margaritaville Resort: VICI has the option to call the real estate assets of the new Homefield Showcase Center, new Homefield Baseball Center, Homefield Sports and Training Complex – Olathe, and the Margaritaville Resort Kansas City, subject to certain conditions. If the call right is exercised, all of the properties, including the Margaritaville Resort, would be subject to a single long-term triple net master lease with VICI. Homefield: VICI entered into a ROFR agreement under which VICI has the right to acquire the real estate of any future Homefield properties in a sale- leaseback transaction if Homefield elects to monetize such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25Q3 2026 SUPPLEMENTAL FINANCIAL &amp; OPERATING DATA ANALYST COVERAGE Firm Analyst Phone Email Barclays Rich Hightower (212) 526-8768 Richard.hightower@barclays.com BNP Paribas Nate Crossett (646) 725-3716 Nate.crossett@us.bnpparibas.com BofA Securities Shaun Kelley (646) 855-1005 Shaun.kelley@bofa.com Cantor Fitzgerald Rich Anderson (929) 441-6927 Richard.anderson@cantor.com Capital One Securities Dan Guglielmo (202) 213-6408 Daniel.guglielmo@capitalone.com CBRE John DeCree (702) 691-3213 John.decree@cbre.com Citi Smedes Rose (212) 816-6243 Smedes.rose@citi.com Citizens Mitch Germain (212) 906-3537 Mitchell.germain@citizensbank.com Deutsche Bank Steven Pizzella (212) 250‐9817 Steven.pizzella@db.com Evercore ISI Jim Kammert (312) 705-4233 James.kammert@evercoreisi.com Goldman Sachs Caitlin Burrows (212) 902-4736 Caitlin.burrows@gs.com Green Street Advisors Chris Darling (949) 640-8780 Cdarling@greenstreet.com Jefferies David Katz (212) 323-3355 Dkatz@jefferies.com J.P. Morgan Anthony Paolone (212) 622-6682 Anthony.paolone@jpmorgan.com Keybanc Todd Thomas (917) 368-2286 Tthomas@key.com Macquarie Capital Chad Beynon (212) 231-2634 Chad.beynon@macquarie.com Mizuho Securities Haendel St. Juste (212) 205-7860 Haendel.st.juste@mizuhogroup.com Morgan Stanley Ronald Kamdem (212) 296-8319 Ronald.kamdem@morganstanley.com Raymond James RJ Milligan (727) 567-2585 Rjmilligan@raymondjames.com RBC Brad Heffern (512) 708-6311 Brad.Heffern@rbccm.com Robert W. Baird Wesley Golladay (216) 737-7510 Wgolladay@rwbaird.com Scotiabank Greg McGinniss (212) 225-6906 Greg.mcginniss@scotiabank.com Stifel Nicolaus Simon Yarmak (443) 224‐1345 Yarmaks@stifel.com Truist Securities Barry Jonas (212) 590-0998 Barry.jonas@truist.com Wells Fargo James Feldman (212) 214-5328 James.Feldman@wellsfargo.com Wolfe Research Andrew Rosivach (646) 582-9250 Arosivach@wolferesearch.com Firm Analyst Phone Email BofA Securities James Kayler (646) 855-9223 James.f.kayler@bofa.com CBRE Colin Mansfield (702) 932-3812 Colin.mansfield@cbre.com J.P. Morgan Mark Streeter (212) 834-5086 Mark.streeter@jpmorgan.com Wells Fargo Kevin McClure (704) 410-1100 Kevin.mcclure@wellsfargo.com Covering Fixed Income Analysts Covering Equity Analysts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26Q3 2026 SUPPLEMENTAL FINANCIAL &amp; OPERATING DATA DEFINITIONS OF NON-GAAP FINANCIAL MEASURES FFO is a non-GAAP financial measure that is considered a supplemental measure for the real estate industry and a supplement to GAAP measures. Consistent with the definition used by the National Association of Real Estate Investment Trusts (NAREIT), we define FFO as our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 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capitalized interest on real estate under development,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interests with respect to certain of the foregoing. 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 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15964</Words>
  <Characters>94136</Characters>
  <CharactersWithSpaces>109753</CharactersWithSpaces>
  <Paragraphs>1006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vici3q26financialsupplem</dc:title>
</cp:coreProperties>
</file>