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15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68" w:lineRule="exact"/>
        <w:rPr>
          <w:sz w:val="24"/>
          <w:szCs w:val="24"/>
          <w:color w:val="auto"/>
        </w:rPr>
      </w:pPr>
    </w:p>
    <w:p>
      <w:pPr>
        <w:ind w:left="740" w:hanging="691"/>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2018</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73" w:lineRule="exact"/>
        <w:rPr>
          <w:sz w:val="24"/>
          <w:szCs w:val="24"/>
          <w:color w:val="auto"/>
        </w:rPr>
      </w:pPr>
    </w:p>
    <w:p>
      <w:pPr>
        <w:ind w:left="740" w:hanging="691"/>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8"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 from _________ to __________</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000-55791</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_________________________</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VICI Properties Inc.</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420"/>
          </w:cols>
          <w:pgMar w:left="240" w:top="395" w:right="239" w:bottom="1440" w:gutter="0" w:footer="0" w:header="0"/>
        </w:sectPr>
      </w:pPr>
    </w:p>
    <w:p>
      <w:pPr>
        <w:spacing w:after="0" w:line="232" w:lineRule="exact"/>
        <w:rPr>
          <w:sz w:val="24"/>
          <w:szCs w:val="24"/>
          <w:color w:val="auto"/>
        </w:rPr>
      </w:pPr>
    </w:p>
    <w:p>
      <w:pPr>
        <w:ind w:left="30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81-4177147</w:t>
      </w:r>
    </w:p>
    <w:p>
      <w:pPr>
        <w:spacing w:after="0" w:line="81" w:lineRule="exact"/>
        <w:rPr>
          <w:sz w:val="24"/>
          <w:szCs w:val="24"/>
          <w:color w:val="auto"/>
        </w:rPr>
      </w:pPr>
    </w:p>
    <w:p>
      <w:pPr>
        <w:sectPr>
          <w:pgSz w:w="11900" w:h="16838" w:orient="portrait"/>
          <w:cols w:equalWidth="0" w:num="2">
            <w:col w:w="6800" w:space="720"/>
            <w:col w:w="3900"/>
          </w:cols>
          <w:pgMar w:left="240" w:top="395" w:right="239" w:bottom="1440" w:gutter="0" w:footer="0" w:header="0"/>
          <w:type w:val="continuous"/>
        </w:sectPr>
      </w:pPr>
    </w:p>
    <w:p>
      <w:pPr>
        <w:jc w:val="center"/>
        <w:ind w:left="7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66" w:lineRule="exact"/>
        <w:rPr>
          <w:sz w:val="24"/>
          <w:szCs w:val="24"/>
          <w:color w:val="auto"/>
        </w:rPr>
      </w:pPr>
    </w:p>
    <w:p>
      <w:pPr>
        <w:sectPr>
          <w:pgSz w:w="11900" w:h="16838" w:orient="portrait"/>
          <w:cols w:equalWidth="0" w:num="2">
            <w:col w:w="6140" w:space="720"/>
            <w:col w:w="4560"/>
          </w:cols>
          <w:pgMar w:left="240" w:top="395"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430 Park Avenue, 8th Floor New York, New York 10022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_________________________</w:t>
      </w:r>
    </w:p>
    <w:p>
      <w:pPr>
        <w:spacing w:after="0" w:line="161" w:lineRule="exact"/>
        <w:rPr>
          <w:sz w:val="24"/>
          <w:szCs w:val="24"/>
          <w:color w:val="auto"/>
        </w:rPr>
      </w:pPr>
    </w:p>
    <w:p>
      <w:pPr>
        <w:jc w:val="both"/>
        <w:ind w:firstLine="28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29" w:lineRule="exact"/>
        <w:rPr>
          <w:sz w:val="24"/>
          <w:szCs w:val="24"/>
          <w:color w:val="auto"/>
        </w:rPr>
      </w:pPr>
    </w:p>
    <w:p>
      <w:pPr>
        <w:jc w:val="both"/>
        <w:ind w:firstLine="28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29" w:lineRule="exact"/>
        <w:rPr>
          <w:sz w:val="24"/>
          <w:szCs w:val="24"/>
          <w:color w:val="auto"/>
        </w:rPr>
      </w:pPr>
    </w:p>
    <w:p>
      <w:pPr>
        <w:jc w:val="both"/>
        <w:ind w:firstLine="28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91" w:lineRule="exact"/>
        <w:rPr>
          <w:sz w:val="24"/>
          <w:szCs w:val="24"/>
          <w:color w:val="auto"/>
        </w:rPr>
      </w:pPr>
    </w:p>
    <w:tbl>
      <w:tblPr>
        <w:tblLayout w:type="fixed"/>
        <w:tblInd w:w="2180" w:type="dxa"/>
        <w:tblCellMar>
          <w:top w:w="0" w:type="dxa"/>
          <w:left w:w="0" w:type="dxa"/>
          <w:bottom w:w="0" w:type="dxa"/>
          <w:right w:w="0" w:type="dxa"/>
        </w:tblCellMar>
      </w:tblPr>
      <w:tr>
        <w:trPr>
          <w:trHeight w:val="206"/>
        </w:trPr>
        <w:tc>
          <w:tcPr>
            <w:tcW w:w="17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340" w:type="dxa"/>
            <w:vAlign w:val="bottom"/>
          </w:tcPr>
          <w:p>
            <w:pPr>
              <w:ind w:left="280"/>
              <w:spacing w:after="0"/>
              <w:rPr>
                <w:sz w:val="20"/>
                <w:szCs w:val="20"/>
                <w:color w:val="auto"/>
              </w:rPr>
            </w:pPr>
            <w:r>
              <w:rPr>
                <w:rFonts w:ascii="Arial" w:cs="Arial" w:eastAsia="Arial" w:hAnsi="Arial"/>
                <w:sz w:val="16"/>
                <w:szCs w:val="16"/>
                <w:color w:val="auto"/>
              </w:rPr>
              <w:t>o</w:t>
            </w:r>
          </w:p>
        </w:tc>
        <w:tc>
          <w:tcPr>
            <w:tcW w:w="3220" w:type="dxa"/>
            <w:vAlign w:val="bottom"/>
          </w:tcPr>
          <w:p>
            <w:pPr>
              <w:ind w:left="94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o</w:t>
            </w:r>
          </w:p>
        </w:tc>
      </w:tr>
      <w:tr>
        <w:trPr>
          <w:trHeight w:val="275"/>
        </w:trPr>
        <w:tc>
          <w:tcPr>
            <w:tcW w:w="1720" w:type="dxa"/>
            <w:vAlign w:val="bottom"/>
          </w:tcPr>
          <w:p>
            <w:pPr>
              <w:spacing w:after="0"/>
              <w:rPr>
                <w:sz w:val="20"/>
                <w:szCs w:val="20"/>
                <w:color w:val="auto"/>
              </w:rPr>
            </w:pPr>
            <w:r>
              <w:rPr>
                <w:rFonts w:ascii="Arial" w:cs="Arial" w:eastAsia="Arial" w:hAnsi="Arial"/>
                <w:sz w:val="16"/>
                <w:szCs w:val="16"/>
                <w:color w:val="auto"/>
              </w:rPr>
              <w:t>Non-accelerated filer</w:t>
            </w:r>
          </w:p>
        </w:tc>
        <w:tc>
          <w:tcPr>
            <w:tcW w:w="13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94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o</w:t>
            </w:r>
          </w:p>
        </w:tc>
      </w:tr>
      <w:tr>
        <w:trPr>
          <w:trHeight w:val="252"/>
        </w:trPr>
        <w:tc>
          <w:tcPr>
            <w:tcW w:w="1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220" w:type="dxa"/>
            <w:vAlign w:val="bottom"/>
          </w:tcPr>
          <w:p>
            <w:pPr>
              <w:ind w:left="94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o</w:t>
            </w:r>
          </w:p>
        </w:tc>
      </w:tr>
    </w:tbl>
    <w:p>
      <w:pPr>
        <w:spacing w:after="0" w:line="185" w:lineRule="exact"/>
        <w:rPr>
          <w:sz w:val="24"/>
          <w:szCs w:val="24"/>
          <w:color w:val="auto"/>
        </w:rPr>
      </w:pPr>
    </w:p>
    <w:p>
      <w:pPr>
        <w:ind w:firstLine="28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9" w:lineRule="exact"/>
        <w:rPr>
          <w:sz w:val="24"/>
          <w:szCs w:val="24"/>
          <w:color w:val="auto"/>
        </w:rPr>
      </w:pPr>
    </w:p>
    <w:p>
      <w:pPr>
        <w:ind w:left="300" w:right="262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31, 2018, the registrant had 370,229,491 shares of its $0.01 par value common stock outstanding.</w:t>
      </w:r>
    </w:p>
    <w:p>
      <w:pPr>
        <w:sectPr>
          <w:pgSz w:w="11900" w:h="16838" w:orient="portrait"/>
          <w:cols w:equalWidth="0" w:num="1">
            <w:col w:w="11420"/>
          </w:cols>
          <w:pgMar w:left="240" w:top="395"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QUARTER ENDED SEPTEMBER 30, 2018</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gridSpan w:val="5"/>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80" w:type="dxa"/>
            <w:vAlign w:val="bottom"/>
            <w:gridSpan w:val="4"/>
            <w:vMerge w:val="restart"/>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540" w:type="dxa"/>
            <w:vAlign w:val="bottom"/>
            <w:gridSpan w:val="1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80" w:type="dxa"/>
            <w:vAlign w:val="bottom"/>
            <w:gridSpan w:val="4"/>
            <w:vMerge w:val="continue"/>
          </w:tcPr>
          <w:p>
            <w:pPr>
              <w:spacing w:after="0"/>
              <w:rPr>
                <w:sz w:val="15"/>
                <w:szCs w:val="15"/>
                <w:color w:val="auto"/>
              </w:rPr>
            </w:pPr>
          </w:p>
        </w:tc>
        <w:tc>
          <w:tcPr>
            <w:tcW w:w="9540" w:type="dxa"/>
            <w:vAlign w:val="bottom"/>
            <w:gridSpan w:val="19"/>
            <w:vMerge w:val="continue"/>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540" w:type="dxa"/>
            <w:vAlign w:val="bottom"/>
            <w:gridSpan w:val="19"/>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500" w:type="dxa"/>
            <w:vAlign w:val="bottom"/>
            <w:gridSpan w:val="4"/>
            <w:shd w:val="clear" w:color="auto" w:fill="CCEEFF"/>
          </w:tcPr>
          <w:p>
            <w:pPr>
              <w:jc w:val="center"/>
              <w:ind w:left="21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6"/>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VICI Properties Inc.</w:t>
              </w:r>
            </w:hyperlink>
          </w:p>
        </w:tc>
        <w:tc>
          <w:tcPr>
            <w:tcW w:w="7120" w:type="dxa"/>
            <w:vAlign w:val="bottom"/>
            <w:gridSpan w:val="12"/>
          </w:tcPr>
          <w:p>
            <w:pPr>
              <w:spacing w:after="0"/>
              <w:rPr>
                <w:sz w:val="17"/>
                <w:szCs w:val="17"/>
                <w:color w:val="auto"/>
              </w:rPr>
            </w:pPr>
          </w:p>
        </w:tc>
        <w:tc>
          <w:tcPr>
            <w:tcW w:w="500" w:type="dxa"/>
            <w:vAlign w:val="bottom"/>
            <w:gridSpan w:val="4"/>
          </w:tcPr>
          <w:p>
            <w:pPr>
              <w:jc w:val="center"/>
              <w:ind w:left="21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740" w:type="dxa"/>
            <w:vAlign w:val="bottom"/>
            <w:gridSpan w:val="10"/>
            <w:shd w:val="clear" w:color="auto" w:fill="CCEEFF"/>
          </w:tcPr>
          <w:p>
            <w:pPr>
              <w:spacing w:after="0" w:line="202"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September 30, 2018 and December 31, 2017</w:t>
              </w:r>
            </w:hyperlink>
          </w:p>
        </w:tc>
        <w:tc>
          <w:tcPr>
            <w:tcW w:w="3360" w:type="dxa"/>
            <w:vAlign w:val="bottom"/>
            <w:gridSpan w:val="7"/>
            <w:shd w:val="clear" w:color="auto" w:fill="CCEEFF"/>
          </w:tcPr>
          <w:p>
            <w:pPr>
              <w:spacing w:after="0"/>
              <w:rPr>
                <w:sz w:val="17"/>
                <w:szCs w:val="17"/>
                <w:color w:val="auto"/>
              </w:rPr>
            </w:pPr>
          </w:p>
        </w:tc>
        <w:tc>
          <w:tcPr>
            <w:tcW w:w="500" w:type="dxa"/>
            <w:vAlign w:val="bottom"/>
            <w:gridSpan w:val="4"/>
            <w:shd w:val="clear" w:color="auto" w:fill="CCEEFF"/>
          </w:tcPr>
          <w:p>
            <w:pPr>
              <w:jc w:val="center"/>
              <w:ind w:left="21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8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100" w:type="dxa"/>
            <w:vAlign w:val="bottom"/>
            <w:gridSpan w:val="17"/>
          </w:tcPr>
          <w:p>
            <w:pPr>
              <w:spacing w:after="0" w:line="202"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Operations and Comprehensive Income for the Three and Nine Months Ended September 30,</w:t>
              </w:r>
            </w:hyperlink>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2018</w:t>
              </w:r>
            </w:hyperlink>
          </w:p>
        </w:tc>
        <w:tc>
          <w:tcPr>
            <w:tcW w:w="8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gridSpan w:val="4"/>
          </w:tcPr>
          <w:p>
            <w:pPr>
              <w:jc w:val="center"/>
              <w:ind w:left="21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100" w:type="dxa"/>
            <w:vAlign w:val="bottom"/>
            <w:gridSpan w:val="17"/>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Stockholders’ Equity for the Nine Months Ended September 30, 2018</w:t>
              </w:r>
            </w:hyperlink>
          </w:p>
        </w:tc>
        <w:tc>
          <w:tcPr>
            <w:tcW w:w="500" w:type="dxa"/>
            <w:vAlign w:val="bottom"/>
            <w:gridSpan w:val="4"/>
            <w:shd w:val="clear" w:color="auto" w:fill="CCEEFF"/>
          </w:tcPr>
          <w:p>
            <w:pPr>
              <w:jc w:val="center"/>
              <w:ind w:left="21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8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80" w:type="dxa"/>
            <w:vAlign w:val="bottom"/>
            <w:gridSpan w:val="15"/>
          </w:tcPr>
          <w:p>
            <w:pPr>
              <w:spacing w:after="0" w:line="20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 of Cash Flows for the Nine Months Ended September 30, 2018</w:t>
              </w:r>
            </w:hyperlink>
          </w:p>
        </w:tc>
        <w:tc>
          <w:tcPr>
            <w:tcW w:w="2120" w:type="dxa"/>
            <w:vAlign w:val="bottom"/>
            <w:gridSpan w:val="2"/>
          </w:tcPr>
          <w:p>
            <w:pPr>
              <w:spacing w:after="0"/>
              <w:rPr>
                <w:sz w:val="17"/>
                <w:szCs w:val="17"/>
                <w:color w:val="auto"/>
              </w:rPr>
            </w:pPr>
          </w:p>
        </w:tc>
        <w:tc>
          <w:tcPr>
            <w:tcW w:w="500" w:type="dxa"/>
            <w:vAlign w:val="bottom"/>
            <w:gridSpan w:val="4"/>
          </w:tcPr>
          <w:p>
            <w:pPr>
              <w:jc w:val="center"/>
              <w:ind w:left="21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60" w:type="dxa"/>
            <w:vAlign w:val="bottom"/>
            <w:gridSpan w:val="7"/>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5940" w:type="dxa"/>
            <w:vAlign w:val="bottom"/>
            <w:gridSpan w:val="10"/>
            <w:shd w:val="clear" w:color="auto" w:fill="CCEEFF"/>
          </w:tcPr>
          <w:p>
            <w:pPr>
              <w:spacing w:after="0"/>
              <w:rPr>
                <w:sz w:val="17"/>
                <w:szCs w:val="17"/>
                <w:color w:val="auto"/>
              </w:rPr>
            </w:pPr>
          </w:p>
        </w:tc>
        <w:tc>
          <w:tcPr>
            <w:tcW w:w="500" w:type="dxa"/>
            <w:vAlign w:val="bottom"/>
            <w:gridSpan w:val="4"/>
            <w:shd w:val="clear" w:color="auto" w:fill="CCEEFF"/>
          </w:tcPr>
          <w:p>
            <w:pPr>
              <w:jc w:val="center"/>
              <w:ind w:left="21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20" w:type="dxa"/>
            <w:vAlign w:val="bottom"/>
            <w:gridSpan w:val="18"/>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Caesars Entertainment Outdoor (Debtor-in-Possession)</w:t>
              </w:r>
            </w:hyperlink>
          </w:p>
        </w:tc>
        <w:tc>
          <w:tcPr>
            <w:tcW w:w="500" w:type="dxa"/>
            <w:vAlign w:val="bottom"/>
            <w:gridSpan w:val="4"/>
          </w:tcPr>
          <w:p>
            <w:pPr>
              <w:jc w:val="center"/>
              <w:ind w:left="23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100" w:type="dxa"/>
            <w:vAlign w:val="bottom"/>
            <w:gridSpan w:val="17"/>
            <w:shd w:val="clear" w:color="auto" w:fill="CCEEFF"/>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Combined Statements of Operations for the Three and Nine Months Ended September 30, 2017</w:t>
              </w:r>
            </w:hyperlink>
          </w:p>
        </w:tc>
        <w:tc>
          <w:tcPr>
            <w:tcW w:w="500" w:type="dxa"/>
            <w:vAlign w:val="bottom"/>
            <w:gridSpan w:val="4"/>
            <w:shd w:val="clear" w:color="auto" w:fill="CCEEFF"/>
          </w:tcPr>
          <w:p>
            <w:pPr>
              <w:jc w:val="center"/>
              <w:ind w:left="23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8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80" w:type="dxa"/>
            <w:vAlign w:val="bottom"/>
            <w:gridSpan w:val="14"/>
          </w:tcPr>
          <w:p>
            <w:pPr>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Combined Statement of Cash Flows for the Nine Months Ended September 30, 2017</w:t>
              </w:r>
            </w:hyperlink>
          </w:p>
        </w:tc>
        <w:tc>
          <w:tcPr>
            <w:tcW w:w="2220" w:type="dxa"/>
            <w:vAlign w:val="bottom"/>
            <w:gridSpan w:val="3"/>
          </w:tcPr>
          <w:p>
            <w:pPr>
              <w:spacing w:after="0"/>
              <w:rPr>
                <w:sz w:val="17"/>
                <w:szCs w:val="17"/>
                <w:color w:val="auto"/>
              </w:rPr>
            </w:pPr>
          </w:p>
        </w:tc>
        <w:tc>
          <w:tcPr>
            <w:tcW w:w="500" w:type="dxa"/>
            <w:vAlign w:val="bottom"/>
            <w:gridSpan w:val="4"/>
          </w:tcPr>
          <w:p>
            <w:pPr>
              <w:jc w:val="center"/>
              <w:ind w:left="230"/>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960" w:type="dxa"/>
            <w:vAlign w:val="bottom"/>
            <w:gridSpan w:val="6"/>
            <w:shd w:val="clear" w:color="auto" w:fill="CCEEFF"/>
          </w:tcPr>
          <w:p>
            <w:pPr>
              <w:spacing w:after="0" w:line="20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Notes to Combined Financial Statements</w:t>
              </w:r>
            </w:hyperlink>
          </w:p>
        </w:tc>
        <w:tc>
          <w:tcPr>
            <w:tcW w:w="6140" w:type="dxa"/>
            <w:vAlign w:val="bottom"/>
            <w:gridSpan w:val="11"/>
            <w:shd w:val="clear" w:color="auto" w:fill="CCEEFF"/>
          </w:tcPr>
          <w:p>
            <w:pPr>
              <w:spacing w:after="0"/>
              <w:rPr>
                <w:sz w:val="17"/>
                <w:szCs w:val="17"/>
                <w:color w:val="auto"/>
              </w:rPr>
            </w:pPr>
          </w:p>
        </w:tc>
        <w:tc>
          <w:tcPr>
            <w:tcW w:w="500" w:type="dxa"/>
            <w:vAlign w:val="bottom"/>
            <w:gridSpan w:val="4"/>
            <w:shd w:val="clear" w:color="auto" w:fill="CCEEFF"/>
          </w:tcPr>
          <w:p>
            <w:pPr>
              <w:jc w:val="center"/>
              <w:ind w:left="230"/>
              <w:spacing w:after="0" w:line="20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4"/>
          </w:tcPr>
          <w:p>
            <w:pPr>
              <w:ind w:left="40"/>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9540" w:type="dxa"/>
            <w:vAlign w:val="bottom"/>
            <w:gridSpan w:val="19"/>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500" w:type="dxa"/>
            <w:vAlign w:val="bottom"/>
            <w:gridSpan w:val="4"/>
          </w:tcPr>
          <w:p>
            <w:pPr>
              <w:jc w:val="center"/>
              <w:ind w:left="230"/>
              <w:spacing w:after="0" w:line="20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9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9540" w:type="dxa"/>
            <w:vAlign w:val="bottom"/>
            <w:gridSpan w:val="19"/>
            <w:shd w:val="clear" w:color="auto" w:fill="CCEEFF"/>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500" w:type="dxa"/>
            <w:vAlign w:val="bottom"/>
            <w:gridSpan w:val="4"/>
            <w:shd w:val="clear" w:color="auto" w:fill="CCEEFF"/>
          </w:tcPr>
          <w:p>
            <w:pPr>
              <w:jc w:val="center"/>
              <w:ind w:left="23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4"/>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4.</w:t>
              </w:r>
            </w:hyperlink>
          </w:p>
        </w:tc>
        <w:tc>
          <w:tcPr>
            <w:tcW w:w="9540" w:type="dxa"/>
            <w:vAlign w:val="bottom"/>
            <w:gridSpan w:val="19"/>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Controls and Procedures</w:t>
              </w:r>
            </w:hyperlink>
          </w:p>
        </w:tc>
        <w:tc>
          <w:tcPr>
            <w:tcW w:w="500" w:type="dxa"/>
            <w:vAlign w:val="bottom"/>
            <w:gridSpan w:val="4"/>
          </w:tcPr>
          <w:p>
            <w:pPr>
              <w:jc w:val="center"/>
              <w:ind w:left="230"/>
              <w:spacing w:after="0" w:line="20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40</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gridSpan w:val="7"/>
          </w:tcPr>
          <w:p>
            <w:pPr>
              <w:ind w:left="40"/>
              <w:spacing w:after="0" w:line="20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w:t>
              </w:r>
            </w:hyperlink>
          </w:p>
        </w:tc>
        <w:tc>
          <w:tcPr>
            <w:tcW w:w="4460" w:type="dxa"/>
            <w:vAlign w:val="bottom"/>
            <w:gridSpan w:val="9"/>
          </w:tcPr>
          <w:p>
            <w:pPr>
              <w:spacing w:after="0" w:line="202"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OTHER INFORMATION</w:t>
              </w:r>
            </w:hyperlink>
          </w:p>
        </w:tc>
        <w:tc>
          <w:tcPr>
            <w:tcW w:w="5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1.</w:t>
              </w:r>
            </w:hyperlink>
          </w:p>
        </w:tc>
        <w:tc>
          <w:tcPr>
            <w:tcW w:w="4460" w:type="dxa"/>
            <w:vAlign w:val="bottom"/>
            <w:gridSpan w:val="9"/>
            <w:shd w:val="clear" w:color="auto" w:fill="CCEEFF"/>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558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1A.</w:t>
              </w:r>
            </w:hyperlink>
          </w:p>
        </w:tc>
        <w:tc>
          <w:tcPr>
            <w:tcW w:w="4460" w:type="dxa"/>
            <w:vAlign w:val="bottom"/>
            <w:gridSpan w:val="9"/>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Risk Factors</w:t>
              </w:r>
            </w:hyperlink>
          </w:p>
        </w:tc>
        <w:tc>
          <w:tcPr>
            <w:tcW w:w="5580" w:type="dxa"/>
            <w:vAlign w:val="bottom"/>
            <w:gridSpan w:val="2"/>
          </w:tcPr>
          <w:p>
            <w:pPr>
              <w:jc w:val="right"/>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2.</w:t>
              </w:r>
            </w:hyperlink>
          </w:p>
        </w:tc>
        <w:tc>
          <w:tcPr>
            <w:tcW w:w="4460" w:type="dxa"/>
            <w:vAlign w:val="bottom"/>
            <w:gridSpan w:val="9"/>
            <w:shd w:val="clear" w:color="auto" w:fill="CCEEFF"/>
          </w:tcPr>
          <w:p>
            <w:pPr>
              <w:spacing w:after="0" w:line="202"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Unregistered Sales of Equity Securities and Use of Proceeds</w:t>
              </w:r>
            </w:hyperlink>
          </w:p>
        </w:tc>
        <w:tc>
          <w:tcPr>
            <w:tcW w:w="558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4460" w:type="dxa"/>
            <w:vAlign w:val="bottom"/>
            <w:gridSpan w:val="9"/>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5580" w:type="dxa"/>
            <w:vAlign w:val="bottom"/>
            <w:gridSpan w:val="2"/>
          </w:tcPr>
          <w:p>
            <w:pPr>
              <w:jc w:val="right"/>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4460" w:type="dxa"/>
            <w:vAlign w:val="bottom"/>
            <w:gridSpan w:val="9"/>
            <w:shd w:val="clear" w:color="auto" w:fill="CCEEFF"/>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558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3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Item 5</w:t>
              </w:r>
            </w:hyperlink>
            <w:r>
              <w:rPr>
                <w:rFonts w:ascii="Arial" w:cs="Arial" w:eastAsia="Arial" w:hAnsi="Arial"/>
                <w:sz w:val="18"/>
                <w:szCs w:val="18"/>
                <w:color w:val="000000"/>
              </w:rPr>
              <w:t>.</w:t>
            </w:r>
          </w:p>
        </w:tc>
        <w:tc>
          <w:tcPr>
            <w:tcW w:w="4460" w:type="dxa"/>
            <w:vAlign w:val="bottom"/>
            <w:gridSpan w:val="9"/>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5580" w:type="dxa"/>
            <w:vAlign w:val="bottom"/>
            <w:gridSpan w:val="2"/>
          </w:tcPr>
          <w:p>
            <w:pPr>
              <w:jc w:val="right"/>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3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r>
      <w:tr>
        <w:trPr>
          <w:trHeight w:val="250"/>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Item 6.</w:t>
              </w:r>
            </w:hyperlink>
          </w:p>
        </w:tc>
        <w:tc>
          <w:tcPr>
            <w:tcW w:w="4460" w:type="dxa"/>
            <w:vAlign w:val="bottom"/>
            <w:gridSpan w:val="9"/>
            <w:shd w:val="clear" w:color="auto" w:fill="CCEEFF"/>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558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30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40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r>
        <w:trPr>
          <w:trHeight w:val="250"/>
        </w:trPr>
        <w:tc>
          <w:tcPr>
            <w:tcW w:w="1080" w:type="dxa"/>
            <w:vAlign w:val="bottom"/>
            <w:gridSpan w:val="7"/>
            <w:shd w:val="clear" w:color="auto" w:fill="CCEEFF"/>
          </w:tcPr>
          <w:p>
            <w:pPr>
              <w:ind w:left="40"/>
              <w:spacing w:after="0" w:line="202"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Signatures</w:t>
              </w:r>
            </w:hyperlink>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58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c>
          <w:tcPr>
            <w:tcW w:w="300" w:type="dxa"/>
            <w:vAlign w:val="bottom"/>
            <w:shd w:val="clear" w:color="auto" w:fill="CCEEFF"/>
          </w:tcPr>
          <w:p>
            <w:pPr>
              <w:spacing w:after="0"/>
              <w:rPr>
                <w:sz w:val="21"/>
                <w:szCs w:val="21"/>
                <w:color w:val="auto"/>
              </w:rPr>
            </w:pPr>
          </w:p>
        </w:tc>
      </w:tr>
      <w:tr>
        <w:trPr>
          <w:trHeight w:val="675"/>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400" w:type="dxa"/>
            <w:vAlign w:val="bottom"/>
            <w:tcBorders>
              <w:top w:val="single" w:sz="8" w:color="CCEEFF"/>
            </w:tcBorders>
          </w:tcPr>
          <w:p>
            <w:pPr>
              <w:jc w:val="right"/>
              <w:ind w:right="5090"/>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PART I</w:t>
      </w:r>
      <w:r>
        <w:rPr>
          <w:sz w:val="20"/>
          <w:szCs w:val="20"/>
          <w:color w:val="auto"/>
        </w:rPr>
        <w:tab/>
      </w:r>
      <w:r>
        <w:rPr>
          <w:rFonts w:ascii="Arial" w:cs="Arial" w:eastAsia="Arial" w:hAnsi="Arial"/>
          <w:sz w:val="22"/>
          <w:szCs w:val="22"/>
          <w:b w:val="1"/>
          <w:bCs w:val="1"/>
          <w:color w:val="auto"/>
        </w:rPr>
        <w:t>FINANCIAL INFORMATION</w:t>
      </w:r>
    </w:p>
    <w:p>
      <w:pPr>
        <w:spacing w:after="0" w:line="2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2018</w:t>
            </w:r>
          </w:p>
        </w:tc>
        <w:tc>
          <w:tcPr>
            <w:tcW w:w="26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6"/>
                <w:szCs w:val="16"/>
                <w:b w:val="1"/>
                <w:bCs w:val="1"/>
                <w:color w:val="auto"/>
                <w:w w:val="97"/>
              </w:rPr>
              <w:t>December 31, 2017</w:t>
            </w:r>
          </w:p>
        </w:tc>
      </w:tr>
      <w:tr>
        <w:trPr>
          <w:trHeight w:val="33"/>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Real estate portfolio:</w:t>
            </w: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Investments in direct financing leases,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8,815,557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8,268,643</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Investments in operating leases</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1,075,691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1,110,400</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Property and equipment used in operations, net</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72,287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74,300</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183,646</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13,760</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320,676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43,220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15,363</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10,568,501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9,739,712</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311"/>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Debt,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4,121,153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4,785,756</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21,595</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financing liability</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73,600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73,600</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68,117</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Dividends payable</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106,356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10,562</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3,718</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4,361,228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4,963,348</w:t>
            </w:r>
          </w:p>
        </w:tc>
      </w:tr>
      <w:tr>
        <w:trPr>
          <w:trHeight w:val="264"/>
        </w:trPr>
        <w:tc>
          <w:tcPr>
            <w:tcW w:w="72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Commitments and contingencies (Note 11)</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70"/>
        </w:trPr>
        <w:tc>
          <w:tcPr>
            <w:tcW w:w="7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29"/>
        </w:trPr>
        <w:tc>
          <w:tcPr>
            <w:tcW w:w="7200" w:type="dxa"/>
            <w:vAlign w:val="bottom"/>
          </w:tcPr>
          <w:p>
            <w:pPr>
              <w:ind w:left="280"/>
              <w:spacing w:after="0"/>
              <w:rPr>
                <w:sz w:val="20"/>
                <w:szCs w:val="20"/>
                <w:color w:val="auto"/>
              </w:rPr>
            </w:pPr>
            <w:r>
              <w:rPr>
                <w:rFonts w:ascii="Arial" w:cs="Arial" w:eastAsia="Arial" w:hAnsi="Arial"/>
                <w:sz w:val="18"/>
                <w:szCs w:val="18"/>
                <w:color w:val="auto"/>
              </w:rPr>
              <w:t>Common stock, $0.01 par value, 700,000,000 shares authorized and 370,228,468 and</w:t>
            </w: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7200" w:type="dxa"/>
            <w:vAlign w:val="bottom"/>
          </w:tcPr>
          <w:p>
            <w:pPr>
              <w:ind w:left="280"/>
              <w:spacing w:after="0"/>
              <w:rPr>
                <w:sz w:val="20"/>
                <w:szCs w:val="20"/>
                <w:color w:val="auto"/>
              </w:rPr>
            </w:pPr>
            <w:r>
              <w:rPr>
                <w:rFonts w:ascii="Arial" w:cs="Arial" w:eastAsia="Arial" w:hAnsi="Arial"/>
                <w:sz w:val="18"/>
                <w:szCs w:val="18"/>
                <w:color w:val="auto"/>
                <w:w w:val="93"/>
              </w:rPr>
              <w:t>300,278,938 shares issued and outstanding at September 30, 2018 and December 31, 2017,</w:t>
            </w: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720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3,702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3,003</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5,953,726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4,645,824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42,662</w:t>
            </w:r>
          </w:p>
        </w:tc>
      </w:tr>
      <w:tr>
        <w:trPr>
          <w:trHeight w:val="237"/>
        </w:trPr>
        <w:tc>
          <w:tcPr>
            <w:tcW w:w="7200" w:type="dxa"/>
            <w:vAlign w:val="bottom"/>
          </w:tcPr>
          <w:p>
            <w:pPr>
              <w:ind w:left="540"/>
              <w:spacing w:after="0"/>
              <w:rPr>
                <w:sz w:val="20"/>
                <w:szCs w:val="20"/>
                <w:color w:val="auto"/>
              </w:rPr>
            </w:pPr>
            <w:r>
              <w:rPr>
                <w:rFonts w:ascii="Arial" w:cs="Arial" w:eastAsia="Arial" w:hAnsi="Arial"/>
                <w:sz w:val="18"/>
                <w:szCs w:val="18"/>
                <w:color w:val="auto"/>
              </w:rPr>
              <w:t>Total VICI stockholders’ equity</w:t>
            </w: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6,123,808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4,691,489</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84,875</w:t>
            </w:r>
          </w:p>
        </w:tc>
      </w:tr>
      <w:tr>
        <w:trPr>
          <w:trHeight w:val="237"/>
        </w:trPr>
        <w:tc>
          <w:tcPr>
            <w:tcW w:w="7200" w:type="dxa"/>
            <w:vAlign w:val="bottom"/>
          </w:tcPr>
          <w:p>
            <w:pPr>
              <w:ind w:left="5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6,207,273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4,776,364</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10,568,501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9,739,712</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287"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87"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240" w:type="dxa"/>
            <w:vAlign w:val="bottom"/>
          </w:tcPr>
          <w:p>
            <w:pPr>
              <w:spacing w:after="0"/>
              <w:rPr>
                <w:sz w:val="17"/>
                <w:szCs w:val="17"/>
                <w:color w:val="auto"/>
              </w:rPr>
            </w:pPr>
          </w:p>
        </w:tc>
        <w:tc>
          <w:tcPr>
            <w:tcW w:w="182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Nine Months Ended</w:t>
            </w:r>
          </w:p>
        </w:tc>
      </w:tr>
      <w:tr>
        <w:trPr>
          <w:trHeight w:val="210"/>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2018</w:t>
            </w:r>
          </w:p>
        </w:tc>
        <w:tc>
          <w:tcPr>
            <w:tcW w:w="240" w:type="dxa"/>
            <w:vAlign w:val="bottom"/>
          </w:tcPr>
          <w:p>
            <w:pPr>
              <w:spacing w:after="0"/>
              <w:rPr>
                <w:sz w:val="18"/>
                <w:szCs w:val="18"/>
                <w:color w:val="auto"/>
              </w:rPr>
            </w:pPr>
          </w:p>
        </w:tc>
        <w:tc>
          <w:tcPr>
            <w:tcW w:w="182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September 30, 2018</w:t>
            </w:r>
          </w:p>
        </w:tc>
      </w:tr>
      <w:tr>
        <w:trPr>
          <w:trHeight w:val="33"/>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Income from direct financing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189,938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554,293</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operating leases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36,627</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Tenant reimbursement of property taxes</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25,147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61,322</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Golf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19,696</w:t>
            </w:r>
          </w:p>
        </w:tc>
      </w:tr>
      <w:tr>
        <w:trPr>
          <w:trHeight w:val="237"/>
        </w:trPr>
        <w:tc>
          <w:tcPr>
            <w:tcW w:w="7200" w:type="dxa"/>
            <w:vAlign w:val="bottom"/>
          </w:tcPr>
          <w:p>
            <w:pPr>
              <w:ind w:left="5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232,687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671,938</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318"/>
        </w:trPr>
        <w:tc>
          <w:tcPr>
            <w:tcW w:w="7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20,145</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2,757</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taxes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61,598</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Golf operations</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4,223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12,832</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impairment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12,334</w:t>
            </w:r>
          </w:p>
        </w:tc>
      </w:tr>
      <w:tr>
        <w:trPr>
          <w:trHeight w:val="237"/>
        </w:trPr>
        <w:tc>
          <w:tcPr>
            <w:tcW w:w="720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48,587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109,666</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562,272</w:t>
            </w:r>
          </w:p>
        </w:tc>
      </w:tr>
      <w:tr>
        <w:trPr>
          <w:trHeight w:val="324"/>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(158,365)</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7,504</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extinguishment of debt</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(23,040)</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132,076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388,371</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132,024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387,487</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r>
      <w:tr>
        <w:trPr>
          <w:trHeight w:val="29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129,912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381,078</w:t>
            </w:r>
          </w:p>
        </w:tc>
      </w:tr>
      <w:tr>
        <w:trPr>
          <w:trHeight w:val="311"/>
        </w:trPr>
        <w:tc>
          <w:tcPr>
            <w:tcW w:w="7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Net income per common share</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1.06</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97"/>
        </w:trPr>
        <w:tc>
          <w:tcPr>
            <w:tcW w:w="7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Dividends declared per common share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0.2875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0.7100</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97"/>
        </w:trPr>
        <w:tc>
          <w:tcPr>
            <w:tcW w:w="7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Weighted average number of common shares outstanding</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369,935,055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360,997,358</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370,127,185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361,042,203</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324"/>
        </w:trPr>
        <w:tc>
          <w:tcPr>
            <w:tcW w:w="7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381,078</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Unrealized gain on cash flow hedges</w:t>
            </w:r>
          </w:p>
        </w:tc>
        <w:tc>
          <w:tcPr>
            <w:tcW w:w="20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10,105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5,465</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common stockholders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140,017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386,543</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287" w:right="239" w:bottom="435"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87" w:right="239" w:bottom="435"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 OF STOCKHOLDERS’ EQUITY</w:t>
      </w:r>
    </w:p>
    <w:p>
      <w:pPr>
        <w:ind w:left="5040"/>
        <w:spacing w:after="0"/>
        <w:rPr>
          <w:sz w:val="20"/>
          <w:szCs w:val="20"/>
          <w:color w:val="auto"/>
        </w:rPr>
      </w:pPr>
      <w:r>
        <w:rPr>
          <w:rFonts w:ascii="Arial" w:cs="Arial" w:eastAsia="Arial" w:hAnsi="Arial"/>
          <w:sz w:val="20"/>
          <w:szCs w:val="20"/>
          <w:b w:val="1"/>
          <w:bCs w:val="1"/>
          <w:color w:val="auto"/>
        </w:rPr>
        <w:t>(UNAUDITED)</w:t>
      </w:r>
    </w:p>
    <w:p>
      <w:pPr>
        <w:ind w:left="510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Additional Paid-</w:t>
            </w:r>
          </w:p>
        </w:tc>
        <w:tc>
          <w:tcPr>
            <w:tcW w:w="15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VICI</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080" w:type="dxa"/>
            <w:vAlign w:val="bottom"/>
          </w:tcPr>
          <w:p>
            <w:pPr>
              <w:jc w:val="center"/>
              <w:ind w:right="8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2"/>
                <w:szCs w:val="12"/>
                <w:color w:val="auto"/>
              </w:rPr>
            </w:pPr>
          </w:p>
        </w:tc>
        <w:tc>
          <w:tcPr>
            <w:tcW w:w="10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4,645,824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42,662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4,691,489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84,875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4,776,364</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381,078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381,078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6,409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387,487</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common stock from Initial</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Public Offering</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1,306,424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1,307,119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1,307,119</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(7,819)</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(262,825)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(262,825)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(262,825)</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1,478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1,482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 on cash flow hedges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5,465</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6"/>
                <w:szCs w:val="16"/>
                <w:color w:val="auto"/>
              </w:rPr>
              <w:t>Balance as of September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3,702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5,953,726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160,915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6,123,808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83,465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6,207,273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7"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ind w:left="2900"/>
        <w:spacing w:after="0"/>
        <w:rPr>
          <w:sz w:val="20"/>
          <w:szCs w:val="20"/>
          <w:color w:val="auto"/>
        </w:rPr>
      </w:pPr>
      <w:r>
        <w:rPr>
          <w:rFonts w:ascii="Arial" w:cs="Arial" w:eastAsia="Arial" w:hAnsi="Arial"/>
          <w:sz w:val="20"/>
          <w:szCs w:val="20"/>
          <w:b w:val="1"/>
          <w:bCs w:val="1"/>
          <w:color w:val="auto"/>
        </w:rPr>
        <w:t>VICI PROPERTIES INC.</w:t>
      </w:r>
    </w:p>
    <w:p>
      <w:pPr>
        <w:jc w:val="center"/>
        <w:ind w:left="2900"/>
        <w:spacing w:after="0"/>
        <w:rPr>
          <w:sz w:val="20"/>
          <w:szCs w:val="20"/>
          <w:color w:val="auto"/>
        </w:rPr>
      </w:pPr>
      <w:r>
        <w:rPr>
          <w:rFonts w:ascii="Arial" w:cs="Arial" w:eastAsia="Arial" w:hAnsi="Arial"/>
          <w:sz w:val="19"/>
          <w:szCs w:val="19"/>
          <w:b w:val="1"/>
          <w:bCs w:val="1"/>
          <w:color w:val="auto"/>
        </w:rPr>
        <w:t>CONSOLIDATED STATEMENT OF CASH FLOWS</w:t>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(UNAUDITED)</w:t>
      </w:r>
    </w:p>
    <w:p>
      <w:pPr>
        <w:ind w:left="5100"/>
        <w:spacing w:after="0"/>
        <w:rPr>
          <w:sz w:val="20"/>
          <w:szCs w:val="20"/>
          <w:color w:val="auto"/>
        </w:rPr>
      </w:pPr>
      <w:r>
        <w:rPr>
          <w:rFonts w:ascii="Arial" w:cs="Arial" w:eastAsia="Arial" w:hAnsi="Arial"/>
          <w:sz w:val="20"/>
          <w:szCs w:val="20"/>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635000</wp:posOffset>
            </wp:positionV>
            <wp:extent cx="723773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flows from operating activities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Adjustments to reconcile net income to cash flows provided by operating activities: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Direct financing lease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of debt issuance costs and original issue discount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Loss on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Loss on extinguishment of debt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revenue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18034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220980</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flows from investing activities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Investments in direct 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Deferred transaction costs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Investments in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Maturities of short-term investments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Proceeds from sale of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Acquisition of property and equipment, net of change in related payables</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Proceeds from initial public offering of common stock</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Term Loan B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Revolving Credit Facility</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Second Lien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Debt issuance costs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Distributions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Dividends paid</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cash equivalents and restricted cash, beginning of period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197485"/>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377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paid for interest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paid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non-cash investing and financing activity:</w:t>
      </w:r>
    </w:p>
    <w:p>
      <w:pPr>
        <w:spacing w:after="0" w:line="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Dividends declared, not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377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Transfer of investments in operating leases to land</w:t>
      </w:r>
    </w:p>
    <w:p>
      <w:pPr>
        <w:spacing w:after="0" w:line="198"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920" w:type="dxa"/>
            <w:vAlign w:val="bottom"/>
          </w:tcPr>
          <w:p>
            <w:pPr>
              <w:jc w:val="right"/>
              <w:ind w:right="31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240" w:type="dxa"/>
            <w:vAlign w:val="bottom"/>
          </w:tcPr>
          <w:p>
            <w:pPr>
              <w:spacing w:after="0"/>
              <w:rPr>
                <w:sz w:val="18"/>
                <w:szCs w:val="18"/>
                <w:color w:val="auto"/>
              </w:rPr>
            </w:pPr>
          </w:p>
        </w:tc>
        <w:tc>
          <w:tcPr>
            <w:tcW w:w="1920" w:type="dxa"/>
            <w:vAlign w:val="bottom"/>
          </w:tcPr>
          <w:p>
            <w:pPr>
              <w:jc w:val="right"/>
              <w:ind w:right="310"/>
              <w:spacing w:after="0"/>
              <w:rPr>
                <w:sz w:val="20"/>
                <w:szCs w:val="20"/>
                <w:color w:val="auto"/>
              </w:rPr>
            </w:pPr>
            <w:r>
              <w:rPr>
                <w:rFonts w:ascii="Arial" w:cs="Arial" w:eastAsia="Arial" w:hAnsi="Arial"/>
                <w:sz w:val="16"/>
                <w:szCs w:val="16"/>
                <w:b w:val="1"/>
                <w:bCs w:val="1"/>
                <w:color w:val="auto"/>
              </w:rPr>
              <w:t>September 30, 2018</w:t>
            </w:r>
          </w:p>
        </w:tc>
      </w:tr>
      <w:tr>
        <w:trPr>
          <w:trHeight w:val="33"/>
        </w:trPr>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507"/>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387,487</w:t>
            </w:r>
          </w:p>
        </w:tc>
      </w:tr>
      <w:tr>
        <w:trPr>
          <w:trHeight w:val="540"/>
        </w:trPr>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(39,119)</w:t>
            </w:r>
          </w:p>
        </w:tc>
      </w:tr>
      <w:tr>
        <w:trPr>
          <w:trHeight w:val="270"/>
        </w:trPr>
        <w:tc>
          <w:tcPr>
            <w:tcW w:w="240" w:type="dxa"/>
            <w:vAlign w:val="bottom"/>
          </w:tcPr>
          <w:p>
            <w:pPr>
              <w:spacing w:after="0"/>
              <w:rPr>
                <w:sz w:val="23"/>
                <w:szCs w:val="23"/>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1,482</w:t>
            </w:r>
          </w:p>
        </w:tc>
      </w:tr>
      <w:tr>
        <w:trPr>
          <w:trHeight w:val="270"/>
        </w:trPr>
        <w:tc>
          <w:tcPr>
            <w:tcW w:w="240" w:type="dxa"/>
            <w:vAlign w:val="bottom"/>
          </w:tcPr>
          <w:p>
            <w:pPr>
              <w:spacing w:after="0"/>
              <w:rPr>
                <w:sz w:val="23"/>
                <w:szCs w:val="23"/>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2,757</w:t>
            </w:r>
          </w:p>
        </w:tc>
      </w:tr>
      <w:tr>
        <w:trPr>
          <w:trHeight w:val="270"/>
        </w:trPr>
        <w:tc>
          <w:tcPr>
            <w:tcW w:w="240" w:type="dxa"/>
            <w:vAlign w:val="bottom"/>
          </w:tcPr>
          <w:p>
            <w:pPr>
              <w:spacing w:after="0"/>
              <w:rPr>
                <w:sz w:val="23"/>
                <w:szCs w:val="23"/>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4,477</w:t>
            </w:r>
          </w:p>
        </w:tc>
      </w:tr>
      <w:tr>
        <w:trPr>
          <w:trHeight w:val="270"/>
        </w:trPr>
        <w:tc>
          <w:tcPr>
            <w:tcW w:w="240" w:type="dxa"/>
            <w:vAlign w:val="bottom"/>
          </w:tcPr>
          <w:p>
            <w:pPr>
              <w:spacing w:after="0"/>
              <w:rPr>
                <w:sz w:val="23"/>
                <w:szCs w:val="23"/>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12,334</w:t>
            </w:r>
          </w:p>
        </w:tc>
      </w:tr>
      <w:tr>
        <w:trPr>
          <w:trHeight w:val="270"/>
        </w:trPr>
        <w:tc>
          <w:tcPr>
            <w:tcW w:w="240" w:type="dxa"/>
            <w:vAlign w:val="bottom"/>
          </w:tcPr>
          <w:p>
            <w:pPr>
              <w:spacing w:after="0"/>
              <w:rPr>
                <w:sz w:val="23"/>
                <w:szCs w:val="23"/>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23,040</w:t>
            </w:r>
          </w:p>
        </w:tc>
      </w:tr>
      <w:tr>
        <w:trPr>
          <w:trHeight w:val="540"/>
        </w:trPr>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(19,609)</w:t>
            </w:r>
          </w:p>
        </w:tc>
      </w:tr>
      <w:tr>
        <w:trPr>
          <w:trHeight w:val="270"/>
        </w:trPr>
        <w:tc>
          <w:tcPr>
            <w:tcW w:w="240" w:type="dxa"/>
            <w:vAlign w:val="bottom"/>
          </w:tcPr>
          <w:p>
            <w:pPr>
              <w:spacing w:after="0"/>
              <w:rPr>
                <w:sz w:val="23"/>
                <w:szCs w:val="23"/>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2,077</w:t>
            </w:r>
          </w:p>
        </w:tc>
      </w:tr>
      <w:tr>
        <w:trPr>
          <w:trHeight w:val="270"/>
        </w:trPr>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(67,416)</w:t>
            </w:r>
          </w:p>
        </w:tc>
      </w:tr>
      <w:tr>
        <w:trPr>
          <w:trHeight w:val="270"/>
        </w:trPr>
        <w:tc>
          <w:tcPr>
            <w:tcW w:w="240" w:type="dxa"/>
            <w:vAlign w:val="bottom"/>
          </w:tcPr>
          <w:p>
            <w:pPr>
              <w:spacing w:after="0"/>
              <w:rPr>
                <w:sz w:val="23"/>
                <w:szCs w:val="23"/>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21,007</w:t>
            </w:r>
          </w:p>
        </w:tc>
      </w:tr>
      <w:tr>
        <w:trPr>
          <w:trHeight w:val="27"/>
        </w:trPr>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328,517</w:t>
            </w:r>
          </w:p>
        </w:tc>
      </w:tr>
      <w:tr>
        <w:trPr>
          <w:trHeight w:val="27"/>
        </w:trPr>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790"/>
        </w:trPr>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(507,795)</w:t>
            </w:r>
          </w:p>
        </w:tc>
      </w:tr>
      <w:tr>
        <w:trPr>
          <w:trHeight w:val="270"/>
        </w:trPr>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(3,442)</w:t>
            </w:r>
          </w:p>
        </w:tc>
      </w:tr>
      <w:tr>
        <w:trPr>
          <w:trHeight w:val="270"/>
        </w:trPr>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(421,434)</w:t>
            </w:r>
          </w:p>
        </w:tc>
      </w:tr>
      <w:tr>
        <w:trPr>
          <w:trHeight w:val="270"/>
        </w:trPr>
        <w:tc>
          <w:tcPr>
            <w:tcW w:w="240" w:type="dxa"/>
            <w:vAlign w:val="bottom"/>
          </w:tcPr>
          <w:p>
            <w:pPr>
              <w:spacing w:after="0"/>
              <w:rPr>
                <w:sz w:val="23"/>
                <w:szCs w:val="23"/>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100,758</w:t>
            </w:r>
          </w:p>
        </w:tc>
      </w:tr>
      <w:tr>
        <w:trPr>
          <w:trHeight w:val="270"/>
        </w:trPr>
        <w:tc>
          <w:tcPr>
            <w:tcW w:w="240" w:type="dxa"/>
            <w:vAlign w:val="bottom"/>
          </w:tcPr>
          <w:p>
            <w:pPr>
              <w:spacing w:after="0"/>
              <w:rPr>
                <w:sz w:val="23"/>
                <w:szCs w:val="23"/>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186</w:t>
            </w:r>
          </w:p>
        </w:tc>
      </w:tr>
      <w:tr>
        <w:trPr>
          <w:trHeight w:val="270"/>
        </w:trPr>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7"/>
        </w:trPr>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(832,471)</w:t>
            </w:r>
          </w:p>
        </w:tc>
      </w:tr>
      <w:tr>
        <w:trPr>
          <w:trHeight w:val="27"/>
        </w:trPr>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790"/>
        </w:trPr>
        <w:tc>
          <w:tcPr>
            <w:tcW w:w="240" w:type="dxa"/>
            <w:vAlign w:val="bottom"/>
          </w:tcPr>
          <w:p>
            <w:pPr>
              <w:spacing w:after="0"/>
              <w:rPr>
                <w:sz w:val="24"/>
                <w:szCs w:val="24"/>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1,307,119</w:t>
            </w:r>
          </w:p>
        </w:tc>
      </w:tr>
      <w:tr>
        <w:trPr>
          <w:trHeight w:val="270"/>
        </w:trPr>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(100,000)</w:t>
            </w:r>
          </w:p>
        </w:tc>
      </w:tr>
      <w:tr>
        <w:trPr>
          <w:trHeight w:val="270"/>
        </w:trPr>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70"/>
        </w:trPr>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(290,058)</w:t>
            </w:r>
          </w:p>
        </w:tc>
      </w:tr>
      <w:tr>
        <w:trPr>
          <w:trHeight w:val="270"/>
        </w:trPr>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(1,117)</w:t>
            </w:r>
          </w:p>
        </w:tc>
      </w:tr>
      <w:tr>
        <w:trPr>
          <w:trHeight w:val="270"/>
        </w:trPr>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(7,819)</w:t>
            </w:r>
          </w:p>
        </w:tc>
      </w:tr>
      <w:tr>
        <w:trPr>
          <w:trHeight w:val="270"/>
        </w:trPr>
        <w:tc>
          <w:tcPr>
            <w:tcW w:w="2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(156,296)</w:t>
            </w:r>
          </w:p>
        </w:tc>
      </w:tr>
      <w:tr>
        <w:trPr>
          <w:trHeight w:val="27"/>
        </w:trPr>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451,829</w:t>
            </w:r>
          </w:p>
        </w:tc>
      </w:tr>
      <w:tr>
        <w:trPr>
          <w:trHeight w:val="27"/>
        </w:trPr>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520"/>
        </w:trPr>
        <w:tc>
          <w:tcPr>
            <w:tcW w:w="24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(52,125)</w:t>
            </w:r>
          </w:p>
        </w:tc>
      </w:tr>
      <w:tr>
        <w:trPr>
          <w:trHeight w:val="270"/>
        </w:trPr>
        <w:tc>
          <w:tcPr>
            <w:tcW w:w="240" w:type="dxa"/>
            <w:vAlign w:val="bottom"/>
          </w:tcPr>
          <w:p>
            <w:pPr>
              <w:spacing w:after="0"/>
              <w:rPr>
                <w:sz w:val="23"/>
                <w:szCs w:val="23"/>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197,406</w:t>
            </w:r>
          </w:p>
        </w:tc>
      </w:tr>
      <w:tr>
        <w:trPr>
          <w:trHeight w:val="27"/>
        </w:trPr>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145,281</w:t>
            </w:r>
          </w:p>
        </w:tc>
      </w:tr>
      <w:tr>
        <w:trPr>
          <w:trHeight w:val="27"/>
        </w:trPr>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777"/>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150,407</w:t>
            </w:r>
          </w:p>
        </w:tc>
      </w:tr>
      <w:tr>
        <w:trPr>
          <w:trHeight w:val="27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1,174</w:t>
            </w:r>
          </w:p>
        </w:tc>
      </w:tr>
      <w:tr>
        <w:trPr>
          <w:trHeight w:val="54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106,356</w:t>
            </w:r>
          </w:p>
        </w:tc>
      </w:tr>
      <w:tr>
        <w:trPr>
          <w:trHeight w:val="27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22,189</w:t>
            </w:r>
          </w:p>
        </w:tc>
      </w:tr>
    </w:tbl>
    <w:p>
      <w:pPr>
        <w:spacing w:after="0" w:line="581" w:lineRule="exact"/>
        <w:rPr>
          <w:sz w:val="20"/>
          <w:szCs w:val="20"/>
          <w:color w:val="auto"/>
        </w:rPr>
      </w:pPr>
    </w:p>
    <w:p>
      <w:pPr>
        <w:sectPr>
          <w:pgSz w:w="11900" w:h="16838" w:orient="portrait"/>
          <w:cols w:equalWidth="0" w:num="2">
            <w:col w:w="8540" w:space="720"/>
            <w:col w:w="2160"/>
          </w:cols>
          <w:pgMar w:left="240" w:top="287" w:right="239" w:bottom="462"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87" w:right="239" w:bottom="462"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these notes, the words ”VICI,” the “Company,” “we,” “our,” and “us” refer to VICI Properties Inc. and its subsidiaries, on a consolidated basis, unless otherwise stated or the context requires otherwise.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“CEOC” refers to Caesars Entertainment Operating Company, Inc., a Delaware corporation, and its subsidiaries, prior to October 6, 2017 (the “Formation Date”), and following the Formation Date, CEOC, LLC, a Delaware limited liability company and its subsidiaries. CEOC is a subsidiary of Caesars.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or “CEC” refers to Caesars Entertainment Corporation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“VICI PropCo” or “PropCo” refers to VICI Properties 1 LLC, a Delaware limited liability company and an indirect wholly-owned subsidiary of VICI.</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“Operating Partnership” refers to VICI Properties L.P., a Delaware limited partnership and a wholly owned subsidiary of VICI.</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“CPLV Lease” refers to the lease agreement for Caesars Palace Las Vegas; “Joliet Lease” refers to the lease agreement for the facilities in Joliet, Illinois; and the “Non-CPLV Lease” refers to the lease agreement for regional properties other than the facilities in Joliet, Illinois (collectively, the “Formation Lease Agreements”); “HLV Lease” refers to the lease agreement for the Harrah’s Las Vegas facilities. “Lease Agreements” refer collectively to the CPLV Lease, the Non-CPLV Lease, the Joliet Lease and the HLV Lease, unless the context otherwise requires.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Basis of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Maryland corporation that is primarily engaged in the business of owning and acquiring gaming, hospitality and entertainment destinations, subject to long-term triple net leases. Our national, geographically diverse portfolio consists of 20 market-leading properties, including Caesars Palace Las Vegas and Harrah’s Las Vegas. We currently lease all of our properties to subsidiaries of Caesars. We also own and operate four championship golf courses located near certain of our properties.</w:t>
      </w:r>
    </w:p>
    <w:p>
      <w:pPr>
        <w:spacing w:after="0" w:line="187"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We have elected to be taxed as a real estate investment trust (“REIT”) for U.S. Federal income tax purposes commencing with our taxable year ended December 31, 2017. We conduct our real property business through our Operating Partnership and our golf course business, through a taxable REIT subsidiary (a “TRS”), VICI Golf LLC (“VICI Golf”).</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consolidated financial statements, including the notes thereto, are unaudited and exclude some of the disclosures and information normally required in audited financial statements.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the disclosures made are adequate to prevent the information presented from being misleading. However, the accompanying unaudited consolidated financial statements and related notes should be read in conjunction with the audited financial statements and notes thereto included in our most recent Annual Report on Form 10-K and as updated from time to time in our other filings with the SEC.</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All adjustments (consisting of normal recurring accruals) considered necessary for a fair statement of results for the interim period have been included.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7"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from these estimates.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and nine months ended September 30, 2018 are not necessarily indicative of the results that may be expected for the year ending December 31,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include our accounts and the accounts of our Operating Partnership, and the subsidiaries in which we or our Operating Partnership has a controlling interest, which includes a single variable interest entity (“VIE”) where we are the primary beneficiary. All intercompany accounts and transactions have been eliminated in consolidation. We consolidate all subsidiaries in which we have a controlling financial interest and VIEs for which we or one of our consolidated subsidiaries is the primary beneficiary.</w:t>
      </w: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non-controlling interest and classify such interest as a component of consolidated stockholders’ equity, separate from VICI stockholders’ equity. Our non-controlling interest represents a 20% third-party ownership of Harrah’s Joliet LandCo LLC, the entity that owns the Harrah’s Joliet facility and is the lessor under the related Joliet Lease.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consists of cash-on-hand and cash-in-bank. Any investments with an original maturity of three months or less from the date of purchase are considered cash equivalents and are stated at the lower of cost or market value. Investments with an original maturity of greater than three months and less than one year from the date of purchase are considered short-term investments and are stated at fair value.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Restricted cash is comprised of funds paid monthly by Caesars for the CPLV rent that are held in a restricted cash management account for the purpose of funding debt service or impositions related to CPLV debt issued by us. Once all debt service and impositions are paid out of restricted cash, the remaining funds are returned to our unrestricted operating account.</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 to the total of the same such amounts presented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7"/>
              </w:rPr>
              <w:t>(In thousands)</w:t>
            </w:r>
          </w:p>
        </w:tc>
        <w:tc>
          <w:tcPr>
            <w:tcW w:w="6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ind w:left="60"/>
              <w:spacing w:after="0"/>
              <w:rPr>
                <w:sz w:val="20"/>
                <w:szCs w:val="20"/>
                <w:color w:val="auto"/>
              </w:rPr>
            </w:pPr>
            <w:r>
              <w:rPr>
                <w:rFonts w:ascii="Arial" w:cs="Arial" w:eastAsia="Arial" w:hAnsi="Arial"/>
                <w:sz w:val="15"/>
                <w:szCs w:val="15"/>
                <w:b w:val="1"/>
                <w:bCs w:val="1"/>
                <w:color w:val="auto"/>
              </w:rPr>
              <w:t>September 30, 2018</w:t>
            </w:r>
          </w:p>
        </w:tc>
        <w:tc>
          <w:tcPr>
            <w:tcW w:w="180" w:type="dxa"/>
            <w:vAlign w:val="bottom"/>
          </w:tcPr>
          <w:p>
            <w:pPr>
              <w:spacing w:after="0"/>
              <w:rPr>
                <w:sz w:val="17"/>
                <w:szCs w:val="17"/>
                <w:color w:val="auto"/>
              </w:rPr>
            </w:pPr>
          </w:p>
        </w:tc>
        <w:tc>
          <w:tcPr>
            <w:tcW w:w="1520" w:type="dxa"/>
            <w:vAlign w:val="bottom"/>
          </w:tcPr>
          <w:p>
            <w:pPr>
              <w:jc w:val="right"/>
              <w:ind w:right="153"/>
              <w:spacing w:after="0"/>
              <w:rPr>
                <w:sz w:val="20"/>
                <w:szCs w:val="20"/>
                <w:color w:val="auto"/>
              </w:rPr>
            </w:pPr>
            <w:r>
              <w:rPr>
                <w:rFonts w:ascii="Arial" w:cs="Arial" w:eastAsia="Arial" w:hAnsi="Arial"/>
                <w:sz w:val="15"/>
                <w:szCs w:val="15"/>
                <w:b w:val="1"/>
                <w:bCs w:val="1"/>
                <w:color w:val="auto"/>
                <w:w w:val="93"/>
              </w:rPr>
              <w:t>December 31, 2017</w:t>
            </w:r>
          </w:p>
        </w:tc>
      </w:tr>
      <w:tr>
        <w:trPr>
          <w:trHeight w:val="48"/>
        </w:trPr>
        <w:tc>
          <w:tcPr>
            <w:tcW w:w="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68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183,646</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13,760</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145,281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197,406</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generally invests its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120 days.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10 </w:t>
      </w:r>
      <w:r>
        <w:rPr>
          <w:rFonts w:ascii="Arial" w:cs="Arial" w:eastAsia="Arial" w:hAnsi="Arial"/>
          <w:sz w:val="10"/>
          <w:szCs w:val="10"/>
          <w:color w:val="auto"/>
        </w:rPr>
        <w:t>-</w:t>
      </w:r>
      <w:r>
        <w:rPr>
          <w:rFonts w:ascii="Arial" w:cs="Arial" w:eastAsia="Arial" w:hAnsi="Arial"/>
          <w:sz w:val="18"/>
          <w:szCs w:val="18"/>
          <w:color w:val="auto"/>
        </w:rPr>
        <w:t xml:space="preserve"> Fair Value for further information.</w:t>
      </w:r>
    </w:p>
    <w:p>
      <w:pPr>
        <w:sectPr>
          <w:pgSz w:w="11900" w:h="16838" w:orient="portrait"/>
          <w:cols w:equalWidth="0" w:num="1">
            <w:col w:w="11420"/>
          </w:cols>
          <w:pgMar w:left="240" w:top="287"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87"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 at fair value.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 quarterly basis, we also assess whether the derivative we designated in each hedging relationship is expected to be, and has been, highly effective in offsetting changes in the value or cash flows of the hedged items.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is recorded in Accumulated other comprehensive income and recognized in earnings when the cash flows that were hedged affect earnings. Changes in the fair value of our derivative instruments that qualify as hedges are reported as a component of Accumulated other comprehensive income on our consolidated financial statements.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derivative instruments to mitigate the effects of interest rate volatility inherent in our variable rate debt, which could unfavorably impact our future earnings and forecasted cash flows. We do not use derivative instruments for speculative or trading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Direct Financing and Operating Leases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lease inception, we assess lease classification under ASC 840 “Leases” (“ASC 840”) to determine if the lease should be classified as capital or operating. If a lease is determined to be a capital lease, we further assess if it is a direct financing or sales-type lease as defined in ASC 840. For leases determined to be direct financing capital leases, upon execution of the lease transaction, the asset is classified to Investments in direct financing leases, net. For direct financing leases where the land represents greater than 25% of the fair value of the underlying asset, the land and building components of the lease are bifurcated and separately assessed for classification.</w:t>
      </w:r>
    </w:p>
    <w:p>
      <w:pPr>
        <w:spacing w:after="0" w:line="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determined that all of our leases meet the definition of direct financing leases under ASC 840, with the exception of the land component of our investment in Caesars Palace Las Vegas and certain parcels of land contained in the Non-CPLV Lease. We recognize the related income from our direct financing leases on an effective interest basis at a constant rate of return over the terms of the applicable leases. As a result, the cash payments accounted for under direct financing leases will not equal income from direct financing leases. Rather, a portion of the cash rent we receive is recorded as Income from direct financing leases in our Statement of Operations and a portion is recorded as a change to the Investments in direct financing leases, net.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Initial direct costs incurred in connection with direct financing lease transactions are included in the balance of Investments in direct financing leases, net.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Such amounts will be recognized as a reduction to Income from direct financing leases over the life of the lease using the effective interest method.</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and when an investment in direct financing leases is identified for impairment evaluation, we will apply the guidance in both ASC 310 “Receivables” (“ASC 310”) and ASC 360 “Property, Plant and Equipment” (“ASC 360”). Under ASC 310, the lease receivable portion of the net investment in direct financing lease is identified for impairment when it becomes probable that we will be unable to collect all rental payments associated with our investment in direct financing leases. Under ASC 360, the residual value portion of the net investment in direct financing leases is monitored for impairment under the same method we apply to real estate investments.</w:t>
      </w:r>
    </w:p>
    <w:p>
      <w:pPr>
        <w:spacing w:after="0" w:line="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operating lease model, as the lessor, at lease inception the land is recorded as Investments in operating leases in our Balance Sheet and we record income from operating leases on a straight-line basis over the lease term. The amount of annual minimum lease payments attributable to the land element after deducting executory costs, including any profit thereon, is determined by applying our incremental borrowing rate to the value of the land. We record this lease income as Income from operating leases in our Statement of Operations. The land is assessed for impairment on a quarterly basis under ASC 360.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7"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real estate holdings (other than VICI Golf ) are currently leased by us to CEOC or other affiliates of Caesars, and most of our revenues are derived from the Lease Agreements that we have with CEOC or other affiliates of Caesars. Other than having a single tenant from which we will derive most of our revenue, we do not believe there are any other significant concentrations of credit risk.</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Recently Issued Accounting Pronouncements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u w:val="single" w:color="auto"/>
          <w:color w:val="auto"/>
        </w:rPr>
        <w:t>Accounting Standard Update (“ASU”) No. 2018-13 -</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Fair Value Measurement (Topic 820) - August 2018:</w:t>
      </w:r>
      <w:r>
        <w:rPr>
          <w:rFonts w:ascii="Arial" w:cs="Arial" w:eastAsia="Arial" w:hAnsi="Arial"/>
          <w:sz w:val="16"/>
          <w:szCs w:val="16"/>
          <w:color w:val="auto"/>
        </w:rPr>
        <w:t xml:space="preserve"> The amendments in the update remove, modify and add certain fair value disclosures as a broader initiative to improve the effectiveness of financial disclosures. The ASU is effective for all entities for fiscal years beginning after December 15, 2019, including interim periods therein. Early adoption is permitted for any eliminated or modified disclosures upon issuance of this ASU. In the current quarter we elected to early adopt this ASU, which resulted in no material changes to our fair value disclosures.</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ASU No. 2017-12 -</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Derivatives and Hedging (Topic 815) - August 2017:</w:t>
      </w:r>
      <w:r>
        <w:rPr>
          <w:rFonts w:ascii="Arial" w:cs="Arial" w:eastAsia="Arial" w:hAnsi="Arial"/>
          <w:sz w:val="18"/>
          <w:szCs w:val="18"/>
          <w:color w:val="auto"/>
        </w:rPr>
        <w:t xml:space="preserve"> The amendments refine and expand hedge accounting for both financial (e.g., interest rate) and commodity risks. Its provisions create more transparency around how economic results are presented, both on the face of the financial statements and in the footnotes. It also makes certain targeted improvements to simplify the application of hedge accounting guidance. The transition guidance provides the option of early adoption using a modified retrospective transition method in any interim period after issuance of the update, or alternatively requires adoption for fiscal years beginning after December 15, 2018. We adopted this guidance in the quarter ended June 30, 2018 in connection with the cash flow hedges that we entered into in April 2018. Since we did not hold any derivatives prior to implementation of this guidance, the adoption had no impact on our Financial Statements.</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ASU No. 2016-02 -</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Leases (Topic 842) - February 2016 (as amended through July 2018):</w:t>
      </w:r>
      <w:r>
        <w:rPr>
          <w:rFonts w:ascii="Arial" w:cs="Arial" w:eastAsia="Arial" w:hAnsi="Arial"/>
          <w:sz w:val="17"/>
          <w:szCs w:val="17"/>
          <w:color w:val="auto"/>
        </w:rPr>
        <w:t xml:space="preserve"> The amended guidance requires most lease obligations to be recognized as a right-of-use asset with a corresponding liability on the balance sheet. The guidance also requires additional qualitative and quantitative disclosures to assess the amount, timing, and uncertainty of cash flows arising from leases. This guidance is effective for fiscal years, and interim periods within those fiscal years, beginning after December 15, 2018. The guidance should be implemented for the earliest period presented using a modified retrospective approach, which includes optional practical expedients primarily focused on leases that commence before the effective date. We plan to elect to use such practical expedients upon adoption on January 1, 2019. We are currently finalizing our evaluation of the impact of adopting this new standard on our Financial Statements but do not expect the adoption of the new guidance to have a material impact on the accounting treatment of our triple-net tenant leases, which are the primary source of our revenues. However, upon adoption we anticipate that certain initial direct costs associated with the execution of lease agreements such as legal fees and transaction costs will no longer be capitalizable and will instead be expensed in the period incurred. Additionally, in relation to certain leases for which we are the lessee, such as the ground lease on the Cascata golf course, upon adoption we will be required to record a right of use asset and corresponding liability on our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Transactions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2018, in reverse chronological order,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Octavius Tower and Harrah’s Philadelphia</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11, 2018, we completed the previously announced transaction with Caesars to acquire, and lease back, all of the land and real estate assets associated with the Octavius Tower at Caesars Palace (“Octavius Tower”) for a purchase price of $507.5 million in cash. Octavius Tower is operated pursuant to a stand-alone lease, which provides for annual rent of $35.0 million payable in equal consecutive monthly installments and has an initial term that expires on October 31, 2032, with four five-year renewal options. In addition, on July 11, 2018, we entered into a definitive agreement to acquire all of the land and real estate assets associated with Harrah’s Philadelphia Casino and Racetrack (“Harrah’s Philadelphia”) from Caesars for $241.5 million, which purchase price will be reduced by $159.0 million to reflect the aggregate net present value of the contemplated modifications to the Lease Agreements, resulting in cash consideration of approximately $82.5 million. In connection with the closing of the acquisition of Harrah’s Philadelphia, each of the Non-CPLV Lease and the CPLV Lease will be amended to, among other things, include Harrah’s Philadelphia and Octavius Tower, respectively, and Caesars will continue to operate both properties under the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7"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terms of such leases as amended. The amendment to the Non-CPLV lease will provide for an additional $21.0 million in annual rent for Harrah’s Philadelphia, which will be subject to the as amended provisions of the lease. The HLV Lease and the Joliet Lease will also be modified at such time to achieve consistency with the other Lease Agreements.</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acquisition of Harrah’s Philadelphia and the entry into the contemplated modifications to the Lease Agreements are expected to close during the fourth quarter of 2018, and are subject to certain customary closing conditions, including obtaining certain regulatory approvals and requisite lender and holder consents under the documents governing certain of our outstanding debt obligations. We can provide no assurances that the acquisition of Harrah’s Philadelphia and the contemplated modifications to the Lease Agreements will be consummated on the terms or timeframe described herein, or at all. Further, the definitive documentation governing these acquisitions contemplates a put right held by us and a call right held by Caesars, pursuant to which Caesars may reacquire Octavius Tower under certain circumstances in the event that the acquisition of Harrah’s Philadelphia is not consummated.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Margaritaville Resort Casino</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18, 2018, we entered into definitive agreements pursuant to which we will acquire the land and real estate assets of the Margaritaville Resort Casino (“Margaritaville”), located in Bossier City, Louisiana, for $261.1 million. Penn National Gaming, Inc. (“Penn National”) will acquire the operating assets of Margaritaville for $114.9 million. Simultaneous with the closing of this transaction, we will enter into a triple-net lease agreement with a subsidiary of Penn National. The lease will have an initial annual rent of $23.2 million and an initial term of 15 years, with four five-year renewal options. The tenant’s obligations under the lease will be guaranteed by Penn National and certain of its subsidiaries. The transaction is subject to regulatory approvals and customary closing conditions and is expected to close in the fourth quarter of 2018. However, we can provide no assurances that the transaction will be consummated on the terms or timeframe described herein, or at 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2017,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Harrah’s Las Vegas Real Estate</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December 2017, we completed a transaction with Caesars, pursuant to which we acquired all of the land and real property improvements associated with the property commonly known as Harrah’s Las Vegas Hotel &amp; Casino (“Harrah’s Las Vegas” or “HLV”) for a purchase price of $1.1 billion.</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closing, we entered into the HLV Lease, whereby Caesars leased back Harrah’s Las Vegas from us. Under the terms of the HLV Lease, Caesars is responsible for ongoing costs relating to the property, including property taxes, insurance, and maintenance and repair costs that arise from the use of the property and are required to continue to invest in the property and related equipment. The HLV Lease has an initial 15-year term with four five-year renewal terms exercisable at the option of the lessee (subject to certain conditions) and provides for a fixed base rent for each of the first seven years of the lease term equal to $87.4 million annually. We accounted for this transaction as a direct financing lease on our Balance Sheet.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Eastside Property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we sold to Caesars approximately 18.4 acres of certain parcels located in Las Vegas, Nevada, east of Harrah’s Las Vegas (“Eastside Property”). The sales price for the Eastside Property was $73.6 million.</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this agreement, Caesars is responsible for the remediation of the flood plain mechanism on the Eastside Property. The costs of the remediation work will be borne fifty percent (50%) by us and fifty percent (50%) by Caesars, </w:t>
      </w:r>
      <w:r>
        <w:rPr>
          <w:rFonts w:ascii="Arial" w:cs="Arial" w:eastAsia="Arial" w:hAnsi="Arial"/>
          <w:sz w:val="18"/>
          <w:szCs w:val="18"/>
          <w:i w:val="1"/>
          <w:iCs w:val="1"/>
          <w:color w:val="auto"/>
        </w:rPr>
        <w:t>pari passu</w:t>
      </w:r>
      <w:r>
        <w:rPr>
          <w:rFonts w:ascii="Arial" w:cs="Arial" w:eastAsia="Arial" w:hAnsi="Arial"/>
          <w:sz w:val="18"/>
          <w:szCs w:val="18"/>
          <w:color w:val="auto"/>
        </w:rPr>
        <w:t>, until such time as the total cost incurred in connection with the remediation work is equal to $12.0 million. Any costs in excess of $12.0 million incurred in connection with the remediation work shall be the sole responsibility of Caesars.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put/call option on the land parcels, as described below, it was determined that the transaction does not meet the requirements of a completed sale for accounting purposes. As a result, at December 31, 2017, we reclassified $73.6 million from Investment in operating leases to Land. Additionally, we recorded a $73.6 million Deferred financing liability on our Balance Sheet.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7"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Put/Call Agreement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Eastside Property may in the future be improved by a convention center (the “Convention Center Property”). Accordingly, we entered into a put/call agreement with Caesars, which provides both parties with certain rights and obligations including: (i) a put right in favor of Caesars, which, if exercised, would result in the sale by Caesars to us and simultaneous leaseback by us to Caesars of the Convention Center Property (the “Put Right”); (ii) if Caesars exercises the Put Right and, among other things, the sale of the Convention Center Property to us does not close for certain reasons more particularly described in the put/call agreement, then a repurchase right in favor of Caesars, which, if exercised, would result in the sale of Harrah’s Las Vegas by us to Caesars; and (iii) a call right in our favor, which, if exercised, would result in the sale by Caesars to us and simultaneous leaseback by us to Caesars of the Convention Center Property.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Right of First Refusal Agreement</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Simultaneously with the sale of the Eastside Property, we also entered into an Amended and Restated Right of First Refusal Agreement with Caesars pursuant to which we will have a right, subject to certain exclusions, (i) to acquire (and lease to Caesars) any of the gaming facilities of Centaur Holdings, LLC, which was acquired by Caesars in the third quarter of 2018, (ii) to acquire (and lease to Caesars) any domestic gaming facilities located outside of the Gaming Enterprise District of Clark County, Nevada, proposed to be acquired or developed by Caesars, and (iii) to acquire certain income-producing improvements if built by Caesars in lieu of a large-scale convention center on the Eastside Property, subject to certain exclusions.</w:t>
      </w:r>
    </w:p>
    <w:p>
      <w:pPr>
        <w:spacing w:after="0" w:line="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Amended and Restated Right of First Refusal Agreement also contains a right of first refusal in favor of Caesars, pursuant to which Caesars will have the right to lease and manage any domestic gaming facility located outside of Greater Las Vegas, proposed to be acquired or developed by us that is not: (i) any asset that is then subject to a pre-existing lease, management agreement or other contractual restriction that was not entered into in contemplation of such acquisition or development and which (x) was entered into on arms’ length terms and (y) would not be terminated upon or prior to closing of such transaction,</w:t>
      </w:r>
    </w:p>
    <w:p>
      <w:pPr>
        <w:spacing w:after="0" w:line="2" w:lineRule="exact"/>
        <w:rPr>
          <w:sz w:val="20"/>
          <w:szCs w:val="20"/>
          <w:color w:val="auto"/>
        </w:rPr>
      </w:pPr>
    </w:p>
    <w:p>
      <w:pPr>
        <w:jc w:val="both"/>
        <w:ind w:firstLine="8"/>
        <w:spacing w:after="0" w:line="254" w:lineRule="auto"/>
        <w:tabs>
          <w:tab w:leader="none" w:pos="279"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for which the opco/propco structure would be prohibited by applicable laws, rules or regulations or which would require governmental consent, approval, license or authorization (unless already received), (iii) any transaction structured by the seller as a sale-leaseback, (iv) any transaction in which we and/or our affiliates will not own at least 50% of, or control, the entity that will own the gaming facility, and (v) any transaction in which we or our affiliates propose to acquire a then-existing gaming facility from ourselves or our affiliates.</w:t>
      </w:r>
    </w:p>
    <w:p>
      <w:pPr>
        <w:spacing w:after="0" w:line="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event that the foregoing rights are not exercised by us or Caesars and CEOC, as applicable, each party will have the right to consummate the subject transaction without the other’s involvement, provided the same is on terms no more favorable to the counterparty than those presented to us or Caesars and CEOC, as applicable, for consummating such transaction.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 Right Agreements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Formation Date, we entered into certain call right agreements, which provide us with the opportunity to acquire Harrah’s Atlantic City, Harrah’s New Orleans and Harrah’s Laughlin from Caesars. We can exercise the call rights within five years from the Formation Date by delivering a request to the applicable owner of the property containing evidence of our ability to finance the call right. The purchase price for each property will be 10 multiplied by the initial property lease rent for the respective property, with the initial property lease rent for each property being the amount that causes the ratio of (x) EBITDAR of the property for the most recently ended four-quarter period for which financial statements are available to (y) the initial property lease rent to equal 1.67.</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7"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Real Estate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real estate portfolio consisted of the following as of September 30, 2018 and December 31,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7"/>
                <w:szCs w:val="17"/>
                <w:color w:val="auto"/>
              </w:rPr>
            </w:pPr>
          </w:p>
        </w:tc>
        <w:tc>
          <w:tcPr>
            <w:tcW w:w="20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 2018</w:t>
            </w:r>
          </w:p>
        </w:tc>
        <w:tc>
          <w:tcPr>
            <w:tcW w:w="280" w:type="dxa"/>
            <w:vAlign w:val="bottom"/>
          </w:tcPr>
          <w:p>
            <w:pPr>
              <w:spacing w:after="0"/>
              <w:rPr>
                <w:sz w:val="17"/>
                <w:szCs w:val="17"/>
                <w:color w:val="auto"/>
              </w:rPr>
            </w:pPr>
          </w:p>
        </w:tc>
        <w:tc>
          <w:tcPr>
            <w:tcW w:w="1880" w:type="dxa"/>
            <w:vAlign w:val="bottom"/>
          </w:tcPr>
          <w:p>
            <w:pPr>
              <w:jc w:val="right"/>
              <w:ind w:right="331"/>
              <w:spacing w:after="0"/>
              <w:rPr>
                <w:sz w:val="20"/>
                <w:szCs w:val="20"/>
                <w:color w:val="auto"/>
              </w:rPr>
            </w:pPr>
            <w:r>
              <w:rPr>
                <w:rFonts w:ascii="Arial" w:cs="Arial" w:eastAsia="Arial" w:hAnsi="Arial"/>
                <w:sz w:val="16"/>
                <w:szCs w:val="16"/>
                <w:b w:val="1"/>
                <w:bCs w:val="1"/>
                <w:color w:val="auto"/>
                <w:w w:val="99"/>
              </w:rPr>
              <w:t>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698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Minimum lease payments receivable under direct financing leases </w:t>
            </w:r>
            <w:r>
              <w:rPr>
                <w:rFonts w:ascii="Arial" w:cs="Arial" w:eastAsia="Arial" w:hAnsi="Arial"/>
                <w:sz w:val="25"/>
                <w:szCs w:val="25"/>
                <w:i w:val="1"/>
                <w:iCs w:val="1"/>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29,990,632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29,302,166</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Estimated residual values of leased property (not guaranteed)</w:t>
            </w:r>
          </w:p>
        </w:tc>
        <w:tc>
          <w:tcPr>
            <w:tcW w:w="260" w:type="dxa"/>
            <w:vAlign w:val="bottom"/>
          </w:tcPr>
          <w:p>
            <w:pPr>
              <w:spacing w:after="0"/>
              <w:rPr>
                <w:sz w:val="21"/>
                <w:szCs w:val="21"/>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2,142,400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1,987,651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investment in direct financing leases</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32,133,032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31,289,817</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Unamortized initial direct costs</w:t>
            </w:r>
          </w:p>
        </w:tc>
        <w:tc>
          <w:tcPr>
            <w:tcW w:w="260" w:type="dxa"/>
            <w:vAlign w:val="bottom"/>
          </w:tcPr>
          <w:p>
            <w:pPr>
              <w:spacing w:after="0"/>
              <w:rPr>
                <w:sz w:val="21"/>
                <w:szCs w:val="21"/>
                <w:color w:val="auto"/>
              </w:rPr>
            </w:pPr>
          </w:p>
        </w:tc>
        <w:tc>
          <w:tcPr>
            <w:tcW w:w="1920" w:type="dxa"/>
            <w:vAlign w:val="bottom"/>
          </w:tcPr>
          <w:p>
            <w:pPr>
              <w:jc w:val="right"/>
              <w:ind w:right="3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Unearned income</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(23,317,770)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(23,021,174)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940" w:type="dxa"/>
            <w:vAlign w:val="bottom"/>
            <w:gridSpan w:val="2"/>
          </w:tcPr>
          <w:p>
            <w:pPr>
              <w:ind w:left="240"/>
              <w:spacing w:after="0"/>
              <w:rPr>
                <w:sz w:val="20"/>
                <w:szCs w:val="20"/>
                <w:color w:val="auto"/>
              </w:rPr>
            </w:pPr>
            <w:r>
              <w:rPr>
                <w:rFonts w:ascii="Arial" w:cs="Arial" w:eastAsia="Arial" w:hAnsi="Arial"/>
                <w:sz w:val="18"/>
                <w:szCs w:val="18"/>
                <w:color w:val="auto"/>
              </w:rPr>
              <w:t>Investment in direct financing leases, net</w:t>
            </w:r>
          </w:p>
        </w:tc>
        <w:tc>
          <w:tcPr>
            <w:tcW w:w="2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8,815,557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8,268,643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Investment in operating leases </w:t>
            </w:r>
            <w:r>
              <w:rPr>
                <w:rFonts w:ascii="Arial" w:cs="Arial" w:eastAsia="Arial" w:hAnsi="Arial"/>
                <w:sz w:val="25"/>
                <w:szCs w:val="25"/>
                <w:i w:val="1"/>
                <w:iCs w:val="1"/>
                <w:color w:val="auto"/>
                <w:vertAlign w:val="superscript"/>
              </w:rPr>
              <w:t>(2)</w:t>
            </w:r>
          </w:p>
        </w:tc>
        <w:tc>
          <w:tcPr>
            <w:tcW w:w="260" w:type="dxa"/>
            <w:vAlign w:val="bottom"/>
            <w:shd w:val="clear" w:color="auto" w:fill="CCEEFF"/>
          </w:tcPr>
          <w:p>
            <w:pPr>
              <w:spacing w:after="0"/>
              <w:rPr>
                <w:sz w:val="23"/>
                <w:szCs w:val="23"/>
                <w:color w:val="auto"/>
              </w:rPr>
            </w:pPr>
          </w:p>
        </w:tc>
        <w:tc>
          <w:tcPr>
            <w:tcW w:w="1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1,075,691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1,110,400</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Land </w:t>
            </w:r>
            <w:r>
              <w:rPr>
                <w:rFonts w:ascii="Arial" w:cs="Arial" w:eastAsia="Arial" w:hAnsi="Arial"/>
                <w:sz w:val="25"/>
                <w:szCs w:val="25"/>
                <w:i w:val="1"/>
                <w:iCs w:val="1"/>
                <w:color w:val="auto"/>
                <w:vertAlign w:val="superscript"/>
              </w:rPr>
              <w:t>(3)</w:t>
            </w:r>
          </w:p>
        </w:tc>
        <w:tc>
          <w:tcPr>
            <w:tcW w:w="26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95,789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73,600</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Real estate portfolio</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9,987,037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9,452,643</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gridSpan w:val="3"/>
            <w:vMerge w:val="continue"/>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as discussed below, that may be received under the Lease Agreements.</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8"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operating land parcels contained in the Non-CPLV Lease.</w:t>
      </w:r>
    </w:p>
    <w:p>
      <w:pPr>
        <w:ind w:right="20" w:firstLine="8"/>
        <w:spacing w:after="0" w:line="255" w:lineRule="auto"/>
        <w:tabs>
          <w:tab w:leader="none" w:pos="208"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our investment in the Eastside Property and certain non-operating, de minimis land parcels contained in the Non-CPLV Lease. Refer to Note 4—Property Transactions in relation to the Eastside Property and “Loss on impairment” for further information on the non-operating de minimis land parcels.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direct financing and operating leases: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1900" w:type="dxa"/>
            <w:vAlign w:val="bottom"/>
          </w:tcPr>
          <w:p>
            <w:pPr>
              <w:jc w:val="right"/>
              <w:ind w:right="293"/>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3"/>
        </w:trPr>
        <w:tc>
          <w:tcPr>
            <w:tcW w:w="69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September 30, 2018</w:t>
            </w:r>
          </w:p>
        </w:tc>
        <w:tc>
          <w:tcPr>
            <w:tcW w:w="260" w:type="dxa"/>
            <w:vAlign w:val="bottom"/>
          </w:tcPr>
          <w:p>
            <w:pPr>
              <w:spacing w:after="0"/>
              <w:rPr>
                <w:sz w:val="17"/>
                <w:szCs w:val="17"/>
                <w:color w:val="auto"/>
              </w:rPr>
            </w:pPr>
          </w:p>
        </w:tc>
        <w:tc>
          <w:tcPr>
            <w:tcW w:w="1900" w:type="dxa"/>
            <w:vAlign w:val="bottom"/>
          </w:tcPr>
          <w:p>
            <w:pPr>
              <w:jc w:val="right"/>
              <w:ind w:right="313"/>
              <w:spacing w:after="0"/>
              <w:rPr>
                <w:sz w:val="20"/>
                <w:szCs w:val="20"/>
                <w:color w:val="auto"/>
              </w:rPr>
            </w:pPr>
            <w:r>
              <w:rPr>
                <w:rFonts w:ascii="Arial" w:cs="Arial" w:eastAsia="Arial" w:hAnsi="Arial"/>
                <w:sz w:val="16"/>
                <w:szCs w:val="16"/>
                <w:b w:val="1"/>
                <w:bCs w:val="1"/>
                <w:color w:val="auto"/>
                <w:w w:val="99"/>
              </w:rPr>
              <w:t>September 30,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direct financing leases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189,938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554,293</w:t>
            </w:r>
          </w:p>
        </w:tc>
        <w:tc>
          <w:tcPr>
            <w:tcW w:w="0" w:type="dxa"/>
            <w:vAlign w:val="bottom"/>
          </w:tcPr>
          <w:p>
            <w:pPr>
              <w:spacing w:after="0"/>
              <w:rPr>
                <w:sz w:val="1"/>
                <w:szCs w:val="1"/>
                <w:color w:val="auto"/>
              </w:rPr>
            </w:pP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Income from operating leases</w:t>
            </w:r>
          </w:p>
        </w:tc>
        <w:tc>
          <w:tcPr>
            <w:tcW w:w="240" w:type="dxa"/>
            <w:vAlign w:val="bottom"/>
          </w:tcPr>
          <w:p>
            <w:pPr>
              <w:spacing w:after="0"/>
              <w:rPr>
                <w:sz w:val="21"/>
                <w:szCs w:val="21"/>
                <w:color w:val="auto"/>
              </w:rPr>
            </w:pP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12,209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36,627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leasing revenue</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590,920</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Less: Direct financing lease adjustment </w:t>
            </w:r>
            <w:r>
              <w:rPr>
                <w:rFonts w:ascii="Arial" w:cs="Arial" w:eastAsia="Arial" w:hAnsi="Arial"/>
                <w:sz w:val="25"/>
                <w:szCs w:val="25"/>
                <w:i w:val="1"/>
                <w:iCs w:val="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(39,117)</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leasing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189,140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551,803</w:t>
            </w:r>
          </w:p>
        </w:tc>
        <w:tc>
          <w:tcPr>
            <w:tcW w:w="0" w:type="dxa"/>
            <w:vAlign w:val="bottom"/>
          </w:tcPr>
          <w:p>
            <w:pPr>
              <w:spacing w:after="0"/>
              <w:rPr>
                <w:sz w:val="1"/>
                <w:szCs w:val="1"/>
                <w:color w:val="auto"/>
              </w:rPr>
            </w:pPr>
          </w:p>
        </w:tc>
      </w:tr>
      <w:tr>
        <w:trPr>
          <w:trHeight w:val="20"/>
        </w:trPr>
        <w:tc>
          <w:tcPr>
            <w:tcW w:w="69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firstLine="8"/>
        <w:spacing w:after="0" w:line="255" w:lineRule="auto"/>
        <w:tabs>
          <w:tab w:leader="none" w:pos="215"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direct financing leases in order to recognize income on an effective interest basis at a constant rate of return over the term of the leases.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2018, minimum lease payments owed to us for each of the five succeeding years under direct financing and operating leases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 xml:space="preserve">Minimum Lease Payments </w:t>
            </w:r>
            <w:r>
              <w:rPr>
                <w:rFonts w:ascii="Arial" w:cs="Arial" w:eastAsia="Arial" w:hAnsi="Arial"/>
                <w:sz w:val="25"/>
                <w:szCs w:val="25"/>
                <w:i w:val="1"/>
                <w:iCs w:val="1"/>
                <w:color w:val="auto"/>
                <w:w w:val="92"/>
                <w:vertAlign w:val="superscript"/>
              </w:rPr>
              <w:t>(1)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680" w:type="dxa"/>
            <w:vAlign w:val="bottom"/>
            <w:tcBorders>
              <w:bottom w:val="single" w:sz="8" w:color="BFE4FF"/>
            </w:tcBorders>
            <w:shd w:val="clear" w:color="auto" w:fill="BFE4FF"/>
          </w:tcPr>
          <w:p>
            <w:pPr>
              <w:jc w:val="right"/>
              <w:ind w:right="473"/>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190,631</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765,060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769,320</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773,656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779,647</w:t>
            </w:r>
          </w:p>
        </w:tc>
        <w:tc>
          <w:tcPr>
            <w:tcW w:w="0" w:type="dxa"/>
            <w:vAlign w:val="bottom"/>
          </w:tcPr>
          <w:p>
            <w:pPr>
              <w:spacing w:after="0"/>
              <w:rPr>
                <w:sz w:val="1"/>
                <w:szCs w:val="1"/>
                <w:color w:val="auto"/>
              </w:rPr>
            </w:pP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6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28,376,784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31,655,098</w:t>
            </w: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3"/>
            <w:vMerge w:val="continue"/>
          </w:tcPr>
          <w:p>
            <w:pPr>
              <w:spacing w:after="0"/>
              <w:rPr>
                <w:sz w:val="17"/>
                <w:szCs w:val="17"/>
                <w:color w:val="auto"/>
              </w:rPr>
            </w:pP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Minimum lease payments do not include contingent rent, as discussed below, that may be received under the Lease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lease term, including renewal options, for both operating and direct financing leases at September 30, 2018 was 34.1 years.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7"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Provisions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summary of the material lease provisions of our Lease Agreements and the modifications to the Lease Agreements contemplated in connection with the closing of the acquisition of Harrah’s Philadelphia:</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90"/>
              </w:rPr>
              <w:t>(</w:t>
            </w:r>
            <w:r>
              <w:rPr>
                <w:rFonts w:ascii="Arial" w:cs="Arial" w:eastAsia="Arial" w:hAnsi="Arial"/>
                <w:sz w:val="14"/>
                <w:szCs w:val="14"/>
                <w:b w:val="1"/>
                <w:bCs w:val="1"/>
                <w:i w:val="1"/>
                <w:iCs w:val="1"/>
                <w:color w:val="auto"/>
                <w:w w:val="90"/>
              </w:rPr>
              <w:t>$ In thousands)</w:t>
            </w:r>
          </w:p>
        </w:tc>
        <w:tc>
          <w:tcPr>
            <w:tcW w:w="1040" w:type="dxa"/>
            <w:vAlign w:val="bottom"/>
            <w:gridSpan w:val="2"/>
          </w:tcPr>
          <w:p>
            <w:pPr>
              <w:spacing w:after="0"/>
              <w:rPr>
                <w:sz w:val="24"/>
                <w:szCs w:val="24"/>
                <w:color w:val="auto"/>
              </w:rPr>
            </w:pPr>
          </w:p>
        </w:tc>
        <w:tc>
          <w:tcPr>
            <w:tcW w:w="3660" w:type="dxa"/>
            <w:vAlign w:val="bottom"/>
            <w:gridSpan w:val="4"/>
          </w:tcPr>
          <w:p>
            <w:pPr>
              <w:ind w:left="600"/>
              <w:spacing w:after="0"/>
              <w:rPr>
                <w:sz w:val="20"/>
                <w:szCs w:val="20"/>
                <w:color w:val="auto"/>
              </w:rPr>
            </w:pPr>
            <w:r>
              <w:rPr>
                <w:rFonts w:ascii="Arial" w:cs="Arial" w:eastAsia="Arial" w:hAnsi="Arial"/>
                <w:sz w:val="16"/>
                <w:szCs w:val="16"/>
                <w:b w:val="1"/>
                <w:bCs w:val="1"/>
                <w:color w:val="auto"/>
              </w:rPr>
              <w:t>Non-CPLV Lease and Joliet Lease</w:t>
            </w:r>
          </w:p>
        </w:tc>
        <w:tc>
          <w:tcPr>
            <w:tcW w:w="3620" w:type="dxa"/>
            <w:vAlign w:val="bottom"/>
            <w:gridSpan w:val="4"/>
          </w:tcPr>
          <w:p>
            <w:pPr>
              <w:ind w:left="1340"/>
              <w:spacing w:after="0"/>
              <w:rPr>
                <w:sz w:val="20"/>
                <w:szCs w:val="20"/>
                <w:color w:val="auto"/>
              </w:rPr>
            </w:pPr>
            <w:r>
              <w:rPr>
                <w:rFonts w:ascii="Arial" w:cs="Arial" w:eastAsia="Arial" w:hAnsi="Arial"/>
                <w:sz w:val="16"/>
                <w:szCs w:val="16"/>
                <w:b w:val="1"/>
                <w:bCs w:val="1"/>
                <w:color w:val="auto"/>
              </w:rPr>
              <w:t>CPLV Lease</w:t>
            </w:r>
          </w:p>
        </w:tc>
        <w:tc>
          <w:tcPr>
            <w:tcW w:w="2040" w:type="dxa"/>
            <w:vAlign w:val="bottom"/>
          </w:tcPr>
          <w:p>
            <w:pPr>
              <w:ind w:left="540"/>
              <w:spacing w:after="0"/>
              <w:rPr>
                <w:sz w:val="20"/>
                <w:szCs w:val="20"/>
                <w:color w:val="auto"/>
              </w:rPr>
            </w:pPr>
            <w:r>
              <w:rPr>
                <w:rFonts w:ascii="Arial" w:cs="Arial" w:eastAsia="Arial" w:hAnsi="Arial"/>
                <w:sz w:val="16"/>
                <w:szCs w:val="16"/>
                <w:b w:val="1"/>
                <w:bCs w:val="1"/>
                <w:color w:val="auto"/>
              </w:rPr>
              <w:t xml:space="preserve">HLV Lease </w:t>
            </w:r>
            <w:r>
              <w:rPr>
                <w:rFonts w:ascii="Arial" w:cs="Arial" w:eastAsia="Arial" w:hAnsi="Arial"/>
                <w:sz w:val="25"/>
                <w:szCs w:val="25"/>
                <w:i w:val="1"/>
                <w:iCs w:val="1"/>
                <w:color w:val="auto"/>
                <w:vertAlign w:val="superscript"/>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 xml:space="preserve">Lease Provision </w:t>
            </w:r>
            <w:r>
              <w:rPr>
                <w:rFonts w:ascii="Arial" w:cs="Arial" w:eastAsia="Arial" w:hAnsi="Arial"/>
                <w:sz w:val="25"/>
                <w:szCs w:val="25"/>
                <w:i w:val="1"/>
                <w:iCs w:val="1"/>
                <w:color w:val="auto"/>
                <w:vertAlign w:val="superscript"/>
              </w:rPr>
              <w:t>(1)</w:t>
            </w:r>
          </w:p>
        </w:tc>
        <w:tc>
          <w:tcPr>
            <w:tcW w:w="120" w:type="dxa"/>
            <w:vAlign w:val="bottom"/>
            <w:vMerge w:val="restart"/>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2"/>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Current</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As Amended</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Current</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As Amended</w:t>
            </w:r>
          </w:p>
        </w:tc>
        <w:tc>
          <w:tcPr>
            <w:tcW w:w="100" w:type="dxa"/>
            <w:vAlign w:val="bottom"/>
            <w:tcBorders>
              <w:bottom w:val="single" w:sz="8" w:color="CCEEFF"/>
            </w:tcBorders>
          </w:tcPr>
          <w:p>
            <w:pPr>
              <w:spacing w:after="0"/>
              <w:rPr>
                <w:sz w:val="22"/>
                <w:szCs w:val="22"/>
                <w:color w:val="auto"/>
              </w:rPr>
            </w:pPr>
          </w:p>
        </w:tc>
        <w:tc>
          <w:tcPr>
            <w:tcW w:w="204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Current</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Initial Term</w:t>
            </w:r>
          </w:p>
        </w:tc>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15 years</w:t>
            </w:r>
          </w:p>
        </w:tc>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15 years</w:t>
            </w:r>
          </w:p>
        </w:tc>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15 years</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Renewal Terms</w:t>
            </w:r>
          </w:p>
        </w:tc>
        <w:tc>
          <w:tcPr>
            <w:tcW w:w="1840" w:type="dxa"/>
            <w:vAlign w:val="bottom"/>
            <w:gridSpan w:val="2"/>
          </w:tcPr>
          <w:p>
            <w:pPr>
              <w:ind w:left="40"/>
              <w:spacing w:after="0"/>
              <w:rPr>
                <w:sz w:val="20"/>
                <w:szCs w:val="20"/>
                <w:color w:val="auto"/>
              </w:rPr>
            </w:pPr>
            <w:r>
              <w:rPr>
                <w:rFonts w:ascii="Arial" w:cs="Arial" w:eastAsia="Arial" w:hAnsi="Arial"/>
                <w:sz w:val="18"/>
                <w:szCs w:val="18"/>
                <w:color w:val="auto"/>
              </w:rPr>
              <w:t>Four, five-year terms</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rPr>
              <w:t>Four, five-year terms</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rPr>
              <w:t>Four, five-year terms</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Four, five-year terms</w:t>
            </w:r>
          </w:p>
        </w:tc>
        <w:tc>
          <w:tcPr>
            <w:tcW w:w="2040" w:type="dxa"/>
            <w:vAlign w:val="bottom"/>
          </w:tcPr>
          <w:p>
            <w:pPr>
              <w:ind w:left="4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04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Initial Base Rent </w:t>
            </w:r>
            <w:r>
              <w:rPr>
                <w:rFonts w:ascii="Arial" w:cs="Arial" w:eastAsia="Arial" w:hAnsi="Arial"/>
                <w:sz w:val="25"/>
                <w:szCs w:val="25"/>
                <w:i w:val="1"/>
                <w:iCs w:val="1"/>
                <w:color w:val="auto"/>
                <w:vertAlign w:val="superscript"/>
              </w:rPr>
              <w:t>(2)</w:t>
            </w: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$472,925</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$493,925</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$165,000</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23"/>
                <w:szCs w:val="23"/>
                <w:color w:val="auto"/>
              </w:rPr>
            </w:pPr>
          </w:p>
        </w:tc>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$87,400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w w:val="97"/>
              </w:rPr>
              <w:t>Escalator commencement</w:t>
            </w:r>
          </w:p>
        </w:tc>
        <w:tc>
          <w:tcPr>
            <w:tcW w:w="1840" w:type="dxa"/>
            <w:vAlign w:val="bottom"/>
            <w:gridSpan w:val="2"/>
          </w:tcPr>
          <w:p>
            <w:pPr>
              <w:ind w:left="40"/>
              <w:spacing w:after="0"/>
              <w:rPr>
                <w:sz w:val="20"/>
                <w:szCs w:val="20"/>
                <w:color w:val="auto"/>
              </w:rPr>
            </w:pPr>
            <w:r>
              <w:rPr>
                <w:rFonts w:ascii="Arial" w:cs="Arial" w:eastAsia="Arial" w:hAnsi="Arial"/>
                <w:sz w:val="18"/>
                <w:szCs w:val="18"/>
                <w:color w:val="auto"/>
              </w:rPr>
              <w:t>Lease year six</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rPr>
              <w:t>Lease year two</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rPr>
              <w:t>Lease year two</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Lease year two</w:t>
            </w:r>
          </w:p>
        </w:tc>
        <w:tc>
          <w:tcPr>
            <w:tcW w:w="2040" w:type="dxa"/>
            <w:vAlign w:val="bottom"/>
          </w:tcPr>
          <w:p>
            <w:pPr>
              <w:ind w:left="40"/>
              <w:spacing w:after="0"/>
              <w:rPr>
                <w:sz w:val="20"/>
                <w:szCs w:val="20"/>
                <w:color w:val="auto"/>
              </w:rPr>
            </w:pPr>
            <w:r>
              <w:rPr>
                <w:rFonts w:ascii="Arial" w:cs="Arial" w:eastAsia="Arial" w:hAnsi="Arial"/>
                <w:sz w:val="18"/>
                <w:szCs w:val="18"/>
                <w:color w:val="auto"/>
              </w:rPr>
              <w:t>Lease year two</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Lease years 2-5 - 1.5%</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years 2-5 - 1%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04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5"/>
                <w:szCs w:val="25"/>
                <w:i w:val="1"/>
                <w:iCs w:val="1"/>
                <w:color w:val="auto"/>
                <w:vertAlign w:val="superscript"/>
              </w:rPr>
              <w:t>(3)</w:t>
            </w:r>
          </w:p>
        </w:tc>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Consumer price index</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Lease Years 6-15 -</w:t>
            </w: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Consumer price index</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Consumer price index</w:t>
            </w:r>
          </w:p>
        </w:tc>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 Years 6-15 -</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040" w:type="dxa"/>
            <w:vAlign w:val="bottom"/>
            <w:gridSpan w:val="3"/>
            <w:vMerge w:val="continue"/>
            <w:shd w:val="clear" w:color="auto" w:fill="CCEEFF"/>
          </w:tcPr>
          <w:p>
            <w:pPr>
              <w:spacing w:after="0"/>
              <w:rPr>
                <w:sz w:val="15"/>
                <w:szCs w:val="15"/>
                <w:color w:val="auto"/>
              </w:rPr>
            </w:pPr>
          </w:p>
        </w:tc>
        <w:tc>
          <w:tcPr>
            <w:tcW w:w="18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subject to 2% floor</w:t>
            </w:r>
          </w:p>
        </w:tc>
        <w:tc>
          <w:tcPr>
            <w:tcW w:w="18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Consumer price index</w:t>
            </w:r>
          </w:p>
        </w:tc>
        <w:tc>
          <w:tcPr>
            <w:tcW w:w="18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subject to 2% floor</w:t>
            </w:r>
          </w:p>
        </w:tc>
        <w:tc>
          <w:tcPr>
            <w:tcW w:w="18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subject to 2% floor</w:t>
            </w:r>
          </w:p>
        </w:tc>
        <w:tc>
          <w:tcPr>
            <w:tcW w:w="20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Consumer price index</w:t>
            </w: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40" w:type="dxa"/>
            <w:vAlign w:val="bottom"/>
            <w:gridSpan w:val="2"/>
            <w:vMerge w:val="continue"/>
            <w:shd w:val="clear" w:color="auto" w:fill="CCEEFF"/>
          </w:tcPr>
          <w:p>
            <w:pPr>
              <w:spacing w:after="0"/>
              <w:rPr>
                <w:sz w:val="3"/>
                <w:szCs w:val="3"/>
                <w:color w:val="auto"/>
              </w:rPr>
            </w:pPr>
          </w:p>
        </w:tc>
        <w:tc>
          <w:tcPr>
            <w:tcW w:w="1820" w:type="dxa"/>
            <w:vAlign w:val="bottom"/>
            <w:gridSpan w:val="2"/>
            <w:vMerge w:val="continue"/>
            <w:shd w:val="clear" w:color="auto" w:fill="CCEEFF"/>
          </w:tcPr>
          <w:p>
            <w:pPr>
              <w:spacing w:after="0"/>
              <w:rPr>
                <w:sz w:val="3"/>
                <w:szCs w:val="3"/>
                <w:color w:val="auto"/>
              </w:rPr>
            </w:pPr>
          </w:p>
        </w:tc>
        <w:tc>
          <w:tcPr>
            <w:tcW w:w="1820" w:type="dxa"/>
            <w:vAlign w:val="bottom"/>
            <w:gridSpan w:val="2"/>
            <w:vMerge w:val="continue"/>
            <w:shd w:val="clear" w:color="auto" w:fill="CCEEFF"/>
          </w:tcPr>
          <w:p>
            <w:pPr>
              <w:spacing w:after="0"/>
              <w:rPr>
                <w:sz w:val="3"/>
                <w:szCs w:val="3"/>
                <w:color w:val="auto"/>
              </w:rPr>
            </w:pPr>
          </w:p>
        </w:tc>
        <w:tc>
          <w:tcPr>
            <w:tcW w:w="1800" w:type="dxa"/>
            <w:vAlign w:val="bottom"/>
            <w:gridSpan w:val="2"/>
            <w:vMerge w:val="continue"/>
            <w:shd w:val="clear" w:color="auto" w:fill="CCEEFF"/>
          </w:tcPr>
          <w:p>
            <w:pPr>
              <w:spacing w:after="0"/>
              <w:rPr>
                <w:sz w:val="3"/>
                <w:szCs w:val="3"/>
                <w:color w:val="auto"/>
              </w:rPr>
            </w:pPr>
          </w:p>
        </w:tc>
        <w:tc>
          <w:tcPr>
            <w:tcW w:w="204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subject to 2% floor</w:t>
            </w:r>
          </w:p>
        </w:tc>
        <w:tc>
          <w:tcPr>
            <w:tcW w:w="1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subject to 2% floor</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287" w:right="239" w:bottom="1440" w:gutter="0" w:footer="0" w:header="0"/>
        </w:sectPr>
      </w:pPr>
    </w:p>
    <w:p>
      <w:pPr>
        <w:ind w:left="40" w:right="20"/>
        <w:spacing w:after="0" w:line="243" w:lineRule="auto"/>
        <w:rPr>
          <w:sz w:val="20"/>
          <w:szCs w:val="20"/>
          <w:color w:val="auto"/>
        </w:rPr>
      </w:pPr>
      <w:r>
        <w:rPr>
          <w:rFonts w:ascii="Arial" w:cs="Arial" w:eastAsia="Arial" w:hAnsi="Arial"/>
          <w:sz w:val="18"/>
          <w:szCs w:val="18"/>
          <w:color w:val="auto"/>
        </w:rPr>
        <w:t xml:space="preserve">EBITDAR to Rent Ratio floor </w:t>
      </w:r>
      <w:r>
        <w:rPr>
          <w:rFonts w:ascii="Arial" w:cs="Arial" w:eastAsia="Arial" w:hAnsi="Arial"/>
          <w:sz w:val="25"/>
          <w:szCs w:val="25"/>
          <w:i w:val="1"/>
          <w:iCs w:val="1"/>
          <w:color w:val="auto"/>
          <w:vertAlign w:val="superscript"/>
        </w:rPr>
        <w:t>(4)</w:t>
      </w:r>
    </w:p>
    <w:p>
      <w:pPr>
        <w:spacing w:after="0" w:line="2" w:lineRule="exact"/>
        <w:rPr>
          <w:sz w:val="20"/>
          <w:szCs w:val="20"/>
          <w:color w:val="auto"/>
        </w:rPr>
      </w:pPr>
    </w:p>
    <w:p>
      <w:pPr>
        <w:ind w:left="40" w:right="280"/>
        <w:spacing w:after="0" w:line="321" w:lineRule="auto"/>
        <w:rPr>
          <w:sz w:val="20"/>
          <w:szCs w:val="20"/>
          <w:color w:val="auto"/>
        </w:rPr>
      </w:pPr>
      <w:r>
        <w:rPr>
          <w:rFonts w:ascii="Arial" w:cs="Arial" w:eastAsia="Arial" w:hAnsi="Arial"/>
          <w:sz w:val="16"/>
          <w:szCs w:val="16"/>
          <w:color w:val="auto"/>
        </w:rPr>
        <w:t>Variable Rent commencement/reset</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5"/>
          <w:szCs w:val="25"/>
          <w:i w:val="1"/>
          <w:iCs w:val="1"/>
          <w:color w:val="auto"/>
          <w:vertAlign w:val="superscript"/>
        </w:rPr>
        <w:t>(5)</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Variable Rent percentage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i w:val="1"/>
          <w:iCs w:val="1"/>
          <w:color w:val="auto"/>
        </w:rPr>
        <w:t>(5)</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Lease years 8 and 11</w:t>
      </w:r>
    </w:p>
    <w:p>
      <w:pPr>
        <w:spacing w:after="0" w:line="206" w:lineRule="exact"/>
        <w:rPr>
          <w:sz w:val="20"/>
          <w:szCs w:val="20"/>
          <w:color w:val="auto"/>
        </w:rPr>
      </w:pPr>
    </w:p>
    <w:p>
      <w:pPr>
        <w:ind w:right="100"/>
        <w:spacing w:after="0" w:line="313" w:lineRule="auto"/>
        <w:rPr>
          <w:sz w:val="20"/>
          <w:szCs w:val="20"/>
          <w:color w:val="auto"/>
        </w:rPr>
      </w:pPr>
      <w:r>
        <w:rPr>
          <w:rFonts w:ascii="Arial" w:cs="Arial" w:eastAsia="Arial" w:hAnsi="Arial"/>
          <w:sz w:val="15"/>
          <w:szCs w:val="15"/>
          <w:color w:val="auto"/>
        </w:rPr>
        <w:t>Lease years 8-10 - 70% Base Rent and 30% Variable Rent Lease years 11-15-80% Base Rent and 20% Variable Rent</w:t>
      </w:r>
    </w:p>
    <w:p>
      <w:pPr>
        <w:spacing w:after="0" w:line="1"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Lease years 8-10 - 19.5%</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Lease years 11-15 - 13%</w:t>
      </w:r>
    </w:p>
    <w:p>
      <w:pPr>
        <w:spacing w:after="0" w:line="20" w:lineRule="exact"/>
        <w:rPr>
          <w:sz w:val="20"/>
          <w:szCs w:val="20"/>
          <w:color w:val="auto"/>
        </w:rPr>
      </w:pPr>
      <w:r>
        <w:rPr>
          <w:sz w:val="20"/>
          <w:szCs w:val="20"/>
          <w:color w:val="auto"/>
        </w:rPr>
        <w:br w:type="column"/>
      </w:r>
    </w:p>
    <w:p>
      <w:pPr>
        <w:ind w:right="220"/>
        <w:spacing w:after="0" w:line="342" w:lineRule="auto"/>
        <w:rPr>
          <w:sz w:val="20"/>
          <w:szCs w:val="20"/>
          <w:color w:val="auto"/>
        </w:rPr>
      </w:pPr>
      <w:r>
        <w:rPr>
          <w:rFonts w:ascii="Arial" w:cs="Arial" w:eastAsia="Arial" w:hAnsi="Arial"/>
          <w:sz w:val="16"/>
          <w:szCs w:val="16"/>
          <w:color w:val="auto"/>
        </w:rPr>
        <w:t>1.2x commencing lease year 8</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Lease years 8 and 11</w:t>
      </w:r>
    </w:p>
    <w:p>
      <w:pPr>
        <w:spacing w:after="0" w:line="206" w:lineRule="exact"/>
        <w:rPr>
          <w:sz w:val="20"/>
          <w:szCs w:val="20"/>
          <w:color w:val="auto"/>
        </w:rPr>
      </w:pPr>
    </w:p>
    <w:p>
      <w:pPr>
        <w:ind w:right="100"/>
        <w:spacing w:after="0" w:line="316" w:lineRule="auto"/>
        <w:rPr>
          <w:sz w:val="20"/>
          <w:szCs w:val="20"/>
          <w:color w:val="auto"/>
        </w:rPr>
      </w:pPr>
      <w:r>
        <w:rPr>
          <w:rFonts w:ascii="Arial" w:cs="Arial" w:eastAsia="Arial" w:hAnsi="Arial"/>
          <w:sz w:val="15"/>
          <w:szCs w:val="15"/>
          <w:color w:val="auto"/>
        </w:rPr>
        <w:t>Lease years 8-10 - 70% Base Rent and 30% Variable Rent Lease years 11-15-80% Base Rent and 20% Variable Rent</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2"/>
            <w:vMerge w:val="restart"/>
          </w:tcPr>
          <w:p>
            <w:pPr>
              <w:spacing w:after="0"/>
              <w:rPr>
                <w:sz w:val="20"/>
                <w:szCs w:val="20"/>
                <w:color w:val="auto"/>
              </w:rPr>
            </w:pPr>
            <w:r>
              <w:rPr>
                <w:rFonts w:ascii="Arial" w:cs="Arial" w:eastAsia="Arial" w:hAnsi="Arial"/>
                <w:sz w:val="18"/>
                <w:szCs w:val="18"/>
                <w:color w:val="auto"/>
              </w:rPr>
              <w:t>None</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rPr>
              <w:t>1.7x commencing</w:t>
            </w:r>
          </w:p>
        </w:tc>
        <w:tc>
          <w:tcPr>
            <w:tcW w:w="1880" w:type="dxa"/>
            <w:vAlign w:val="bottom"/>
          </w:tcPr>
          <w:p>
            <w:pPr>
              <w:ind w:left="160"/>
              <w:spacing w:after="0"/>
              <w:rPr>
                <w:sz w:val="20"/>
                <w:szCs w:val="20"/>
                <w:color w:val="auto"/>
              </w:rPr>
            </w:pPr>
            <w:r>
              <w:rPr>
                <w:rFonts w:ascii="Arial" w:cs="Arial" w:eastAsia="Arial" w:hAnsi="Arial"/>
                <w:sz w:val="18"/>
                <w:szCs w:val="18"/>
                <w:color w:val="auto"/>
                <w:w w:val="89"/>
              </w:rPr>
              <w:t>1.6x commencing lease</w:t>
            </w:r>
          </w:p>
        </w:tc>
        <w:tc>
          <w:tcPr>
            <w:tcW w:w="0" w:type="dxa"/>
            <w:vAlign w:val="bottom"/>
          </w:tcPr>
          <w:p>
            <w:pPr>
              <w:spacing w:after="0"/>
              <w:rPr>
                <w:sz w:val="1"/>
                <w:szCs w:val="1"/>
                <w:color w:val="auto"/>
              </w:rPr>
            </w:pPr>
          </w:p>
        </w:tc>
      </w:tr>
      <w:tr>
        <w:trPr>
          <w:trHeight w:val="122"/>
        </w:trPr>
        <w:tc>
          <w:tcPr>
            <w:tcW w:w="1660" w:type="dxa"/>
            <w:vAlign w:val="bottom"/>
            <w:gridSpan w:val="2"/>
            <w:vMerge w:val="continue"/>
          </w:tcPr>
          <w:p>
            <w:pPr>
              <w:spacing w:after="0"/>
              <w:rPr>
                <w:sz w:val="10"/>
                <w:szCs w:val="10"/>
                <w:color w:val="auto"/>
              </w:rPr>
            </w:pPr>
          </w:p>
        </w:tc>
        <w:tc>
          <w:tcPr>
            <w:tcW w:w="1800" w:type="dxa"/>
            <w:vAlign w:val="bottom"/>
            <w:gridSpan w:val="2"/>
            <w:vMerge w:val="restart"/>
          </w:tcPr>
          <w:p>
            <w:pPr>
              <w:ind w:left="140"/>
              <w:spacing w:after="0"/>
              <w:rPr>
                <w:sz w:val="20"/>
                <w:szCs w:val="20"/>
                <w:color w:val="auto"/>
              </w:rPr>
            </w:pPr>
            <w:r>
              <w:rPr>
                <w:rFonts w:ascii="Arial" w:cs="Arial" w:eastAsia="Arial" w:hAnsi="Arial"/>
                <w:sz w:val="18"/>
                <w:szCs w:val="18"/>
                <w:color w:val="auto"/>
              </w:rPr>
              <w:t>lease year 8</w:t>
            </w:r>
          </w:p>
        </w:tc>
        <w:tc>
          <w:tcPr>
            <w:tcW w:w="1880" w:type="dxa"/>
            <w:vAlign w:val="bottom"/>
            <w:vMerge w:val="restart"/>
          </w:tcPr>
          <w:p>
            <w:pPr>
              <w:ind w:left="160"/>
              <w:spacing w:after="0"/>
              <w:rPr>
                <w:sz w:val="20"/>
                <w:szCs w:val="20"/>
                <w:color w:val="auto"/>
              </w:rPr>
            </w:pPr>
            <w:r>
              <w:rPr>
                <w:rFonts w:ascii="Arial" w:cs="Arial" w:eastAsia="Arial" w:hAnsi="Arial"/>
                <w:sz w:val="18"/>
                <w:szCs w:val="18"/>
                <w:color w:val="auto"/>
              </w:rPr>
              <w:t>year 6</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1660" w:type="dxa"/>
            <w:vAlign w:val="bottom"/>
            <w:gridSpan w:val="2"/>
          </w:tcPr>
          <w:p>
            <w:pPr>
              <w:spacing w:after="0"/>
              <w:rPr>
                <w:sz w:val="20"/>
                <w:szCs w:val="20"/>
                <w:color w:val="auto"/>
              </w:rPr>
            </w:pPr>
            <w:r>
              <w:rPr>
                <w:rFonts w:ascii="Arial" w:cs="Arial" w:eastAsia="Arial" w:hAnsi="Arial"/>
                <w:sz w:val="18"/>
                <w:szCs w:val="18"/>
                <w:color w:val="auto"/>
                <w:w w:val="94"/>
              </w:rPr>
              <w:t>Lease years 8 and 11</w:t>
            </w:r>
          </w:p>
        </w:tc>
        <w:tc>
          <w:tcPr>
            <w:tcW w:w="1800" w:type="dxa"/>
            <w:vAlign w:val="bottom"/>
            <w:gridSpan w:val="2"/>
          </w:tcPr>
          <w:p>
            <w:pPr>
              <w:ind w:left="140"/>
              <w:spacing w:after="0"/>
              <w:rPr>
                <w:sz w:val="20"/>
                <w:szCs w:val="20"/>
                <w:color w:val="auto"/>
              </w:rPr>
            </w:pPr>
            <w:r>
              <w:rPr>
                <w:rFonts w:ascii="Arial" w:cs="Arial" w:eastAsia="Arial" w:hAnsi="Arial"/>
                <w:sz w:val="18"/>
                <w:szCs w:val="18"/>
                <w:color w:val="auto"/>
                <w:w w:val="94"/>
              </w:rPr>
              <w:t>Lease years 8 and 11</w:t>
            </w:r>
          </w:p>
        </w:tc>
        <w:tc>
          <w:tcPr>
            <w:tcW w:w="1880" w:type="dxa"/>
            <w:vAlign w:val="bottom"/>
          </w:tcPr>
          <w:p>
            <w:pPr>
              <w:ind w:left="160"/>
              <w:spacing w:after="0"/>
              <w:rPr>
                <w:sz w:val="20"/>
                <w:szCs w:val="20"/>
                <w:color w:val="auto"/>
              </w:rPr>
            </w:pPr>
            <w:r>
              <w:rPr>
                <w:rFonts w:ascii="Arial" w:cs="Arial" w:eastAsia="Arial" w:hAnsi="Arial"/>
                <w:sz w:val="18"/>
                <w:szCs w:val="18"/>
                <w:color w:val="auto"/>
                <w:w w:val="98"/>
              </w:rPr>
              <w:t>Lease years 8 and 11</w:t>
            </w:r>
          </w:p>
        </w:tc>
        <w:tc>
          <w:tcPr>
            <w:tcW w:w="0" w:type="dxa"/>
            <w:vAlign w:val="bottom"/>
          </w:tcPr>
          <w:p>
            <w:pPr>
              <w:spacing w:after="0"/>
              <w:rPr>
                <w:sz w:val="1"/>
                <w:szCs w:val="1"/>
                <w:color w:val="auto"/>
              </w:rPr>
            </w:pPr>
          </w:p>
        </w:tc>
      </w:tr>
      <w:tr>
        <w:trPr>
          <w:trHeight w:val="796"/>
        </w:trPr>
        <w:tc>
          <w:tcPr>
            <w:tcW w:w="340" w:type="dxa"/>
            <w:vAlign w:val="bottom"/>
          </w:tcPr>
          <w:p>
            <w:pPr>
              <w:spacing w:after="0"/>
              <w:rPr>
                <w:sz w:val="20"/>
                <w:szCs w:val="20"/>
                <w:color w:val="auto"/>
              </w:rPr>
            </w:pPr>
            <w:r>
              <w:rPr>
                <w:rFonts w:ascii="Arial" w:cs="Arial" w:eastAsia="Arial" w:hAnsi="Arial"/>
                <w:sz w:val="18"/>
                <w:szCs w:val="18"/>
                <w:color w:val="auto"/>
                <w:w w:val="88"/>
              </w:rPr>
              <w:t>80%</w:t>
            </w:r>
          </w:p>
        </w:tc>
        <w:tc>
          <w:tcPr>
            <w:tcW w:w="1320" w:type="dxa"/>
            <w:vAlign w:val="bottom"/>
          </w:tcPr>
          <w:p>
            <w:pPr>
              <w:ind w:left="20"/>
              <w:spacing w:after="0"/>
              <w:rPr>
                <w:sz w:val="20"/>
                <w:szCs w:val="20"/>
                <w:color w:val="auto"/>
              </w:rPr>
            </w:pPr>
            <w:r>
              <w:rPr>
                <w:rFonts w:ascii="Arial" w:cs="Arial" w:eastAsia="Arial" w:hAnsi="Arial"/>
                <w:sz w:val="18"/>
                <w:szCs w:val="18"/>
                <w:color w:val="auto"/>
              </w:rPr>
              <w:t>Base rent and</w:t>
            </w:r>
          </w:p>
        </w:tc>
        <w:tc>
          <w:tcPr>
            <w:tcW w:w="500" w:type="dxa"/>
            <w:vAlign w:val="bottom"/>
          </w:tcPr>
          <w:p>
            <w:pPr>
              <w:ind w:left="140"/>
              <w:spacing w:after="0"/>
              <w:rPr>
                <w:sz w:val="20"/>
                <w:szCs w:val="20"/>
                <w:color w:val="auto"/>
              </w:rPr>
            </w:pPr>
            <w:r>
              <w:rPr>
                <w:rFonts w:ascii="Arial" w:cs="Arial" w:eastAsia="Arial" w:hAnsi="Arial"/>
                <w:sz w:val="18"/>
                <w:szCs w:val="18"/>
                <w:color w:val="auto"/>
                <w:w w:val="94"/>
              </w:rPr>
              <w:t>80%</w:t>
            </w:r>
          </w:p>
        </w:tc>
        <w:tc>
          <w:tcPr>
            <w:tcW w:w="1300" w:type="dxa"/>
            <w:vAlign w:val="bottom"/>
          </w:tcPr>
          <w:p>
            <w:pPr>
              <w:ind w:left="20"/>
              <w:spacing w:after="0"/>
              <w:rPr>
                <w:sz w:val="20"/>
                <w:szCs w:val="20"/>
                <w:color w:val="auto"/>
              </w:rPr>
            </w:pPr>
            <w:r>
              <w:rPr>
                <w:rFonts w:ascii="Arial" w:cs="Arial" w:eastAsia="Arial" w:hAnsi="Arial"/>
                <w:sz w:val="18"/>
                <w:szCs w:val="18"/>
                <w:color w:val="auto"/>
              </w:rPr>
              <w:t>Base rent and</w:t>
            </w:r>
          </w:p>
        </w:tc>
        <w:tc>
          <w:tcPr>
            <w:tcW w:w="1880" w:type="dxa"/>
            <w:vAlign w:val="bottom"/>
          </w:tcPr>
          <w:p>
            <w:pPr>
              <w:ind w:left="160"/>
              <w:spacing w:after="0"/>
              <w:rPr>
                <w:sz w:val="20"/>
                <w:szCs w:val="20"/>
                <w:color w:val="auto"/>
              </w:rPr>
            </w:pPr>
            <w:r>
              <w:rPr>
                <w:rFonts w:ascii="Arial" w:cs="Arial" w:eastAsia="Arial" w:hAnsi="Arial"/>
                <w:sz w:val="18"/>
                <w:szCs w:val="18"/>
                <w:color w:val="auto"/>
                <w:w w:val="87"/>
              </w:rPr>
              <w:t>80% Base rent and 20%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w w:val="88"/>
              </w:rPr>
              <w:t>20%</w:t>
            </w:r>
          </w:p>
        </w:tc>
        <w:tc>
          <w:tcPr>
            <w:tcW w:w="1320" w:type="dxa"/>
            <w:vAlign w:val="bottom"/>
          </w:tcPr>
          <w:p>
            <w:pPr>
              <w:ind w:left="20"/>
              <w:spacing w:after="0"/>
              <w:rPr>
                <w:sz w:val="20"/>
                <w:szCs w:val="20"/>
                <w:color w:val="auto"/>
              </w:rPr>
            </w:pPr>
            <w:r>
              <w:rPr>
                <w:rFonts w:ascii="Arial" w:cs="Arial" w:eastAsia="Arial" w:hAnsi="Arial"/>
                <w:sz w:val="18"/>
                <w:szCs w:val="18"/>
                <w:color w:val="auto"/>
              </w:rPr>
              <w:t>Variable rent</w:t>
            </w:r>
          </w:p>
        </w:tc>
        <w:tc>
          <w:tcPr>
            <w:tcW w:w="500" w:type="dxa"/>
            <w:vAlign w:val="bottom"/>
          </w:tcPr>
          <w:p>
            <w:pPr>
              <w:ind w:left="140"/>
              <w:spacing w:after="0"/>
              <w:rPr>
                <w:sz w:val="20"/>
                <w:szCs w:val="20"/>
                <w:color w:val="auto"/>
              </w:rPr>
            </w:pPr>
            <w:r>
              <w:rPr>
                <w:rFonts w:ascii="Arial" w:cs="Arial" w:eastAsia="Arial" w:hAnsi="Arial"/>
                <w:sz w:val="18"/>
                <w:szCs w:val="18"/>
                <w:color w:val="auto"/>
                <w:w w:val="94"/>
              </w:rPr>
              <w:t>20%</w:t>
            </w:r>
          </w:p>
        </w:tc>
        <w:tc>
          <w:tcPr>
            <w:tcW w:w="1300" w:type="dxa"/>
            <w:vAlign w:val="bottom"/>
          </w:tcPr>
          <w:p>
            <w:pPr>
              <w:ind w:left="20"/>
              <w:spacing w:after="0"/>
              <w:rPr>
                <w:sz w:val="20"/>
                <w:szCs w:val="20"/>
                <w:color w:val="auto"/>
              </w:rPr>
            </w:pPr>
            <w:r>
              <w:rPr>
                <w:rFonts w:ascii="Arial" w:cs="Arial" w:eastAsia="Arial" w:hAnsi="Arial"/>
                <w:sz w:val="18"/>
                <w:szCs w:val="18"/>
                <w:color w:val="auto"/>
              </w:rPr>
              <w:t>Variable rent</w:t>
            </w:r>
          </w:p>
        </w:tc>
        <w:tc>
          <w:tcPr>
            <w:tcW w:w="1880" w:type="dxa"/>
            <w:vAlign w:val="bottom"/>
          </w:tcPr>
          <w:p>
            <w:pPr>
              <w:ind w:left="160"/>
              <w:spacing w:after="0"/>
              <w:rPr>
                <w:sz w:val="20"/>
                <w:szCs w:val="20"/>
                <w:color w:val="auto"/>
              </w:rPr>
            </w:pPr>
            <w:r>
              <w:rPr>
                <w:rFonts w:ascii="Arial" w:cs="Arial" w:eastAsia="Arial" w:hAnsi="Arial"/>
                <w:sz w:val="18"/>
                <w:szCs w:val="18"/>
                <w:color w:val="auto"/>
              </w:rPr>
              <w:t>Variable rent</w:t>
            </w:r>
          </w:p>
        </w:tc>
        <w:tc>
          <w:tcPr>
            <w:tcW w:w="0" w:type="dxa"/>
            <w:vAlign w:val="bottom"/>
          </w:tcPr>
          <w:p>
            <w:pPr>
              <w:spacing w:after="0"/>
              <w:rPr>
                <w:sz w:val="1"/>
                <w:szCs w:val="1"/>
                <w:color w:val="auto"/>
              </w:rPr>
            </w:pPr>
          </w:p>
        </w:tc>
      </w:tr>
      <w:tr>
        <w:trPr>
          <w:trHeight w:val="1026"/>
        </w:trPr>
        <w:tc>
          <w:tcPr>
            <w:tcW w:w="340" w:type="dxa"/>
            <w:vAlign w:val="bottom"/>
          </w:tcPr>
          <w:p>
            <w:pPr>
              <w:spacing w:after="0"/>
              <w:rPr>
                <w:sz w:val="20"/>
                <w:szCs w:val="20"/>
                <w:color w:val="auto"/>
              </w:rPr>
            </w:pPr>
            <w:r>
              <w:rPr>
                <w:rFonts w:ascii="Arial" w:cs="Arial" w:eastAsia="Arial" w:hAnsi="Arial"/>
                <w:sz w:val="18"/>
                <w:szCs w:val="18"/>
                <w:color w:val="auto"/>
                <w:w w:val="88"/>
              </w:rPr>
              <w:t>13%</w:t>
            </w:r>
          </w:p>
        </w:tc>
        <w:tc>
          <w:tcPr>
            <w:tcW w:w="132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4%</w:t>
            </w:r>
          </w:p>
        </w:tc>
        <w:tc>
          <w:tcPr>
            <w:tcW w:w="1300" w:type="dxa"/>
            <w:vAlign w:val="bottom"/>
          </w:tcPr>
          <w:p>
            <w:pPr>
              <w:spacing w:after="0"/>
              <w:rPr>
                <w:sz w:val="24"/>
                <w:szCs w:val="24"/>
                <w:color w:val="auto"/>
              </w:rPr>
            </w:pPr>
          </w:p>
        </w:tc>
        <w:tc>
          <w:tcPr>
            <w:tcW w:w="1880" w:type="dxa"/>
            <w:vAlign w:val="bottom"/>
          </w:tcPr>
          <w:p>
            <w:pPr>
              <w:ind w:lef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-1525905</wp:posOffset>
            </wp:positionV>
            <wp:extent cx="722947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308610"/>
                    </a:xfrm>
                    <a:prstGeom prst="rect">
                      <a:avLst/>
                    </a:prstGeom>
                    <a:noFill/>
                  </pic:spPr>
                </pic:pic>
              </a:graphicData>
            </a:graphic>
          </wp:anchor>
        </w:drawing>
        <w:drawing>
          <wp:anchor simplePos="0" relativeHeight="251657728" behindDoc="1" locked="0" layoutInCell="0" allowOverlap="1">
            <wp:simplePos x="0" y="0"/>
            <wp:positionH relativeFrom="column">
              <wp:posOffset>-3655695</wp:posOffset>
            </wp:positionH>
            <wp:positionV relativeFrom="paragraph">
              <wp:posOffset>-359410</wp:posOffset>
            </wp:positionV>
            <wp:extent cx="7229475" cy="582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582930"/>
                    </a:xfrm>
                    <a:prstGeom prst="rect">
                      <a:avLst/>
                    </a:prstGeom>
                    <a:noFill/>
                  </pic:spPr>
                </pic:pic>
              </a:graphicData>
            </a:graphic>
          </wp:anchor>
        </w:drawing>
      </w:r>
    </w:p>
    <w:p>
      <w:pPr>
        <w:spacing w:after="0" w:line="560" w:lineRule="exact"/>
        <w:rPr>
          <w:sz w:val="20"/>
          <w:szCs w:val="20"/>
          <w:color w:val="auto"/>
        </w:rPr>
      </w:pPr>
    </w:p>
    <w:p>
      <w:pPr>
        <w:sectPr>
          <w:pgSz w:w="11900" w:h="16838" w:orient="portrait"/>
          <w:cols w:equalWidth="0" w:num="4">
            <w:col w:w="1860" w:space="260"/>
            <w:col w:w="1500" w:space="340"/>
            <w:col w:w="1500" w:space="320"/>
            <w:col w:w="5640"/>
          </w:cols>
          <w:pgMar w:left="240" w:top="287" w:right="239" w:bottom="1440" w:gutter="0" w:footer="0" w:header="0"/>
          <w:type w:val="continuous"/>
        </w:sectPr>
      </w:pPr>
    </w:p>
    <w:p>
      <w:pPr>
        <w:ind w:left="220" w:hanging="212"/>
        <w:spacing w:after="0"/>
        <w:tabs>
          <w:tab w:leader="none" w:pos="2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All capitalized terms used without definition herein have the meanings detailed in the applicable Lease Agreement.</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1"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The base rents of the Non-CPLV Lease and CPLV Lease will be adjusted by $21.0 million and $35.0 million, respectively, to incorporate the base rent for Harrah’s Philadelphia and Octavius Tower, respectively. The additional $35.0 million of rent for Octavius Tower will not be subject to the Escalator.</w:t>
      </w:r>
    </w:p>
    <w:p>
      <w:pPr>
        <w:ind w:firstLine="8"/>
        <w:spacing w:after="0" w:line="241" w:lineRule="auto"/>
        <w:tabs>
          <w:tab w:leader="none" w:pos="214"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nine months ended September 30, 2018.</w:t>
      </w:r>
    </w:p>
    <w:p>
      <w:pPr>
        <w:ind w:firstLine="8"/>
        <w:spacing w:after="0" w:line="241" w:lineRule="auto"/>
        <w:tabs>
          <w:tab w:leader="none" w:pos="207"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EBITDAR to Rent Ratio coverage is below the stated floor, the Escalator of the respective Lease Agreements will be reduced to such amount to achieve the stated EBITDAR to Rent Ratio coverage, provided that the amount shall never result in a decrease to the prior year’s rent.</w:t>
      </w:r>
    </w:p>
    <w:p>
      <w:pPr>
        <w:ind w:left="220" w:hanging="212"/>
        <w:spacing w:after="0"/>
        <w:tabs>
          <w:tab w:leader="none" w:pos="22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Variable Rent is not subject to the Escalator and is calculated as an increase or decrease of Net Revenues, as defined in the Lease Agreements, multiplied by the Variable Rent percentage.</w:t>
      </w:r>
    </w:p>
    <w:p>
      <w:pPr>
        <w:spacing w:after="0" w:line="12" w:lineRule="exact"/>
        <w:rPr>
          <w:rFonts w:ascii="Arial" w:cs="Arial" w:eastAsia="Arial" w:hAnsi="Arial"/>
          <w:sz w:val="13"/>
          <w:szCs w:val="13"/>
          <w:i w:val="1"/>
          <w:iCs w:val="1"/>
          <w:color w:val="auto"/>
        </w:rPr>
      </w:pPr>
    </w:p>
    <w:p>
      <w:pPr>
        <w:ind w:left="220" w:hanging="212"/>
        <w:spacing w:after="0"/>
        <w:tabs>
          <w:tab w:leader="none" w:pos="2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No material modifications to the HLV Lease are contemplated as a result of the amendments to the Lease Agreements.</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the amendments, the purchase price of Harrah’s Philadelphia will be reduced by $159.0 million to reflect the aggregate net present value of the contemplated modifications to the Lease Agreements. Additionally, the rent of the Non-CPLV Lease and CPLV Lease will be adjusted by $21.0 million and $35.0 million, per anum respectively, to incorporate the rent for Harrah’s Philadelphia and Octavius Tower, respectively.</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provisions of the Lease Agreements are subject to change based on the terms of our agreement with Caesars. The acquisition of Harrah’s Philadelphia and the entry into the contemplated modifications to the Lease Agreements are expected to close during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7"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fourth quarter of 2018, and are subject to certain customary closing conditions, including obtaining certain regulatory approvals and requisite lender and holder consents under the documents governing certain of our outstanding debt obligations. We can provide no assurances that the acquisition of Harrah’s Philadelphia and the contemplated modifications to the Lease Agreements will be consummated on the terms or timeframe described herein, or at all.</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Impairment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assess our real estate portfolio for impairment on a quarterly basis or whenever certain events or changes in circumstances indicate a possible impairment of the carrying value of the asset. Events or circumstances that may occur include changes in management’s intended holding period or potential sale to a third party, significant changes in real estate market conditions or tenant financial difficulties resulting in non-payment of the lease. Impairments are measured as the amount by which the current book value of the asset exceeds the estimated fair value of the asset.</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On the Formation Date, CEOC transferred certain vacant, non-operating land parcels to us which are subject to the provisions of the Non-CPLV Lease. The Non-CPLV Lease allows for the sale of these vacant, non-operating land parcels without Caesars consent since they are specifically identified as de minimis to the operations of Caesars. </w:t>
      </w:r>
      <w:r>
        <w:rPr>
          <w:rFonts w:ascii="Arial" w:cs="Arial" w:eastAsia="Arial" w:hAnsi="Arial"/>
          <w:sz w:val="19"/>
          <w:szCs w:val="19"/>
          <w:color w:val="auto"/>
        </w:rPr>
        <w:t>A</w:t>
      </w:r>
      <w:r>
        <w:rPr>
          <w:rFonts w:ascii="Arial" w:cs="Arial" w:eastAsia="Arial" w:hAnsi="Arial"/>
          <w:sz w:val="18"/>
          <w:szCs w:val="18"/>
          <w:color w:val="auto"/>
        </w:rPr>
        <w:t>ll of the land parcels are located outside of Las Vegas and none of the land parcels are a component of the operations of our regional property portfolio. These vacant parcels of land had a fair value of $34.7 million on the Formation Date and were included in Investments in operating leases on our Balance Sheet.</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undertook a short-term strategic initiative to monetize certain of these vacant, non-operating land parcels. In relation to this initiative, we sold one land parcel in the quarter ended September 30, 2018 and are actively engaged in negotiations with buyers on two other parcels of land. Based on the sales prices that were or are being negotiated, we determined that the fair value of these three land parcels was lower than their current carrying values and recognized an impairment charge of $6.3 million, based on the anticipated sales prices. As a result of the identified impairment on these three parcels of land, we undertook an evaluation to assess whether indicators of impairment were present on the remaining vacant, non-operating land parcels. We used a sales comparison approach to determine the fair value of the remaining vacant, non-operating land parcels and identified $6.0 million in additional impairment charges. The impairment loss recorded was the result of various factors including changes in market conditions, strategic assessment and environmental and zoning issues that were identified during the sales process. Taking into account the impairment charge recognized in the quarter ended September 30, 2018 and the sale of one of the parcels that occurred during the quarter, the current carrying value of the vacant, non-operating land parcels is $22.2 million as of September 30, 2018.</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current quarter we reclassified the remaining $22.2 million carrying value of the vacant, non-operating land from Investments in operating leases to Land. As of September 30, 2017 the balance of Land consists of $22.2 million representing the vacant, non-operating land and $73.6 million representing the Eastside Property.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Property and Equipment Used in Operations, Net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used in operations is primarily attributable to golf operations land, building and improvements and consists of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7"/>
                <w:szCs w:val="17"/>
                <w:color w:val="auto"/>
              </w:rPr>
            </w:pPr>
          </w:p>
        </w:tc>
        <w:tc>
          <w:tcPr>
            <w:tcW w:w="186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September 30, 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center"/>
              <w:ind w:right="153"/>
              <w:spacing w:after="0"/>
              <w:rPr>
                <w:sz w:val="20"/>
                <w:szCs w:val="20"/>
                <w:color w:val="auto"/>
              </w:rPr>
            </w:pPr>
            <w:r>
              <w:rPr>
                <w:rFonts w:ascii="Arial" w:cs="Arial" w:eastAsia="Arial" w:hAnsi="Arial"/>
                <w:sz w:val="16"/>
                <w:szCs w:val="16"/>
                <w:b w:val="1"/>
                <w:bCs w:val="1"/>
                <w:color w:val="auto"/>
                <w:w w:val="90"/>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58,223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57,901</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21"/>
                <w:szCs w:val="21"/>
                <w:color w:val="auto"/>
              </w:rPr>
            </w:pP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14,572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14,572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Furniture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2,578</w:t>
            </w:r>
          </w:p>
        </w:tc>
      </w:tr>
      <w:tr>
        <w:trPr>
          <w:trHeight w:val="237"/>
        </w:trPr>
        <w:tc>
          <w:tcPr>
            <w:tcW w:w="40" w:type="dxa"/>
            <w:vAlign w:val="bottom"/>
          </w:tcPr>
          <w:p>
            <w:pPr>
              <w:spacing w:after="0"/>
              <w:rPr>
                <w:sz w:val="20"/>
                <w:szCs w:val="20"/>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Total property and equipment used in operations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75,795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75,051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57"/>
        </w:trPr>
        <w:tc>
          <w:tcPr>
            <w:tcW w:w="40" w:type="dxa"/>
            <w:vAlign w:val="bottom"/>
          </w:tcPr>
          <w:p>
            <w:pPr>
              <w:spacing w:after="0"/>
              <w:rPr>
                <w:sz w:val="22"/>
                <w:szCs w:val="22"/>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Total property and equipment used in operations,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72,287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74,300</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527"/>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jc w:val="center"/>
              <w:ind w:right="153"/>
              <w:spacing w:after="0"/>
              <w:rPr>
                <w:sz w:val="20"/>
                <w:szCs w:val="20"/>
                <w:color w:val="auto"/>
              </w:rPr>
            </w:pPr>
            <w:r>
              <w:rPr>
                <w:rFonts w:ascii="Arial" w:cs="Arial" w:eastAsia="Arial" w:hAnsi="Arial"/>
                <w:sz w:val="16"/>
                <w:szCs w:val="16"/>
                <w:b w:val="1"/>
                <w:bCs w:val="1"/>
                <w:color w:val="auto"/>
                <w:w w:val="92"/>
              </w:rPr>
              <w:t>Nine Months Ended</w:t>
            </w:r>
          </w:p>
        </w:tc>
      </w:t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7"/>
                <w:szCs w:val="17"/>
                <w:color w:val="auto"/>
              </w:rPr>
            </w:pPr>
          </w:p>
        </w:tc>
        <w:tc>
          <w:tcPr>
            <w:tcW w:w="1860" w:type="dxa"/>
            <w:vAlign w:val="bottom"/>
          </w:tcPr>
          <w:p>
            <w:pPr>
              <w:jc w:val="center"/>
              <w:ind w:right="93"/>
              <w:spacing w:after="0"/>
              <w:rPr>
                <w:sz w:val="20"/>
                <w:szCs w:val="20"/>
                <w:color w:val="auto"/>
              </w:rPr>
            </w:pPr>
            <w:r>
              <w:rPr>
                <w:rFonts w:ascii="Arial" w:cs="Arial" w:eastAsia="Arial" w:hAnsi="Arial"/>
                <w:sz w:val="16"/>
                <w:szCs w:val="16"/>
                <w:b w:val="1"/>
                <w:bCs w:val="1"/>
                <w:color w:val="auto"/>
                <w:w w:val="90"/>
              </w:rPr>
              <w:t>September 30, 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September 30,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7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2,757</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7"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Other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7"/>
                <w:szCs w:val="17"/>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September 30, 2018</w:t>
            </w:r>
          </w:p>
        </w:tc>
        <w:tc>
          <w:tcPr>
            <w:tcW w:w="260" w:type="dxa"/>
            <w:vAlign w:val="bottom"/>
          </w:tcPr>
          <w:p>
            <w:pPr>
              <w:spacing w:after="0"/>
              <w:rPr>
                <w:sz w:val="17"/>
                <w:szCs w:val="17"/>
                <w:color w:val="auto"/>
              </w:rPr>
            </w:pPr>
          </w:p>
        </w:tc>
        <w:tc>
          <w:tcPr>
            <w:tcW w:w="1800" w:type="dxa"/>
            <w:vAlign w:val="bottom"/>
          </w:tcPr>
          <w:p>
            <w:pPr>
              <w:jc w:val="right"/>
              <w:ind w:right="292"/>
              <w:spacing w:after="0"/>
              <w:rPr>
                <w:sz w:val="20"/>
                <w:szCs w:val="20"/>
                <w:color w:val="auto"/>
              </w:rPr>
            </w:pPr>
            <w:r>
              <w:rPr>
                <w:rFonts w:ascii="Arial" w:cs="Arial" w:eastAsia="Arial" w:hAnsi="Arial"/>
                <w:sz w:val="16"/>
                <w:szCs w:val="16"/>
                <w:b w:val="1"/>
                <w:bCs w:val="1"/>
                <w:color w:val="auto"/>
                <w:w w:val="97"/>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5,207</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Accrued payroll and other compensation</w:t>
            </w:r>
          </w:p>
        </w:tc>
        <w:tc>
          <w:tcPr>
            <w:tcW w:w="24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2,559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2,796</w:t>
            </w:r>
          </w:p>
        </w:tc>
      </w:tr>
      <w:tr>
        <w:trPr>
          <w:trHeight w:val="257"/>
        </w:trPr>
        <w:tc>
          <w:tcPr>
            <w:tcW w:w="40" w:type="dxa"/>
            <w:vAlign w:val="bottom"/>
          </w:tcPr>
          <w:p>
            <w:pPr>
              <w:spacing w:after="0"/>
              <w:rPr>
                <w:sz w:val="22"/>
                <w:szCs w:val="22"/>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Total other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31,742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10,562</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September 30, 2018 and December 31, 2017:</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16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040" w:type="dxa"/>
            <w:vAlign w:val="bottom"/>
          </w:tcPr>
          <w:p>
            <w:pPr>
              <w:spacing w:after="0"/>
              <w:rPr>
                <w:sz w:val="17"/>
                <w:szCs w:val="17"/>
                <w:color w:val="auto"/>
              </w:rPr>
            </w:pPr>
          </w:p>
        </w:tc>
        <w:tc>
          <w:tcPr>
            <w:tcW w:w="2640" w:type="dxa"/>
            <w:vAlign w:val="bottom"/>
            <w:gridSpan w:val="2"/>
          </w:tcPr>
          <w:p>
            <w:pPr>
              <w:ind w:left="900"/>
              <w:spacing w:after="0"/>
              <w:rPr>
                <w:sz w:val="20"/>
                <w:szCs w:val="20"/>
                <w:color w:val="auto"/>
              </w:rPr>
            </w:pPr>
            <w:r>
              <w:rPr>
                <w:rFonts w:ascii="Arial" w:cs="Arial" w:eastAsia="Arial" w:hAnsi="Arial"/>
                <w:sz w:val="16"/>
                <w:szCs w:val="16"/>
                <w:b w:val="1"/>
                <w:bCs w:val="1"/>
                <w:color w:val="auto"/>
              </w:rPr>
              <w:t>September 30, 2018</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60" w:type="dxa"/>
            <w:vAlign w:val="bottom"/>
            <w:tcBorders>
              <w:top w:val="single" w:sz="8" w:color="auto"/>
            </w:tcBorders>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6"/>
              </w:rPr>
              <w:t>Final</w:t>
            </w: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40" w:type="dxa"/>
            <w:vAlign w:val="bottom"/>
            <w:vMerge w:val="restart"/>
          </w:tcPr>
          <w:p>
            <w:pPr>
              <w:ind w:left="240"/>
              <w:spacing w:after="0"/>
              <w:rPr>
                <w:sz w:val="20"/>
                <w:szCs w:val="20"/>
                <w:color w:val="auto"/>
              </w:rPr>
            </w:pPr>
            <w:r>
              <w:rPr>
                <w:rFonts w:ascii="Arial" w:cs="Arial" w:eastAsia="Arial" w:hAnsi="Arial"/>
                <w:sz w:val="16"/>
                <w:szCs w:val="16"/>
                <w:b w:val="1"/>
                <w:bCs w:val="1"/>
                <w:color w:val="auto"/>
                <w:w w:val="95"/>
              </w:rPr>
              <w:t>Carrying Value</w:t>
            </w:r>
            <w:r>
              <w:rPr>
                <w:rFonts w:ascii="Arial" w:cs="Arial" w:eastAsia="Arial" w:hAnsi="Arial"/>
                <w:sz w:val="25"/>
                <w:szCs w:val="25"/>
                <w:i w:val="1"/>
                <w:iCs w:val="1"/>
                <w:color w:val="auto"/>
                <w:w w:val="95"/>
                <w:vertAlign w:val="superscript"/>
              </w:rPr>
              <w:t>(1)</w:t>
            </w:r>
          </w:p>
        </w:tc>
        <w:tc>
          <w:tcPr>
            <w:tcW w:w="0" w:type="dxa"/>
            <w:vAlign w:val="bottom"/>
          </w:tcPr>
          <w:p>
            <w:pPr>
              <w:spacing w:after="0"/>
              <w:rPr>
                <w:sz w:val="1"/>
                <w:szCs w:val="1"/>
                <w:color w:val="auto"/>
              </w:rPr>
            </w:pPr>
          </w:p>
        </w:tc>
      </w:tr>
      <w:tr>
        <w:trPr>
          <w:trHeight w:val="286"/>
        </w:trPr>
        <w:tc>
          <w:tcPr>
            <w:tcW w:w="6160" w:type="dxa"/>
            <w:vAlign w:val="bottom"/>
            <w:gridSpan w:val="2"/>
          </w:tcPr>
          <w:p>
            <w:pPr>
              <w:spacing w:after="0"/>
              <w:rPr>
                <w:sz w:val="20"/>
                <w:szCs w:val="20"/>
                <w:color w:val="auto"/>
              </w:rPr>
            </w:pPr>
            <w:r>
              <w:rPr>
                <w:rFonts w:ascii="Arial" w:cs="Arial" w:eastAsia="Arial" w:hAnsi="Arial"/>
                <w:sz w:val="16"/>
                <w:szCs w:val="16"/>
                <w:b w:val="1"/>
                <w:bCs w:val="1"/>
                <w:color w:val="auto"/>
              </w:rPr>
              <w:t>Description of Debt</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1380" w:type="dxa"/>
            <w:vAlign w:val="bottom"/>
          </w:tcPr>
          <w:p>
            <w:pPr>
              <w:ind w:left="220"/>
              <w:spacing w:after="0"/>
              <w:rPr>
                <w:sz w:val="20"/>
                <w:szCs w:val="20"/>
                <w:color w:val="auto"/>
              </w:rPr>
            </w:pPr>
            <w:r>
              <w:rPr>
                <w:rFonts w:ascii="Arial" w:cs="Arial" w:eastAsia="Arial" w:hAnsi="Arial"/>
                <w:sz w:val="16"/>
                <w:szCs w:val="16"/>
                <w:b w:val="1"/>
                <w:bCs w:val="1"/>
                <w:color w:val="auto"/>
              </w:rPr>
              <w:t>Interest Rate</w:t>
            </w:r>
          </w:p>
        </w:tc>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Face Value</w:t>
            </w: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p>
      <w:pPr>
        <w:ind w:left="40"/>
        <w:spacing w:after="0"/>
        <w:rPr>
          <w:sz w:val="20"/>
          <w:szCs w:val="20"/>
          <w:color w:val="auto"/>
        </w:rPr>
      </w:pPr>
      <w:r>
        <w:rPr>
          <w:rFonts w:ascii="Arial" w:cs="Arial" w:eastAsia="Arial" w:hAnsi="Arial"/>
          <w:sz w:val="18"/>
          <w:szCs w:val="18"/>
          <w:color w:val="auto"/>
        </w:rPr>
        <w:t>VICI PropCo Senior Secured Credit Facilities</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Senior Secured Revolving Credit Facility (“Revolving Credit Facility”)</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3"/>
          <w:szCs w:val="13"/>
          <w:i w:val="1"/>
          <w:i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First Lien Senior Secured Term Loan (“Term Loan B Facility”) </w:t>
      </w:r>
      <w:r>
        <w:rPr>
          <w:rFonts w:ascii="Arial" w:cs="Arial" w:eastAsia="Arial" w:hAnsi="Arial"/>
          <w:sz w:val="22"/>
          <w:szCs w:val="22"/>
          <w:i w:val="1"/>
          <w:iCs w:val="1"/>
          <w:color w:val="auto"/>
          <w:vertAlign w:val="superscript"/>
        </w:rPr>
        <w:t>(3)(4)(5)</w:t>
      </w:r>
    </w:p>
    <w:p>
      <w:pPr>
        <w:spacing w:after="0" w:line="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Second Priority Senior Secured Notes (“Second Lien Notes”) </w:t>
      </w:r>
      <w:r>
        <w:rPr>
          <w:rFonts w:ascii="Arial" w:cs="Arial" w:eastAsia="Arial" w:hAnsi="Arial"/>
          <w:sz w:val="25"/>
          <w:szCs w:val="25"/>
          <w:i w:val="1"/>
          <w:iCs w:val="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CPLV Debt</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CMBS Debt (the “CPLV CMBS Debt”) </w:t>
      </w:r>
      <w:r>
        <w:rPr>
          <w:rFonts w:ascii="Arial" w:cs="Arial" w:eastAsia="Arial" w:hAnsi="Arial"/>
          <w:sz w:val="25"/>
          <w:szCs w:val="25"/>
          <w:i w:val="1"/>
          <w:iCs w:val="1"/>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Debt</w:t>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Description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30"/>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2022</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L + 2.00%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2024</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L + 2.00%</w:t>
            </w:r>
          </w:p>
        </w:tc>
        <w:tc>
          <w:tcPr>
            <w:tcW w:w="3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2,100,000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2,072,673</w:t>
            </w:r>
          </w:p>
        </w:tc>
      </w:tr>
      <w:tr>
        <w:trPr>
          <w:trHeight w:val="270"/>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2023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3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498,480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498,480</w:t>
            </w:r>
          </w:p>
        </w:tc>
      </w:tr>
      <w:tr>
        <w:trPr>
          <w:trHeight w:val="540"/>
        </w:trPr>
        <w:tc>
          <w:tcPr>
            <w:tcW w:w="660" w:type="dxa"/>
            <w:vAlign w:val="bottom"/>
          </w:tcPr>
          <w:p>
            <w:pPr>
              <w:jc w:val="right"/>
              <w:ind w:right="210"/>
              <w:spacing w:after="0"/>
              <w:rPr>
                <w:sz w:val="20"/>
                <w:szCs w:val="20"/>
                <w:color w:val="auto"/>
              </w:rPr>
            </w:pPr>
            <w:r>
              <w:rPr>
                <w:rFonts w:ascii="Arial" w:cs="Arial" w:eastAsia="Arial" w:hAnsi="Arial"/>
                <w:sz w:val="18"/>
                <w:szCs w:val="18"/>
                <w:color w:val="auto"/>
                <w:w w:val="84"/>
              </w:rPr>
              <w:t>2022</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4.36%</w:t>
            </w:r>
          </w:p>
        </w:tc>
        <w:tc>
          <w:tcPr>
            <w:tcW w:w="34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1,550,000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1,550,000</w:t>
            </w:r>
          </w:p>
        </w:tc>
      </w:tr>
      <w:tr>
        <w:trPr>
          <w:trHeight w:val="27"/>
        </w:trPr>
        <w:tc>
          <w:tcPr>
            <w:tcW w:w="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4,148,480</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4,121,153</w:t>
            </w:r>
          </w:p>
        </w:tc>
      </w:tr>
      <w:tr>
        <w:trPr>
          <w:trHeight w:val="27"/>
        </w:trPr>
        <w:tc>
          <w:tcPr>
            <w:tcW w:w="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37465</wp:posOffset>
            </wp:positionV>
            <wp:extent cx="3319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0" w:type="dxa"/>
            <w:vAlign w:val="bottom"/>
          </w:tcPr>
          <w:p>
            <w:pPr>
              <w:jc w:val="center"/>
              <w:ind w:right="119"/>
              <w:spacing w:after="0"/>
              <w:rPr>
                <w:sz w:val="20"/>
                <w:szCs w:val="20"/>
                <w:color w:val="auto"/>
              </w:rPr>
            </w:pPr>
            <w:r>
              <w:rPr>
                <w:rFonts w:ascii="Arial" w:cs="Arial" w:eastAsia="Arial" w:hAnsi="Arial"/>
                <w:sz w:val="16"/>
                <w:szCs w:val="16"/>
                <w:b w:val="1"/>
                <w:bCs w:val="1"/>
                <w:color w:val="auto"/>
                <w:w w:val="96"/>
              </w:rPr>
              <w:t>Final</w:t>
            </w: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60" w:type="dxa"/>
            <w:vAlign w:val="bottom"/>
            <w:vMerge w:val="restart"/>
          </w:tcPr>
          <w:p>
            <w:pPr>
              <w:ind w:left="240"/>
              <w:spacing w:after="0"/>
              <w:rPr>
                <w:sz w:val="20"/>
                <w:szCs w:val="20"/>
                <w:color w:val="auto"/>
              </w:rPr>
            </w:pPr>
            <w:r>
              <w:rPr>
                <w:rFonts w:ascii="Arial" w:cs="Arial" w:eastAsia="Arial" w:hAnsi="Arial"/>
                <w:sz w:val="16"/>
                <w:szCs w:val="16"/>
                <w:b w:val="1"/>
                <w:bCs w:val="1"/>
                <w:color w:val="auto"/>
                <w:w w:val="89"/>
              </w:rPr>
              <w:t>Carrying Value</w:t>
            </w:r>
            <w:r>
              <w:rPr>
                <w:rFonts w:ascii="Arial" w:cs="Arial" w:eastAsia="Arial" w:hAnsi="Arial"/>
                <w:sz w:val="25"/>
                <w:szCs w:val="25"/>
                <w:i w:val="1"/>
                <w:iCs w:val="1"/>
                <w:color w:val="auto"/>
                <w:w w:val="89"/>
                <w:vertAlign w:val="superscript"/>
              </w:rPr>
              <w:t>(1)</w:t>
            </w:r>
          </w:p>
        </w:tc>
        <w:tc>
          <w:tcPr>
            <w:tcW w:w="0" w:type="dxa"/>
            <w:vAlign w:val="bottom"/>
          </w:tcPr>
          <w:p>
            <w:pPr>
              <w:spacing w:after="0"/>
              <w:rPr>
                <w:sz w:val="1"/>
                <w:szCs w:val="1"/>
                <w:color w:val="auto"/>
              </w:rPr>
            </w:pPr>
          </w:p>
        </w:tc>
      </w:tr>
      <w:tr>
        <w:trPr>
          <w:trHeight w:val="286"/>
        </w:trPr>
        <w:tc>
          <w:tcPr>
            <w:tcW w:w="84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Maturity</w:t>
            </w:r>
          </w:p>
        </w:tc>
        <w:tc>
          <w:tcPr>
            <w:tcW w:w="1380" w:type="dxa"/>
            <w:vAlign w:val="bottom"/>
          </w:tcPr>
          <w:p>
            <w:pPr>
              <w:ind w:left="220"/>
              <w:spacing w:after="0"/>
              <w:rPr>
                <w:sz w:val="20"/>
                <w:szCs w:val="20"/>
                <w:color w:val="auto"/>
              </w:rPr>
            </w:pPr>
            <w:r>
              <w:rPr>
                <w:rFonts w:ascii="Arial" w:cs="Arial" w:eastAsia="Arial" w:hAnsi="Arial"/>
                <w:sz w:val="16"/>
                <w:szCs w:val="16"/>
                <w:b w:val="1"/>
                <w:bCs w:val="1"/>
                <w:color w:val="auto"/>
              </w:rPr>
              <w:t>Interest Rate</w:t>
            </w:r>
          </w:p>
        </w:tc>
        <w:tc>
          <w:tcPr>
            <w:tcW w:w="1260" w:type="dxa"/>
            <w:vAlign w:val="bottom"/>
          </w:tcPr>
          <w:p>
            <w:pPr>
              <w:ind w:left="260"/>
              <w:spacing w:after="0"/>
              <w:rPr>
                <w:sz w:val="20"/>
                <w:szCs w:val="20"/>
                <w:color w:val="auto"/>
              </w:rPr>
            </w:pPr>
            <w:r>
              <w:rPr>
                <w:rFonts w:ascii="Arial" w:cs="Arial" w:eastAsia="Arial" w:hAnsi="Arial"/>
                <w:sz w:val="16"/>
                <w:szCs w:val="16"/>
                <w:b w:val="1"/>
                <w:bCs w:val="1"/>
                <w:color w:val="auto"/>
              </w:rPr>
              <w:t>Face Value</w:t>
            </w: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680" w:space="720"/>
            <w:col w:w="5020"/>
          </w:cols>
          <w:pgMar w:left="240" w:top="287"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VICI PropCo Senior Secured Credit Facilities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500" w:type="dxa"/>
            <w:vAlign w:val="bottom"/>
          </w:tcPr>
          <w:p>
            <w:pPr>
              <w:ind w:left="280"/>
              <w:spacing w:after="0"/>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5"/>
                <w:szCs w:val="25"/>
                <w:i w:val="1"/>
                <w:iCs w:val="1"/>
                <w:color w:val="auto"/>
                <w:vertAlign w:val="superscript"/>
              </w:rPr>
              <w:t>(2)(3)</w:t>
            </w:r>
          </w:p>
        </w:tc>
        <w:tc>
          <w:tcPr>
            <w:tcW w:w="2700" w:type="dxa"/>
            <w:vAlign w:val="bottom"/>
          </w:tcPr>
          <w:p>
            <w:pPr>
              <w:jc w:val="right"/>
              <w:ind w:right="210"/>
              <w:spacing w:after="0"/>
              <w:rPr>
                <w:sz w:val="20"/>
                <w:szCs w:val="20"/>
                <w:color w:val="auto"/>
              </w:rPr>
            </w:pPr>
            <w:r>
              <w:rPr>
                <w:rFonts w:ascii="Arial" w:cs="Arial" w:eastAsia="Arial" w:hAnsi="Arial"/>
                <w:sz w:val="18"/>
                <w:szCs w:val="18"/>
                <w:color w:val="auto"/>
              </w:rPr>
              <w:t>2022</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L + 2.25%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5"/>
                <w:szCs w:val="25"/>
                <w:i w:val="1"/>
                <w:iCs w:val="1"/>
                <w:color w:val="auto"/>
                <w:vertAlign w:val="superscript"/>
              </w:rPr>
              <w:t>(3)(4)(5)</w:t>
            </w:r>
          </w:p>
        </w:tc>
        <w:tc>
          <w:tcPr>
            <w:tcW w:w="2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2024</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 + 2.25%</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2,168,864</w:t>
            </w:r>
          </w:p>
        </w:tc>
        <w:tc>
          <w:tcPr>
            <w:tcW w:w="0" w:type="dxa"/>
            <w:vAlign w:val="bottom"/>
          </w:tcPr>
          <w:p>
            <w:pPr>
              <w:spacing w:after="0"/>
              <w:rPr>
                <w:sz w:val="1"/>
                <w:szCs w:val="1"/>
                <w:color w:val="auto"/>
              </w:rPr>
            </w:pPr>
          </w:p>
        </w:tc>
      </w:tr>
      <w:tr>
        <w:trPr>
          <w:trHeight w:val="270"/>
        </w:trPr>
        <w:tc>
          <w:tcPr>
            <w:tcW w:w="45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Second Lien Notes </w:t>
            </w:r>
            <w:r>
              <w:rPr>
                <w:rFonts w:ascii="Arial" w:cs="Arial" w:eastAsia="Arial" w:hAnsi="Arial"/>
                <w:sz w:val="25"/>
                <w:szCs w:val="25"/>
                <w:i w:val="1"/>
                <w:iCs w:val="1"/>
                <w:color w:val="auto"/>
                <w:vertAlign w:val="superscript"/>
              </w:rPr>
              <w:t>(6)</w:t>
            </w:r>
          </w:p>
        </w:tc>
        <w:tc>
          <w:tcPr>
            <w:tcW w:w="2700" w:type="dxa"/>
            <w:vAlign w:val="bottom"/>
          </w:tcPr>
          <w:p>
            <w:pPr>
              <w:jc w:val="right"/>
              <w:ind w:right="210"/>
              <w:spacing w:after="0"/>
              <w:rPr>
                <w:sz w:val="20"/>
                <w:szCs w:val="20"/>
                <w:color w:val="auto"/>
              </w:rPr>
            </w:pPr>
            <w:r>
              <w:rPr>
                <w:rFonts w:ascii="Arial" w:cs="Arial" w:eastAsia="Arial" w:hAnsi="Arial"/>
                <w:sz w:val="18"/>
                <w:szCs w:val="18"/>
                <w:color w:val="auto"/>
              </w:rPr>
              <w:t>2023</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3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766,892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766,892</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CPLV Debt</w:t>
            </w:r>
          </w:p>
        </w:tc>
        <w:tc>
          <w:tcPr>
            <w:tcW w:w="27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0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CPLV CMBS Debt </w:t>
            </w:r>
            <w:r>
              <w:rPr>
                <w:rFonts w:ascii="Arial" w:cs="Arial" w:eastAsia="Arial" w:hAnsi="Arial"/>
                <w:sz w:val="25"/>
                <w:szCs w:val="25"/>
                <w:i w:val="1"/>
                <w:iCs w:val="1"/>
                <w:color w:val="auto"/>
                <w:vertAlign w:val="superscript"/>
              </w:rPr>
              <w:t>(7)</w:t>
            </w:r>
          </w:p>
        </w:tc>
        <w:tc>
          <w:tcPr>
            <w:tcW w:w="2700" w:type="dxa"/>
            <w:vAlign w:val="bottom"/>
            <w:tcBorders>
              <w:bottom w:val="single" w:sz="8" w:color="CCEEFF"/>
            </w:tcBorders>
          </w:tcPr>
          <w:p>
            <w:pPr>
              <w:jc w:val="right"/>
              <w:ind w:right="21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4.36%</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1,550,000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1,550,000</w:t>
            </w:r>
          </w:p>
        </w:tc>
        <w:tc>
          <w:tcPr>
            <w:tcW w:w="0" w:type="dxa"/>
            <w:vAlign w:val="bottom"/>
          </w:tcPr>
          <w:p>
            <w:pPr>
              <w:spacing w:after="0"/>
              <w:rPr>
                <w:sz w:val="1"/>
                <w:szCs w:val="1"/>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7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4,816,892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4,785,756</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00" w:type="dxa"/>
            <w:vAlign w:val="bottom"/>
            <w:vMerge w:val="continue"/>
          </w:tcPr>
          <w:p>
            <w:pPr>
              <w:spacing w:after="0"/>
              <w:rPr>
                <w:sz w:val="17"/>
                <w:szCs w:val="17"/>
                <w:color w:val="auto"/>
              </w:rPr>
            </w:pPr>
          </w:p>
        </w:tc>
        <w:tc>
          <w:tcPr>
            <w:tcW w:w="2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hanging="332"/>
        <w:spacing w:after="0" w:line="250" w:lineRule="auto"/>
        <w:tabs>
          <w:tab w:leader="none" w:pos="34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original issue discount and unamortized debt issuance costs incurred in conjunction with debt.Interest on any outstanding balance is payable monthly. Any unused balance is subject to a 0.5% commitment fee paid quarterly.</w:t>
      </w:r>
    </w:p>
    <w:p>
      <w:pPr>
        <w:ind w:left="340" w:hanging="332"/>
        <w:spacing w:after="0"/>
        <w:tabs>
          <w:tab w:leader="none" w:pos="34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Initially bore interest at LIBOR plus 2.25%. Upon our initial public offering, on February 5, 2018, the interest rate was reduced to LIBOR plus 2.00%.</w:t>
      </w:r>
    </w:p>
    <w:p>
      <w:pPr>
        <w:spacing w:after="0" w:line="1" w:lineRule="exact"/>
        <w:rPr>
          <w:rFonts w:ascii="Arial" w:cs="Arial" w:eastAsia="Arial" w:hAnsi="Arial"/>
          <w:sz w:val="14"/>
          <w:szCs w:val="14"/>
          <w:i w:val="1"/>
          <w:iCs w:val="1"/>
          <w:color w:val="auto"/>
        </w:rPr>
      </w:pPr>
    </w:p>
    <w:p>
      <w:pPr>
        <w:ind w:left="340" w:right="20" w:hanging="332"/>
        <w:spacing w:after="0" w:line="260" w:lineRule="auto"/>
        <w:tabs>
          <w:tab w:leader="none" w:pos="340" w:val="left"/>
        </w:tabs>
        <w:numPr>
          <w:ilvl w:val="0"/>
          <w:numId w:val="7"/>
        </w:numPr>
        <w:rPr>
          <w:rFonts w:ascii="Arial" w:cs="Arial" w:eastAsia="Arial" w:hAnsi="Arial"/>
          <w:sz w:val="13"/>
          <w:szCs w:val="13"/>
          <w:i w:val="1"/>
          <w:iCs w:val="1"/>
          <w:color w:val="auto"/>
        </w:rPr>
      </w:pPr>
      <w:r>
        <w:rPr>
          <w:rFonts w:ascii="Arial" w:cs="Arial" w:eastAsia="Arial" w:hAnsi="Arial"/>
          <w:sz w:val="13"/>
          <w:szCs w:val="13"/>
          <w:i w:val="1"/>
          <w:iCs w:val="1"/>
          <w:color w:val="auto"/>
        </w:rPr>
        <w:t>Interest is payable monthly. On April 24, 2018, we entered into four interest rate swap agreements with third party financial institutions having an aggregate notional amount of $1.5 billion. The interest rate swaps are designated as cash flow hedges that effectively fix the LIBOR component of the interest rate on a portion of the outstanding debt at 2.8297%.</w:t>
      </w:r>
    </w:p>
    <w:p>
      <w:pPr>
        <w:ind w:left="340" w:hanging="332"/>
        <w:spacing w:after="0"/>
        <w:tabs>
          <w:tab w:leader="none" w:pos="34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Final maturity is December 2024 or, to the extent the Second Lien Notes remain outstanding, July 2023 (three months prior to the maturity of the Second Lien Notes).</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monthly.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7"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560" w:type="dxa"/>
            <w:vAlign w:val="bottom"/>
          </w:tcPr>
          <w:p>
            <w:pPr>
              <w:jc w:val="center"/>
              <w:ind w:left="921"/>
              <w:spacing w:after="0"/>
              <w:rPr>
                <w:sz w:val="20"/>
                <w:szCs w:val="20"/>
                <w:color w:val="auto"/>
              </w:rPr>
            </w:pPr>
            <w:r>
              <w:rPr>
                <w:rFonts w:ascii="Arial" w:cs="Arial" w:eastAsia="Arial" w:hAnsi="Arial"/>
                <w:sz w:val="20"/>
                <w:szCs w:val="20"/>
                <w:b w:val="1"/>
                <w:bCs w:val="1"/>
                <w:color w:val="auto"/>
              </w:rPr>
              <w:t>VICI PROPERTIES INC.</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560" w:type="dxa"/>
            <w:vAlign w:val="bottom"/>
          </w:tcPr>
          <w:p>
            <w:pPr>
              <w:jc w:val="center"/>
              <w:ind w:left="921"/>
              <w:spacing w:after="0"/>
              <w:rPr>
                <w:sz w:val="20"/>
                <w:szCs w:val="20"/>
                <w:color w:val="auto"/>
              </w:rPr>
            </w:pPr>
            <w:r>
              <w:rPr>
                <w:rFonts w:ascii="Arial" w:cs="Arial" w:eastAsia="Arial" w:hAnsi="Arial"/>
                <w:sz w:val="20"/>
                <w:szCs w:val="20"/>
                <w:b w:val="1"/>
                <w:bCs w:val="1"/>
                <w:color w:val="auto"/>
                <w:w w:val="97"/>
              </w:rPr>
              <w:t>NOTES TO CONSOLIDATED FINANCIAL STATEMENTS (Continued)</w:t>
            </w: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6"/>
        </w:trPr>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560" w:type="dxa"/>
            <w:vAlign w:val="bottom"/>
          </w:tcPr>
          <w:p>
            <w:pPr>
              <w:jc w:val="center"/>
              <w:ind w:left="921"/>
              <w:spacing w:after="0"/>
              <w:rPr>
                <w:sz w:val="20"/>
                <w:szCs w:val="20"/>
                <w:color w:val="auto"/>
              </w:rPr>
            </w:pPr>
            <w:r>
              <w:rPr>
                <w:rFonts w:ascii="Arial" w:cs="Arial" w:eastAsia="Arial" w:hAnsi="Arial"/>
                <w:sz w:val="20"/>
                <w:szCs w:val="20"/>
                <w:b w:val="1"/>
                <w:bCs w:val="1"/>
                <w:color w:val="auto"/>
              </w:rPr>
              <w:t>(UNAUDITED)</w:t>
            </w: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617"/>
        </w:trPr>
        <w:tc>
          <w:tcPr>
            <w:tcW w:w="9480" w:type="dxa"/>
            <w:vAlign w:val="bottom"/>
            <w:gridSpan w:val="3"/>
          </w:tcPr>
          <w:p>
            <w:pPr>
              <w:spacing w:after="0"/>
              <w:rPr>
                <w:sz w:val="20"/>
                <w:szCs w:val="20"/>
                <w:color w:val="auto"/>
              </w:rPr>
            </w:pPr>
            <w:r>
              <w:rPr>
                <w:rFonts w:ascii="Arial" w:cs="Arial" w:eastAsia="Arial" w:hAnsi="Arial"/>
                <w:sz w:val="18"/>
                <w:szCs w:val="18"/>
                <w:color w:val="auto"/>
              </w:rPr>
              <w:t>The following table is a schedule of future minimum repayments of our debt obligations as of September 30, 2018:</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22"/>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Future Minimum</w:t>
            </w:r>
          </w:p>
        </w:tc>
      </w:tr>
      <w:tr>
        <w:trPr>
          <w:trHeight w:val="221"/>
        </w:trPr>
        <w:tc>
          <w:tcPr>
            <w:tcW w:w="94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9"/>
                <w:szCs w:val="19"/>
                <w:color w:val="auto"/>
              </w:rPr>
            </w:pPr>
          </w:p>
        </w:tc>
        <w:tc>
          <w:tcPr>
            <w:tcW w:w="1720" w:type="dxa"/>
            <w:vAlign w:val="bottom"/>
          </w:tcPr>
          <w:p>
            <w:pPr>
              <w:jc w:val="right"/>
              <w:ind w:right="410"/>
              <w:spacing w:after="0"/>
              <w:rPr>
                <w:sz w:val="20"/>
                <w:szCs w:val="20"/>
                <w:color w:val="auto"/>
              </w:rPr>
            </w:pPr>
            <w:r>
              <w:rPr>
                <w:rFonts w:ascii="Arial" w:cs="Arial" w:eastAsia="Arial" w:hAnsi="Arial"/>
                <w:sz w:val="18"/>
                <w:szCs w:val="18"/>
                <w:b w:val="1"/>
                <w:bCs w:val="1"/>
                <w:color w:val="auto"/>
              </w:rPr>
              <w:t>Repayments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4"/>
        </w:trPr>
        <w:tc>
          <w:tcPr>
            <w:tcW w:w="9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1,560,000</w:t>
            </w:r>
          </w:p>
        </w:tc>
      </w:tr>
      <w:tr>
        <w:trPr>
          <w:trHeight w:val="243"/>
        </w:trPr>
        <w:tc>
          <w:tcPr>
            <w:tcW w:w="948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2,588,480</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repayments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4,148,480</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Secured Credit Facilities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2017, VICI PropCo entered into a credit agreement (the “Credit Agreement”) comprised of a $2.2 billion Term Loan B Facility and a $400.0 million Revolving Credit Facility, $300.0 million of which was borrowed (the Term Loan B Facility and the Revolving Credit Facility together, the “Senior Secured Credit Facilities”). The Senior Secured Credit Facilities initially bore interest at LIBOR plus 2.25%. Upon our initial public offering, on February 5, 2018, the interest rate was reduced to LIBOR plus 2.00%, as contemplated by the Credit Agreement.</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Credit Agreement contains customary covenants that,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important exceptions and qualifications, including, with respect to the restricted payments covenant, the ability to make unlimited restricted payments to maintain our REIT status. Commencing with the first full fiscal quarter ended after December 22, 2017, the closing date under the Credit Agreement, if there is 30% utilization of the Revolving Credit Facility, VICI PropCo and its restricted subsidiaries on a consolidated basis is required to maintain a maximum Total Net Debt to Adjusted Total Assets Ratio, as defined in the Credit Agreement.</w:t>
      </w:r>
    </w:p>
    <w:p>
      <w:pPr>
        <w:spacing w:after="0" w:line="14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Senior Secured Credit Facilities are collateralized by 17 of our properties and one parcel of land. The Senior Secured Credit Facilities may be voluntarily prepaid at VICI PropCo’s option, in whole or in part, at any time, and are subject to mandatory prepayment in the event of receipt by VICI PropCo or any of its restricted subsidiaries of the proceeds from the occurrence of certain events, including asset sales, casualty events and issuance of certain indebtedness.</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2018, we completed an initial public offering resulting in net proceeds of approximately $1.3 billion. We used a portion of those proceeds to pay down the $300.0 million outstanding on the Revolving Credit Facility and to repay $100.0 million of the principal amount outstanding on the Term Loan B Facility. Under the Credit Agreement, the Term Loan B Facility is subject to amortization of 1.0% of principal per annum payable in equal quarterly installments on the last business day of each calendar quarter. However, as a result of prepaying $100.0 million in February 2018 the next principal payment due on the Term Loan B Facility is September 2022.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w:t>
      </w:r>
      <w:r>
        <w:rPr>
          <w:rFonts w:ascii="Arial" w:cs="Arial" w:eastAsia="Arial" w:hAnsi="Arial"/>
          <w:sz w:val="12"/>
          <w:szCs w:val="12"/>
          <w:color w:val="auto"/>
        </w:rPr>
        <w:t>—</w:t>
      </w:r>
      <w:r>
        <w:rPr>
          <w:rFonts w:ascii="Arial" w:cs="Arial" w:eastAsia="Arial" w:hAnsi="Arial"/>
          <w:sz w:val="18"/>
          <w:szCs w:val="18"/>
          <w:color w:val="auto"/>
        </w:rPr>
        <w:t>Derivatives for a discussion of our interest rate swap agreements related to the Term Loan B Facility.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7"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CPLV CMBS Debt</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CPLV CMBS Debt was incurred in October 2017 pursuant to a loan agreement (the “CMBS Loan Agreement”), and is secured by a first priority lien on all of the assets of CPLV Property Owner LLC, as borrower (“CPLV Borrower”), subject only to certain encumbrances as set forth in the CMBS Loan Agreement and including CPLV Borrower’s (1) fee interest (except as provided in (2)) in and to Caesars Palace Las Vegas, (2) leasehold interest with respect to Octavius Tower, and (3) interest in the CPLV Lease and all related agreements, including the Lease Agreements. The CPLV CMBS Debt bears interest at 4.36% per annum. The CPLV CMBS Debt is evidenced by one or more promissory notes and secured by, among other things, a mortgage, deed of trust or other similar security instrument that creates a mortgage lien on the fee and/or leasehold interest of the CPLV Borrower.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CMBS Loan Agreement contains certain covenants limiting CPLV Borrower’s ability to, among other things: (i) incur additional debt; (ii) enter into certain transactions with its affiliates; (iii) consolidate, merge, sell or otherwise dispose of its assets; and (iv) allow transfers of its direct or indirect equity interests.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Lien Notes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Second Lien Notes were issued in October 2017, pursuant to an indenture (the “Indenture”) by and among VICI PropCo and its wholly owned subsidiary, VICI FC Inc. (together, the “Issuers”), the subsidiary guarantors party thereto, and UMB Bank National Association, as trustee. The Second Lien Notes are guaranteed by each of the Issuers’ existing and subsequently acquired wholly-owned material domestic restricted subsidiaries and secured by a second priority lien on substantially all of the Issuers’ and such restricted subsidiaries’ material assets, including mortgages on their respective real estate, subject to customary exclusions. None of VICI or certain subsidiaries of VICI PropCo, including CPLV Borrower, are subject to the covenants of the Indenture or are guarantors of the Second Lien Notes.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 contains covenants that limit the Issuers’ and their restricted subsidiaries’ ability to, among other things: (i) incur additional debt; (ii) pay dividends on or make other distributions in respect of their capital stock or make other restricted payments (with the exception that we have the ability to make unlimited restricted payments to maintain our REIT status); (iii) 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 (viii) enter into certain transactions with their affiliates; and (ix) designate their subsidiaries as unrestricted subsidiaries.</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Second Lien Notes were redeemable at the option of the Issuers, with the option to redeem up to 35% of the original aggregate principal amount thereof with the net cash proceeds of certain issuances of common or preferred equity by VICI PropCo or VICI, at a price equal to 108% of such principal amount of the Second Lien Notes redeemed. In February 2018, we used a portion of the proceeds from our initial public offering to redeem $268.4 million of the Second Lien Notes, which represented 35% of the original aggregate principal amount, at a redemption price of 108% plus accrued and unpaid interest to the date of redemption. Due to the paydown of the debt, we recognized a loss on extinguishment of debt of $23.0 million during the three months ended March 31, 2018, the majority of which relates to the premium paid on the redemption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September 30, 2018, we are in compliance with all required covenants under our debt obligations.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7"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Derivatives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24, 2018, we entered into four interest rate swap agreements with third party financial institutions having an aggregate notional amount of $1.5 billion. The interest rate swap transactions are designated as cash flow hedges that effectively fix the LIBOR component of the interest rate on a portion of the outstanding debt under the Term Loan B Facility at 2.8297%.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outstanding interest rate derivatives that were designated as cash flow hedges of interest rate risk: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20" w:type="dxa"/>
            <w:vAlign w:val="bottom"/>
            <w:gridSpan w:val="4"/>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4"/>
          </w:tcPr>
          <w:p>
            <w:pPr>
              <w:ind w:left="300"/>
              <w:spacing w:after="0"/>
              <w:rPr>
                <w:sz w:val="20"/>
                <w:szCs w:val="20"/>
                <w:color w:val="auto"/>
              </w:rPr>
            </w:pPr>
            <w:r>
              <w:rPr>
                <w:rFonts w:ascii="Arial" w:cs="Arial" w:eastAsia="Arial" w:hAnsi="Arial"/>
                <w:sz w:val="18"/>
                <w:szCs w:val="18"/>
                <w:b w:val="1"/>
                <w:bCs w:val="1"/>
                <w:color w:val="auto"/>
              </w:rPr>
              <w:t>September 30, 2018</w:t>
            </w:r>
          </w:p>
        </w:tc>
        <w:tc>
          <w:tcPr>
            <w:tcW w:w="21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0"/>
        </w:trPr>
        <w:tc>
          <w:tcPr>
            <w:tcW w:w="4020" w:type="dxa"/>
            <w:vAlign w:val="bottom"/>
            <w:gridSpan w:val="4"/>
          </w:tcPr>
          <w:p>
            <w:pPr>
              <w:ind w:left="40"/>
              <w:spacing w:after="0"/>
              <w:rPr>
                <w:sz w:val="20"/>
                <w:szCs w:val="20"/>
                <w:color w:val="auto"/>
              </w:rPr>
            </w:pPr>
            <w:r>
              <w:rPr>
                <w:rFonts w:ascii="Arial" w:cs="Arial" w:eastAsia="Arial" w:hAnsi="Arial"/>
                <w:sz w:val="16"/>
                <w:szCs w:val="16"/>
                <w:b w:val="1"/>
                <w:bCs w:val="1"/>
                <w:color w:val="auto"/>
              </w:rPr>
              <w:t>Instrument</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Instruments</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Fixed Rate</w:t>
            </w:r>
          </w:p>
        </w:tc>
        <w:tc>
          <w:tcPr>
            <w:tcW w:w="1360" w:type="dxa"/>
            <w:vAlign w:val="bottom"/>
            <w:gridSpan w:val="2"/>
          </w:tcPr>
          <w:p>
            <w:pPr>
              <w:ind w:left="340"/>
              <w:spacing w:after="0"/>
              <w:rPr>
                <w:sz w:val="20"/>
                <w:szCs w:val="20"/>
                <w:color w:val="auto"/>
              </w:rPr>
            </w:pPr>
            <w:r>
              <w:rPr>
                <w:rFonts w:ascii="Arial" w:cs="Arial" w:eastAsia="Arial" w:hAnsi="Arial"/>
                <w:sz w:val="16"/>
                <w:szCs w:val="16"/>
                <w:b w:val="1"/>
                <w:bCs w:val="1"/>
                <w:color w:val="auto"/>
              </w:rPr>
              <w:t>Notional</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Index</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33"/>
        </w:trPr>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2.8297%</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USD LIBOR</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22, 2023</w:t>
            </w:r>
          </w:p>
        </w:tc>
      </w:tr>
      <w:tr>
        <w:trPr>
          <w:trHeight w:val="27"/>
        </w:trPr>
        <w:tc>
          <w:tcPr>
            <w:tcW w:w="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2018, the interest rate swaps are in net unrealized gain positions and are recognized within Other assets. For the three and nine months ended September 30, 2018 the amount recorded in other comprehensive income related to the derivative instruments was an unrealized gain of $10.1 million and $5.5 million, respectively. For the three and nine months ended September 30, 2018, we recorded interest expense of $2.8 million and $4.2 million, respectively, related to the interest rate swap agreements.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assets and liabilities measured at fair value on a recurring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5"/>
          </w:tcPr>
          <w:p>
            <w:pPr>
              <w:ind w:left="540"/>
              <w:spacing w:after="0"/>
              <w:rPr>
                <w:sz w:val="20"/>
                <w:szCs w:val="20"/>
                <w:color w:val="auto"/>
              </w:rPr>
            </w:pPr>
            <w:r>
              <w:rPr>
                <w:rFonts w:ascii="Arial" w:cs="Arial" w:eastAsia="Arial" w:hAnsi="Arial"/>
                <w:sz w:val="16"/>
                <w:szCs w:val="16"/>
                <w:b w:val="1"/>
                <w:bCs w:val="1"/>
                <w:color w:val="auto"/>
              </w:rPr>
              <w:t>September 30, 2018</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28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42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5"/>
                <w:szCs w:val="25"/>
                <w:i w:val="1"/>
                <w:iCs w:val="1"/>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320,676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320,676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4420" w:type="dxa"/>
            <w:vAlign w:val="bottom"/>
            <w:gridSpan w:val="2"/>
          </w:tcPr>
          <w:p>
            <w:pPr>
              <w:ind w:left="240"/>
              <w:spacing w:after="0" w:line="256" w:lineRule="exact"/>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5"/>
                <w:szCs w:val="25"/>
                <w:i w:val="1"/>
                <w:iCs w:val="1"/>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gridSpan w:val="3"/>
          </w:tcPr>
          <w:p>
            <w:pPr>
              <w:jc w:val="right"/>
              <w:ind w:right="2660"/>
              <w:spacing w:after="0"/>
              <w:rPr>
                <w:sz w:val="20"/>
                <w:szCs w:val="20"/>
                <w:color w:val="auto"/>
              </w:rPr>
            </w:pPr>
            <w:r>
              <w:rPr>
                <w:rFonts w:ascii="Arial" w:cs="Arial" w:eastAsia="Arial" w:hAnsi="Arial"/>
                <w:sz w:val="18"/>
                <w:szCs w:val="18"/>
                <w:color w:val="auto"/>
                <w:w w:val="88"/>
              </w:rPr>
              <w:t>____________________</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8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The carrying value of these investment is equal to their fair value due to the short-term nature of the investments as well as their credit quality.</w:t>
      </w:r>
    </w:p>
    <w:p>
      <w:pPr>
        <w:spacing w:after="0" w:line="13" w:lineRule="exact"/>
        <w:rPr>
          <w:rFonts w:ascii="Arial" w:cs="Arial" w:eastAsia="Arial" w:hAnsi="Arial"/>
          <w:sz w:val="14"/>
          <w:szCs w:val="14"/>
          <w:i w:val="1"/>
          <w:iCs w:val="1"/>
          <w:color w:val="auto"/>
        </w:rPr>
      </w:pPr>
    </w:p>
    <w:p>
      <w:pPr>
        <w:ind w:left="340" w:hanging="332"/>
        <w:spacing w:after="0" w:line="255" w:lineRule="auto"/>
        <w:tabs>
          <w:tab w:leader="none" w:pos="34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assets and liabilities measured at fair value on a non-recurring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5"/>
          </w:tcPr>
          <w:p>
            <w:pPr>
              <w:ind w:left="540"/>
              <w:spacing w:after="0"/>
              <w:rPr>
                <w:sz w:val="20"/>
                <w:szCs w:val="20"/>
                <w:color w:val="auto"/>
              </w:rPr>
            </w:pPr>
            <w:r>
              <w:rPr>
                <w:rFonts w:ascii="Arial" w:cs="Arial" w:eastAsia="Arial" w:hAnsi="Arial"/>
                <w:sz w:val="16"/>
                <w:szCs w:val="16"/>
                <w:b w:val="1"/>
                <w:bCs w:val="1"/>
                <w:color w:val="auto"/>
              </w:rPr>
              <w:t>September 30, 2018</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20"/>
                <w:szCs w:val="20"/>
                <w:color w:val="auto"/>
              </w:rPr>
            </w:pPr>
          </w:p>
        </w:tc>
        <w:tc>
          <w:tcPr>
            <w:tcW w:w="1660" w:type="dxa"/>
            <w:vAlign w:val="bottom"/>
            <w:gridSpan w:val="3"/>
          </w:tcPr>
          <w:p>
            <w:pPr>
              <w:ind w:left="200"/>
              <w:spacing w:after="0"/>
              <w:rPr>
                <w:sz w:val="20"/>
                <w:szCs w:val="20"/>
                <w:color w:val="auto"/>
              </w:rPr>
            </w:pPr>
            <w:r>
              <w:rPr>
                <w:rFonts w:ascii="Arial" w:cs="Arial" w:eastAsia="Arial" w:hAnsi="Arial"/>
                <w:sz w:val="18"/>
                <w:szCs w:val="18"/>
                <w:b w:val="1"/>
                <w:bCs w:val="1"/>
                <w:color w:val="auto"/>
              </w:rPr>
              <w:t>Level 1</w:t>
            </w: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4420" w:type="dxa"/>
            <w:vAlign w:val="bottom"/>
            <w:gridSpan w:val="2"/>
          </w:tcPr>
          <w:p>
            <w:pPr>
              <w:jc w:val="right"/>
              <w:ind w:right="3620"/>
              <w:spacing w:after="0" w:line="256" w:lineRule="exact"/>
              <w:rPr>
                <w:sz w:val="20"/>
                <w:szCs w:val="20"/>
                <w:color w:val="auto"/>
              </w:rPr>
            </w:pPr>
            <w:r>
              <w:rPr>
                <w:rFonts w:ascii="Arial" w:cs="Arial" w:eastAsia="Arial" w:hAnsi="Arial"/>
                <w:sz w:val="18"/>
                <w:szCs w:val="18"/>
                <w:color w:val="auto"/>
              </w:rPr>
              <w:t xml:space="preserve">Land </w:t>
            </w:r>
            <w:r>
              <w:rPr>
                <w:rFonts w:ascii="Arial" w:cs="Arial" w:eastAsia="Arial" w:hAnsi="Arial"/>
                <w:sz w:val="25"/>
                <w:szCs w:val="25"/>
                <w:i w:val="1"/>
                <w:iCs w:val="1"/>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19,019</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7,419</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11,600</w:t>
            </w:r>
          </w:p>
        </w:tc>
      </w:tr>
      <w:tr>
        <w:trPr>
          <w:trHeight w:val="230"/>
        </w:trPr>
        <w:tc>
          <w:tcPr>
            <w:tcW w:w="4460" w:type="dxa"/>
            <w:vAlign w:val="bottom"/>
            <w:gridSpan w:val="3"/>
          </w:tcPr>
          <w:p>
            <w:pPr>
              <w:jc w:val="right"/>
              <w:ind w:right="2660"/>
              <w:spacing w:after="0"/>
              <w:rPr>
                <w:sz w:val="20"/>
                <w:szCs w:val="20"/>
                <w:color w:val="auto"/>
              </w:rPr>
            </w:pPr>
            <w:r>
              <w:rPr>
                <w:rFonts w:ascii="Arial" w:cs="Arial" w:eastAsia="Arial" w:hAnsi="Arial"/>
                <w:sz w:val="18"/>
                <w:szCs w:val="18"/>
                <w:color w:val="auto"/>
                <w:w w:val="88"/>
              </w:rPr>
              <w:t>____________________</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89" w:lineRule="exact"/>
        <w:rPr>
          <w:sz w:val="20"/>
          <w:szCs w:val="20"/>
          <w:color w:val="auto"/>
        </w:rPr>
      </w:pPr>
    </w:p>
    <w:p>
      <w:pPr>
        <w:ind w:left="340" w:hanging="332"/>
        <w:spacing w:after="0" w:line="273" w:lineRule="auto"/>
        <w:tabs>
          <w:tab w:leader="none" w:pos="34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the de minimis land valued based on the contract price represents a level 2 measurement as defined in ASC 820, while the inputs for the de minimis land valued using the sales comparison approach represents level 3 measurements as defined in ASC 820.</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7"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unobservable inputs used in Level 3 fair value measurements: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gridSpan w:val="6"/>
          </w:tcPr>
          <w:p>
            <w:pPr>
              <w:jc w:val="right"/>
              <w:ind w:right="1094"/>
              <w:spacing w:after="0"/>
              <w:rPr>
                <w:sz w:val="20"/>
                <w:szCs w:val="20"/>
                <w:color w:val="auto"/>
              </w:rPr>
            </w:pPr>
            <w:r>
              <w:rPr>
                <w:rFonts w:ascii="Arial" w:cs="Arial" w:eastAsia="Arial" w:hAnsi="Arial"/>
                <w:sz w:val="16"/>
                <w:szCs w:val="16"/>
                <w:b w:val="1"/>
                <w:bCs w:val="1"/>
                <w:color w:val="auto"/>
              </w:rPr>
              <w:t>Significant Assumptions (</w:t>
            </w:r>
            <w:r>
              <w:rPr>
                <w:rFonts w:ascii="Arial" w:cs="Arial" w:eastAsia="Arial" w:hAnsi="Arial"/>
                <w:sz w:val="16"/>
                <w:szCs w:val="16"/>
                <w:b w:val="1"/>
                <w:bCs w:val="1"/>
                <w:i w:val="1"/>
                <w:iCs w:val="1"/>
                <w:color w:val="auto"/>
              </w:rPr>
              <w:t>$ in per sq. ft.</w:t>
            </w:r>
            <w:r>
              <w:rPr>
                <w:rFonts w:ascii="Arial" w:cs="Arial" w:eastAsia="Arial" w:hAnsi="Arial"/>
                <w:sz w:val="16"/>
                <w:szCs w:val="16"/>
                <w:b w:val="1"/>
                <w:bCs w:val="1"/>
                <w:color w:val="auto"/>
              </w:rPr>
              <w:t>)</w:t>
            </w:r>
          </w:p>
        </w:tc>
      </w:tr>
      <w:tr>
        <w:trPr>
          <w:trHeight w:val="33"/>
        </w:trPr>
        <w:tc>
          <w:tcPr>
            <w:tcW w:w="19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380" w:type="dxa"/>
            <w:vAlign w:val="bottom"/>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 Type</w:t>
            </w:r>
          </w:p>
        </w:tc>
        <w:tc>
          <w:tcPr>
            <w:tcW w:w="320" w:type="dxa"/>
            <w:vAlign w:val="bottom"/>
          </w:tcPr>
          <w:p>
            <w:pPr>
              <w:spacing w:after="0"/>
              <w:rPr>
                <w:sz w:val="20"/>
                <w:szCs w:val="20"/>
                <w:color w:val="auto"/>
              </w:rPr>
            </w:pPr>
          </w:p>
        </w:tc>
        <w:tc>
          <w:tcPr>
            <w:tcW w:w="1660" w:type="dxa"/>
            <w:vAlign w:val="bottom"/>
            <w:gridSpan w:val="2"/>
          </w:tcPr>
          <w:p>
            <w:pPr>
              <w:ind w:left="200"/>
              <w:spacing w:after="0"/>
              <w:rPr>
                <w:sz w:val="20"/>
                <w:szCs w:val="20"/>
                <w:color w:val="auto"/>
              </w:rPr>
            </w:pPr>
            <w:r>
              <w:rPr>
                <w:rFonts w:ascii="Arial" w:cs="Arial" w:eastAsia="Arial" w:hAnsi="Arial"/>
                <w:sz w:val="16"/>
                <w:szCs w:val="16"/>
                <w:b w:val="1"/>
                <w:bCs w:val="1"/>
                <w:color w:val="auto"/>
              </w:rPr>
              <w:t>Fair Value</w:t>
            </w:r>
          </w:p>
        </w:tc>
        <w:tc>
          <w:tcPr>
            <w:tcW w:w="2380" w:type="dxa"/>
            <w:vAlign w:val="bottom"/>
            <w:gridSpan w:val="2"/>
          </w:tcPr>
          <w:p>
            <w:pPr>
              <w:ind w:left="20"/>
              <w:spacing w:after="0"/>
              <w:rPr>
                <w:sz w:val="20"/>
                <w:szCs w:val="20"/>
                <w:color w:val="auto"/>
              </w:rPr>
            </w:pPr>
            <w:r>
              <w:rPr>
                <w:rFonts w:ascii="Arial" w:cs="Arial" w:eastAsia="Arial" w:hAnsi="Arial"/>
                <w:sz w:val="16"/>
                <w:szCs w:val="16"/>
                <w:b w:val="1"/>
                <w:bCs w:val="1"/>
                <w:color w:val="auto"/>
              </w:rPr>
              <w:t>Valuation Technique</w:t>
            </w:r>
          </w:p>
        </w:tc>
        <w:tc>
          <w:tcPr>
            <w:tcW w:w="1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Range</w:t>
            </w:r>
          </w:p>
        </w:tc>
        <w:tc>
          <w:tcPr>
            <w:tcW w:w="1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tcPr>
          <w:p>
            <w:pPr>
              <w:jc w:val="right"/>
              <w:ind w:right="154"/>
              <w:spacing w:after="0"/>
              <w:rPr>
                <w:sz w:val="20"/>
                <w:szCs w:val="20"/>
                <w:color w:val="auto"/>
              </w:rPr>
            </w:pPr>
            <w:r>
              <w:rPr>
                <w:rFonts w:ascii="Arial" w:cs="Arial" w:eastAsia="Arial" w:hAnsi="Arial"/>
                <w:sz w:val="16"/>
                <w:szCs w:val="16"/>
                <w:b w:val="1"/>
                <w:bCs w:val="1"/>
                <w:color w:val="auto"/>
              </w:rPr>
              <w:t>Square Footage</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11,600</w:t>
            </w:r>
          </w:p>
        </w:tc>
        <w:tc>
          <w:tcPr>
            <w:tcW w:w="24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 comparison</w:t>
            </w:r>
          </w:p>
        </w:tc>
        <w:tc>
          <w:tcPr>
            <w:tcW w:w="16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$0.50 - 5.00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4,002,908</w:t>
            </w:r>
          </w:p>
        </w:tc>
      </w:tr>
      <w:tr>
        <w:trPr>
          <w:trHeight w:val="27"/>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values of our financial instruments at September 30, 2018 and December 31, 2017 for which fair value is only disclosed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gridSpan w:val="5"/>
          </w:tcPr>
          <w:p>
            <w:pPr>
              <w:ind w:left="420"/>
              <w:spacing w:after="0"/>
              <w:rPr>
                <w:sz w:val="20"/>
                <w:szCs w:val="20"/>
                <w:color w:val="auto"/>
              </w:rPr>
            </w:pPr>
            <w:r>
              <w:rPr>
                <w:rFonts w:ascii="Arial" w:cs="Arial" w:eastAsia="Arial" w:hAnsi="Arial"/>
                <w:sz w:val="16"/>
                <w:szCs w:val="16"/>
                <w:b w:val="1"/>
                <w:bCs w:val="1"/>
                <w:color w:val="auto"/>
              </w:rPr>
              <w:t>September 30, 2018</w:t>
            </w:r>
          </w:p>
        </w:tc>
        <w:tc>
          <w:tcPr>
            <w:tcW w:w="340" w:type="dxa"/>
            <w:vAlign w:val="bottom"/>
          </w:tcPr>
          <w:p>
            <w:pPr>
              <w:spacing w:after="0"/>
              <w:rPr>
                <w:sz w:val="18"/>
                <w:szCs w:val="18"/>
                <w:color w:val="auto"/>
              </w:rPr>
            </w:pPr>
          </w:p>
        </w:tc>
        <w:tc>
          <w:tcPr>
            <w:tcW w:w="250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20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220" w:type="dxa"/>
            <w:vAlign w:val="bottom"/>
          </w:tcPr>
          <w:p>
            <w:pPr>
              <w:spacing w:after="0"/>
              <w:rPr>
                <w:sz w:val="19"/>
                <w:szCs w:val="19"/>
                <w:color w:val="auto"/>
              </w:rPr>
            </w:pPr>
          </w:p>
        </w:tc>
        <w:tc>
          <w:tcPr>
            <w:tcW w:w="1140" w:type="dxa"/>
            <w:vAlign w:val="bottom"/>
          </w:tcPr>
          <w:p>
            <w:pPr>
              <w:jc w:val="right"/>
              <w:ind w:right="231"/>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144,685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144,685</w:t>
            </w:r>
          </w:p>
        </w:tc>
        <w:tc>
          <w:tcPr>
            <w:tcW w:w="100" w:type="dxa"/>
            <w:vAlign w:val="bottom"/>
          </w:tcPr>
          <w:p>
            <w:pPr>
              <w:spacing w:after="0"/>
              <w:rPr>
                <w:sz w:val="21"/>
                <w:szCs w:val="21"/>
                <w:color w:val="auto"/>
              </w:rPr>
            </w:pP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183,646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183,646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13,760</w:t>
            </w:r>
          </w:p>
        </w:tc>
      </w:tr>
      <w:tr>
        <w:trPr>
          <w:trHeight w:val="243"/>
        </w:trPr>
        <w:tc>
          <w:tcPr>
            <w:tcW w:w="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5580" w:type="dxa"/>
            <w:vAlign w:val="bottom"/>
            <w:gridSpan w:val="2"/>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5"/>
                <w:szCs w:val="25"/>
                <w:i w:val="1"/>
                <w:iCs w:val="1"/>
                <w:color w:val="auto"/>
                <w:vertAlign w:val="superscript"/>
              </w:rPr>
              <w:t>(1)</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80"/>
              <w:spacing w:after="0"/>
              <w:rPr>
                <w:sz w:val="20"/>
                <w:szCs w:val="20"/>
                <w:color w:val="auto"/>
              </w:rPr>
            </w:pPr>
            <w:r>
              <w:rPr>
                <w:rFonts w:ascii="Arial" w:cs="Arial" w:eastAsia="Arial" w:hAnsi="Arial"/>
                <w:sz w:val="18"/>
                <w:szCs w:val="18"/>
                <w:color w:val="auto"/>
              </w:rPr>
              <w:t>Revolving Credit Facility</w:t>
            </w: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300,000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Term Loan B Facility</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2,072,673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2,105,250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2,168,864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2,200,000</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80"/>
              <w:spacing w:after="0"/>
              <w:rPr>
                <w:sz w:val="20"/>
                <w:szCs w:val="20"/>
                <w:color w:val="auto"/>
              </w:rPr>
            </w:pPr>
            <w:r>
              <w:rPr>
                <w:rFonts w:ascii="Arial" w:cs="Arial" w:eastAsia="Arial" w:hAnsi="Arial"/>
                <w:sz w:val="18"/>
                <w:szCs w:val="18"/>
                <w:color w:val="auto"/>
              </w:rPr>
              <w:t>Second Lien Notes</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498,480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550,820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766,892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853,167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CPLV CMBS Debt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1,529,405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1,559,486</w:t>
            </w:r>
          </w:p>
        </w:tc>
      </w:tr>
      <w:tr>
        <w:trPr>
          <w:trHeight w:val="230"/>
        </w:trPr>
        <w:tc>
          <w:tcPr>
            <w:tcW w:w="4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75" w:lineRule="exact"/>
        <w:rPr>
          <w:sz w:val="20"/>
          <w:szCs w:val="20"/>
          <w:color w:val="auto"/>
        </w:rPr>
      </w:pPr>
    </w:p>
    <w:p>
      <w:pPr>
        <w:ind w:left="340" w:hanging="332"/>
        <w:spacing w:after="0" w:line="273" w:lineRule="auto"/>
        <w:tabs>
          <w:tab w:leader="none" w:pos="34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September 30, 2018, we are not subject to any litigation that we believe could have, individually or in the aggregate, a material adverse effect on our business, financial condition or results of operations, liquidity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liable under various operating leases for: (i) land at the Cascata golf course, which expires in 2038 and (ii) offices in Las Vegas, Nevada; New Orleans, Louisiana; and New York, New York, which expire in 2018, 2019 and 2020, respectively. Total rental expense under these agreements, included in golf operations and general and administrative expenses in our Statement of Operations, was approximately $0.5 million and $1.1 million for the three and nine months ended September 30, 2018,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September 30, 2018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7"/>
                <w:szCs w:val="17"/>
                <w:color w:val="auto"/>
              </w:rPr>
            </w:pPr>
          </w:p>
        </w:tc>
        <w:tc>
          <w:tcPr>
            <w:tcW w:w="2180" w:type="dxa"/>
            <w:vAlign w:val="bottom"/>
          </w:tcPr>
          <w:p>
            <w:pPr>
              <w:jc w:val="right"/>
              <w:ind w:right="451"/>
              <w:spacing w:after="0"/>
              <w:rPr>
                <w:sz w:val="20"/>
                <w:szCs w:val="20"/>
                <w:color w:val="auto"/>
              </w:rPr>
            </w:pPr>
            <w:r>
              <w:rPr>
                <w:rFonts w:ascii="Arial" w:cs="Arial" w:eastAsia="Arial" w:hAnsi="Arial"/>
                <w:sz w:val="16"/>
                <w:szCs w:val="16"/>
                <w:b w:val="1"/>
                <w:bCs w:val="1"/>
                <w:color w:val="auto"/>
              </w:rPr>
              <w:t>Lease Commitments</w:t>
            </w:r>
          </w:p>
        </w:tc>
      </w:tr>
      <w:tr>
        <w:trPr>
          <w:trHeight w:val="21"/>
        </w:trPr>
        <w:tc>
          <w:tcPr>
            <w:tcW w:w="40" w:type="dxa"/>
            <w:vAlign w:val="bottom"/>
            <w:tcBorders>
              <w:bottom w:val="single" w:sz="8" w:color="BFE4FF"/>
            </w:tcBorders>
          </w:tcPr>
          <w:p>
            <w:pPr>
              <w:spacing w:after="0" w:line="20" w:lineRule="exact"/>
              <w:rPr>
                <w:sz w:val="1"/>
                <w:szCs w:val="1"/>
                <w:color w:val="auto"/>
              </w:rPr>
            </w:pPr>
          </w:p>
        </w:tc>
        <w:tc>
          <w:tcPr>
            <w:tcW w:w="880" w:type="dxa"/>
            <w:vAlign w:val="bottom"/>
            <w:tcBorders>
              <w:top w:val="single" w:sz="8" w:color="auto"/>
              <w:bottom w:val="single" w:sz="8" w:color="BFE4FF"/>
            </w:tcBorders>
          </w:tcPr>
          <w:p>
            <w:pPr>
              <w:spacing w:after="0" w:line="20" w:lineRule="exact"/>
              <w:rPr>
                <w:sz w:val="1"/>
                <w:szCs w:val="1"/>
                <w:color w:val="auto"/>
              </w:rPr>
            </w:pPr>
          </w:p>
        </w:tc>
        <w:tc>
          <w:tcPr>
            <w:tcW w:w="7980" w:type="dxa"/>
            <w:vAlign w:val="bottom"/>
            <w:tcBorders>
              <w:bottom w:val="single" w:sz="8" w:color="BFE4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44"/>
        </w:trPr>
        <w:tc>
          <w:tcPr>
            <w:tcW w:w="890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2018 (remaining)</w:t>
            </w: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314</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1,242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933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17,865</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8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minimum lease commitments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7"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87"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golf operations commitments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VICI Golf utilizes a third-party golf maintenance company for its Rio Secco and Cascata golf courses. The agreements are for five years and expire in February 2019 and include all labor and equipment necessary to maintain both golf course grounds. Expenses under these agreements are recorded as a component of golf operations in our Statement of Operations and were approximately $0.6 million and $2.2 million for the three and nine months ended September 30, 2018,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Total commitments relating to golf operations maintenance agreements at September 30, 2018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Pr>
          <w:p>
            <w:pPr>
              <w:jc w:val="right"/>
              <w:ind w:right="134"/>
              <w:spacing w:after="0"/>
              <w:rPr>
                <w:sz w:val="20"/>
                <w:szCs w:val="20"/>
                <w:color w:val="auto"/>
              </w:rPr>
            </w:pPr>
            <w:r>
              <w:rPr>
                <w:rFonts w:ascii="Arial" w:cs="Arial" w:eastAsia="Arial" w:hAnsi="Arial"/>
                <w:sz w:val="16"/>
                <w:szCs w:val="16"/>
                <w:b w:val="1"/>
                <w:bCs w:val="1"/>
                <w:color w:val="auto"/>
                <w:w w:val="94"/>
              </w:rPr>
              <w:t>Golf Operations Maintenance</w:t>
            </w:r>
          </w:p>
        </w:tc>
      </w:tr>
      <w:tr>
        <w:trPr>
          <w:trHeight w:val="203"/>
        </w:trPr>
        <w:tc>
          <w:tcPr>
            <w:tcW w:w="89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7"/>
                <w:szCs w:val="17"/>
                <w:color w:val="auto"/>
              </w:rPr>
            </w:pPr>
          </w:p>
        </w:tc>
        <w:tc>
          <w:tcPr>
            <w:tcW w:w="2340" w:type="dxa"/>
            <w:vAlign w:val="bottom"/>
          </w:tcPr>
          <w:p>
            <w:pPr>
              <w:jc w:val="right"/>
              <w:ind w:right="754"/>
              <w:spacing w:after="0"/>
              <w:rPr>
                <w:sz w:val="20"/>
                <w:szCs w:val="20"/>
                <w:color w:val="auto"/>
              </w:rPr>
            </w:pPr>
            <w:r>
              <w:rPr>
                <w:rFonts w:ascii="Arial" w:cs="Arial" w:eastAsia="Arial" w:hAnsi="Arial"/>
                <w:sz w:val="16"/>
                <w:szCs w:val="16"/>
                <w:b w:val="1"/>
                <w:bCs w:val="1"/>
                <w:color w:val="auto"/>
              </w:rPr>
              <w:t>Agreements</w:t>
            </w:r>
          </w:p>
        </w:tc>
      </w:tr>
      <w:tr>
        <w:trPr>
          <w:trHeight w:val="21"/>
        </w:trPr>
        <w:tc>
          <w:tcPr>
            <w:tcW w:w="40" w:type="dxa"/>
            <w:vAlign w:val="bottom"/>
            <w:tcBorders>
              <w:bottom w:val="single" w:sz="8" w:color="BFE4FF"/>
            </w:tcBorders>
          </w:tcPr>
          <w:p>
            <w:pPr>
              <w:spacing w:after="0" w:line="20" w:lineRule="exact"/>
              <w:rPr>
                <w:sz w:val="1"/>
                <w:szCs w:val="1"/>
                <w:color w:val="auto"/>
              </w:rPr>
            </w:pPr>
          </w:p>
        </w:tc>
        <w:tc>
          <w:tcPr>
            <w:tcW w:w="880" w:type="dxa"/>
            <w:vAlign w:val="bottom"/>
            <w:tcBorders>
              <w:top w:val="single" w:sz="8" w:color="auto"/>
              <w:bottom w:val="single" w:sz="8" w:color="BFE4FF"/>
            </w:tcBorders>
          </w:tcPr>
          <w:p>
            <w:pPr>
              <w:spacing w:after="0" w:line="20" w:lineRule="exact"/>
              <w:rPr>
                <w:sz w:val="1"/>
                <w:szCs w:val="1"/>
                <w:color w:val="auto"/>
              </w:rPr>
            </w:pPr>
          </w:p>
        </w:tc>
        <w:tc>
          <w:tcPr>
            <w:tcW w:w="7980" w:type="dxa"/>
            <w:vAlign w:val="bottom"/>
            <w:tcBorders>
              <w:bottom w:val="single" w:sz="8" w:color="BFE4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r>
        <w:trPr>
          <w:trHeight w:val="244"/>
        </w:trPr>
        <w:tc>
          <w:tcPr>
            <w:tcW w:w="890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2018 (remaining)</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787</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7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40" w:type="dxa"/>
            <w:vAlign w:val="bottom"/>
          </w:tcPr>
          <w:p>
            <w:pPr>
              <w:jc w:val="right"/>
              <w:ind w:right="14"/>
              <w:spacing w:after="0"/>
              <w:rPr>
                <w:sz w:val="20"/>
                <w:szCs w:val="20"/>
                <w:color w:val="auto"/>
              </w:rPr>
            </w:pPr>
            <w:r>
              <w:rPr>
                <w:rFonts w:ascii="Arial" w:cs="Arial" w:eastAsia="Arial" w:hAnsi="Arial"/>
                <w:sz w:val="18"/>
                <w:szCs w:val="18"/>
                <w:color w:val="auto"/>
              </w:rPr>
              <w:t>225</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golf operations maintenance agreement commitments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1,012</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Contractual Commitments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discussed in Note 4</w:t>
      </w:r>
      <w:r>
        <w:rPr>
          <w:rFonts w:ascii="Arial" w:cs="Arial" w:eastAsia="Arial" w:hAnsi="Arial"/>
          <w:sz w:val="10"/>
          <w:szCs w:val="10"/>
          <w:color w:val="auto"/>
        </w:rPr>
        <w:t>—</w:t>
      </w:r>
      <w:r>
        <w:rPr>
          <w:rFonts w:ascii="Arial" w:cs="Arial" w:eastAsia="Arial" w:hAnsi="Arial"/>
          <w:sz w:val="18"/>
          <w:szCs w:val="18"/>
          <w:color w:val="auto"/>
        </w:rPr>
        <w:t xml:space="preserve">Property Transactions, pursuant to the Eastside Property sale agreement, Caesars is responsible for the remediation of the flood plain mechanism on the Eastside Property. The costs of the remediation work will be borne fifty percent (50%) by us and fifty percent (50%) by Caesars,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passu</w:t>
      </w:r>
      <w:r>
        <w:rPr>
          <w:rFonts w:ascii="Arial" w:cs="Arial" w:eastAsia="Arial" w:hAnsi="Arial"/>
          <w:sz w:val="18"/>
          <w:szCs w:val="18"/>
          <w:color w:val="auto"/>
        </w:rPr>
        <w:t>, until such time as the total cost incurred in connection with the remediation work is equal to $12.0 million. Any costs in excess of $12.0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connection with the remediation work shall be the sole responsibility of Caesars.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the authority to issue 750,000,000 shares of stock, consisting of 700,000,000 shares of Common Stock, $0.01 par value per share and 50,000,000 shares of Preferred Stock, $0.01 par value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5, 2018, we completed an initial public offering of 69,575,000 shares of common stock at an offering price of $20.00 per share for an aggregate offering value of $1.4 billion, resulting in net proceeds of approximately $1.3 billion after commissions and expenses. After giving effect to the initial public offering and the issuance of certain unvested restricted shares under the 2017 Stock Incentive Plan (the “Plan”), we have 370,228,468 shares of Common Stock issued and outstanding as of September 30, 2018.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(on a per share basis) during the nine months ended September 30, 2018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Declaration Date</w:t>
            </w: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Period</w:t>
            </w:r>
          </w:p>
        </w:tc>
        <w:tc>
          <w:tcPr>
            <w:tcW w:w="500" w:type="dxa"/>
            <w:vAlign w:val="bottom"/>
          </w:tcPr>
          <w:p>
            <w:pPr>
              <w:spacing w:after="0"/>
              <w:rPr>
                <w:sz w:val="20"/>
                <w:szCs w:val="20"/>
                <w:color w:val="auto"/>
              </w:rPr>
            </w:pPr>
          </w:p>
        </w:tc>
        <w:tc>
          <w:tcPr>
            <w:tcW w:w="1900" w:type="dxa"/>
            <w:vAlign w:val="bottom"/>
          </w:tcPr>
          <w:p>
            <w:pPr>
              <w:jc w:val="right"/>
              <w:ind w:right="750"/>
              <w:spacing w:after="0"/>
              <w:rPr>
                <w:sz w:val="20"/>
                <w:szCs w:val="20"/>
                <w:color w:val="auto"/>
              </w:rPr>
            </w:pPr>
            <w:r>
              <w:rPr>
                <w:rFonts w:ascii="Arial" w:cs="Arial" w:eastAsia="Arial" w:hAnsi="Arial"/>
                <w:sz w:val="18"/>
                <w:szCs w:val="18"/>
                <w:b w:val="1"/>
                <w:bCs w:val="1"/>
                <w:color w:val="auto"/>
              </w:rPr>
              <w:t>Dividend</w:t>
            </w:r>
          </w:p>
        </w:tc>
      </w:tr>
      <w:tr>
        <w:trPr>
          <w:trHeight w:val="27"/>
        </w:trPr>
        <w:tc>
          <w:tcPr>
            <w:tcW w:w="3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3660" w:type="dxa"/>
            <w:vAlign w:val="bottom"/>
            <w:gridSpan w:val="2"/>
            <w:shd w:val="clear" w:color="auto" w:fill="CCEEFF"/>
          </w:tcPr>
          <w:p>
            <w:pPr>
              <w:jc w:val="center"/>
              <w:ind w:right="200"/>
              <w:spacing w:after="0" w:line="264" w:lineRule="exact"/>
              <w:rPr>
                <w:sz w:val="20"/>
                <w:szCs w:val="20"/>
                <w:color w:val="auto"/>
              </w:rPr>
            </w:pPr>
            <w:r>
              <w:rPr>
                <w:rFonts w:ascii="Arial" w:cs="Arial" w:eastAsia="Arial" w:hAnsi="Arial"/>
                <w:sz w:val="18"/>
                <w:szCs w:val="18"/>
                <w:color w:val="auto"/>
                <w:w w:val="89"/>
              </w:rPr>
              <w:t xml:space="preserve">March 15, 2018 </w:t>
            </w:r>
            <w:r>
              <w:rPr>
                <w:rFonts w:ascii="Arial" w:cs="Arial" w:eastAsia="Arial" w:hAnsi="Arial"/>
                <w:sz w:val="25"/>
                <w:szCs w:val="25"/>
                <w:i w:val="1"/>
                <w:iCs w:val="1"/>
                <w:color w:val="auto"/>
                <w:w w:val="89"/>
                <w:vertAlign w:val="superscript"/>
              </w:rPr>
              <w:t>(1)</w:t>
            </w:r>
          </w:p>
        </w:tc>
        <w:tc>
          <w:tcPr>
            <w:tcW w:w="5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February 5, 2018 - March 31, 2018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r>
      <w:tr>
        <w:trPr>
          <w:trHeight w:val="270"/>
        </w:trPr>
        <w:tc>
          <w:tcPr>
            <w:tcW w:w="3660" w:type="dxa"/>
            <w:vAlign w:val="bottom"/>
            <w:gridSpan w:val="2"/>
          </w:tcPr>
          <w:p>
            <w:pPr>
              <w:jc w:val="center"/>
              <w:ind w:right="220"/>
              <w:spacing w:after="0" w:line="270" w:lineRule="exact"/>
              <w:rPr>
                <w:sz w:val="20"/>
                <w:szCs w:val="20"/>
                <w:color w:val="auto"/>
              </w:rPr>
            </w:pPr>
            <w:r>
              <w:rPr>
                <w:rFonts w:ascii="Arial" w:cs="Arial" w:eastAsia="Arial" w:hAnsi="Arial"/>
                <w:sz w:val="18"/>
                <w:szCs w:val="18"/>
                <w:color w:val="auto"/>
                <w:w w:val="86"/>
              </w:rPr>
              <w:t xml:space="preserve">June 14, 2018 </w:t>
            </w:r>
            <w:r>
              <w:rPr>
                <w:rFonts w:ascii="Arial" w:cs="Arial" w:eastAsia="Arial" w:hAnsi="Arial"/>
                <w:sz w:val="25"/>
                <w:szCs w:val="25"/>
                <w:i w:val="1"/>
                <w:iCs w:val="1"/>
                <w:color w:val="auto"/>
                <w:w w:val="86"/>
                <w:vertAlign w:val="superscript"/>
              </w:rPr>
              <w:t>(2)</w:t>
            </w: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April 1, 2018 - June 30, 2018</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0.2625</w:t>
            </w:r>
          </w:p>
        </w:tc>
      </w:tr>
      <w:tr>
        <w:trPr>
          <w:trHeight w:val="270"/>
        </w:trPr>
        <w:tc>
          <w:tcPr>
            <w:tcW w:w="3660" w:type="dxa"/>
            <w:vAlign w:val="bottom"/>
            <w:gridSpan w:val="2"/>
            <w:shd w:val="clear" w:color="auto" w:fill="CCEEFF"/>
          </w:tcPr>
          <w:p>
            <w:pPr>
              <w:jc w:val="center"/>
              <w:ind w:right="220"/>
              <w:spacing w:after="0" w:line="270" w:lineRule="exact"/>
              <w:rPr>
                <w:sz w:val="20"/>
                <w:szCs w:val="20"/>
                <w:color w:val="auto"/>
              </w:rPr>
            </w:pPr>
            <w:r>
              <w:rPr>
                <w:rFonts w:ascii="Arial" w:cs="Arial" w:eastAsia="Arial" w:hAnsi="Arial"/>
                <w:sz w:val="18"/>
                <w:szCs w:val="18"/>
                <w:color w:val="auto"/>
                <w:w w:val="86"/>
              </w:rPr>
              <w:t xml:space="preserve">September 17, 2018 </w:t>
            </w:r>
            <w:r>
              <w:rPr>
                <w:rFonts w:ascii="Arial" w:cs="Arial" w:eastAsia="Arial" w:hAnsi="Arial"/>
                <w:sz w:val="25"/>
                <w:szCs w:val="25"/>
                <w:i w:val="1"/>
                <w:iCs w:val="1"/>
                <w:color w:val="auto"/>
                <w:w w:val="86"/>
                <w:vertAlign w:val="superscript"/>
              </w:rPr>
              <w:t>(3)</w:t>
            </w:r>
          </w:p>
        </w:tc>
        <w:tc>
          <w:tcPr>
            <w:tcW w:w="5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July 1, 2018 - September 30, 2018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0.2875</w:t>
            </w:r>
          </w:p>
        </w:tc>
      </w:tr>
    </w:tbl>
    <w:p>
      <w:pPr>
        <w:spacing w:after="0"/>
        <w:rPr>
          <w:sz w:val="20"/>
          <w:szCs w:val="20"/>
          <w:color w:val="auto"/>
        </w:rPr>
      </w:pPr>
      <w:r>
        <w:rPr>
          <w:rFonts w:ascii="Arial" w:cs="Arial" w:eastAsia="Arial" w:hAnsi="Arial"/>
          <w:sz w:val="18"/>
          <w:szCs w:val="18"/>
          <w:color w:val="auto"/>
        </w:rPr>
        <w:t>____________________</w:t>
      </w:r>
    </w:p>
    <w:p>
      <w:pPr>
        <w:spacing w:after="0" w:line="112" w:lineRule="exact"/>
        <w:rPr>
          <w:sz w:val="20"/>
          <w:szCs w:val="20"/>
          <w:color w:val="auto"/>
        </w:rPr>
      </w:pPr>
    </w:p>
    <w:p>
      <w:pPr>
        <w:ind w:left="340" w:hanging="332"/>
        <w:spacing w:after="0" w:line="250" w:lineRule="auto"/>
        <w:tabs>
          <w:tab w:leader="none" w:pos="34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The dividend was pro-rated for the period commencing upon the closing of our initial public offering and ending on March 31, 2018, based on a quarterly distribution rate of $0.2625 per share. The dividend was paid on April 13, 2018 to stockholders of record as of the close of business on March 29, 2018.</w:t>
      </w:r>
    </w:p>
    <w:p>
      <w:pPr>
        <w:ind w:left="340" w:hanging="332"/>
        <w:spacing w:after="0"/>
        <w:tabs>
          <w:tab w:leader="none" w:pos="34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The dividend was paid on July 13, 2018 to stockholders of record as of the close of business on June 28, 2018.</w:t>
      </w:r>
    </w:p>
    <w:p>
      <w:pPr>
        <w:spacing w:after="0" w:line="1" w:lineRule="exact"/>
        <w:rPr>
          <w:rFonts w:ascii="Arial" w:cs="Arial" w:eastAsia="Arial" w:hAnsi="Arial"/>
          <w:sz w:val="14"/>
          <w:szCs w:val="14"/>
          <w:i w:val="1"/>
          <w:iCs w:val="1"/>
          <w:color w:val="auto"/>
        </w:rPr>
      </w:pPr>
    </w:p>
    <w:p>
      <w:pPr>
        <w:ind w:left="340" w:hanging="332"/>
        <w:spacing w:after="0" w:line="255" w:lineRule="auto"/>
        <w:tabs>
          <w:tab w:leader="none" w:pos="34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The dividend was paid on October 11, 2018 to stockholders of record as of the close of business on September 28, 2018. This dividend represents an </w:t>
      </w:r>
      <w:r>
        <w:rPr>
          <w:rFonts w:ascii="Arial" w:cs="Arial" w:eastAsia="Arial" w:hAnsi="Arial"/>
          <w:sz w:val="14"/>
          <w:szCs w:val="14"/>
          <w:b w:val="1"/>
          <w:bCs w:val="1"/>
          <w:i w:val="1"/>
          <w:iCs w:val="1"/>
          <w:color w:val="auto"/>
        </w:rPr>
        <w:t>i</w:t>
      </w:r>
      <w:r>
        <w:rPr>
          <w:rFonts w:ascii="Arial" w:cs="Arial" w:eastAsia="Arial" w:hAnsi="Arial"/>
          <w:sz w:val="14"/>
          <w:szCs w:val="14"/>
          <w:i w:val="1"/>
          <w:iCs w:val="1"/>
          <w:color w:val="auto"/>
        </w:rPr>
        <w:t>ncrease in our targeted annualized dividend to $1.15 per share of common stock, which represents a 9.5% increase from our previous annualized dividend rate of $1.05 per share.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7"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Earnings Per Share</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weighted-average number of common shares outstanding during the period, excluding net income attributable to participating securities (unvested restricted stock awards). Diluted earnings per share reflects the additional dilution for all potentially-dilutive securities such as stock options, unvested restricted shares and unvested performance-based restricted shares. The following table reconciles the weighted-average common shares outstanding used in the calculation of basic earnings per share to the weighted-average common shares outstanding used in the calculation of diluted earnings per share for the three and nine months ended September 30, 2018:</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7"/>
                <w:szCs w:val="17"/>
                <w:color w:val="auto"/>
              </w:rPr>
            </w:pPr>
          </w:p>
        </w:tc>
        <w:tc>
          <w:tcPr>
            <w:tcW w:w="1900" w:type="dxa"/>
            <w:vAlign w:val="bottom"/>
          </w:tcPr>
          <w:p>
            <w:pPr>
              <w:ind w:left="1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3"/>
        </w:trPr>
        <w:tc>
          <w:tcPr>
            <w:tcW w:w="6980" w:type="dxa"/>
            <w:vAlign w:val="bottom"/>
            <w:gridSpan w:val="5"/>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September 30, 2018</w:t>
            </w:r>
          </w:p>
        </w:tc>
        <w:tc>
          <w:tcPr>
            <w:tcW w:w="260" w:type="dxa"/>
            <w:vAlign w:val="bottom"/>
          </w:tcPr>
          <w:p>
            <w:pPr>
              <w:spacing w:after="0"/>
              <w:rPr>
                <w:sz w:val="17"/>
                <w:szCs w:val="17"/>
                <w:color w:val="auto"/>
              </w:rPr>
            </w:pPr>
          </w:p>
        </w:tc>
        <w:tc>
          <w:tcPr>
            <w:tcW w:w="1900" w:type="dxa"/>
            <w:vAlign w:val="bottom"/>
          </w:tcPr>
          <w:p>
            <w:pPr>
              <w:ind w:left="140"/>
              <w:spacing w:after="0"/>
              <w:rPr>
                <w:sz w:val="20"/>
                <w:szCs w:val="20"/>
                <w:color w:val="auto"/>
              </w:rPr>
            </w:pPr>
            <w:r>
              <w:rPr>
                <w:rFonts w:ascii="Arial" w:cs="Arial" w:eastAsia="Arial" w:hAnsi="Arial"/>
                <w:sz w:val="16"/>
                <w:szCs w:val="16"/>
                <w:b w:val="1"/>
                <w:bCs w:val="1"/>
                <w:color w:val="auto"/>
              </w:rPr>
              <w:t>September 30,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Determination of shares:</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940" w:type="dxa"/>
            <w:vAlign w:val="bottom"/>
            <w:gridSpan w:val="4"/>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Pr>
          <w:p>
            <w:pPr>
              <w:spacing w:after="0"/>
              <w:rPr>
                <w:sz w:val="21"/>
                <w:szCs w:val="21"/>
                <w:color w:val="auto"/>
              </w:rPr>
            </w:pP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369,935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360,997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9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Assumed conversion of restricted stock</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940" w:type="dxa"/>
            <w:vAlign w:val="bottom"/>
            <w:gridSpan w:val="4"/>
          </w:tcPr>
          <w:p>
            <w:pPr>
              <w:ind w:left="240"/>
              <w:spacing w:after="0"/>
              <w:rPr>
                <w:sz w:val="20"/>
                <w:szCs w:val="20"/>
                <w:color w:val="auto"/>
              </w:rPr>
            </w:pPr>
            <w:r>
              <w:rPr>
                <w:rFonts w:ascii="Arial" w:cs="Arial" w:eastAsia="Arial" w:hAnsi="Arial"/>
                <w:sz w:val="18"/>
                <w:szCs w:val="18"/>
                <w:color w:val="auto"/>
              </w:rPr>
              <w:t>Diluted weighted-average common shares outstanding</w:t>
            </w:r>
          </w:p>
        </w:tc>
        <w:tc>
          <w:tcPr>
            <w:tcW w:w="240" w:type="dxa"/>
            <w:vAlign w:val="bottom"/>
            <w:tcBorders>
              <w:top w:val="single" w:sz="8" w:color="auto"/>
              <w:bottom w:val="single" w:sz="8" w:color="auto"/>
            </w:tcBorders>
          </w:tcPr>
          <w:p>
            <w:pPr>
              <w:spacing w:after="0"/>
              <w:rPr>
                <w:sz w:val="22"/>
                <w:szCs w:val="22"/>
                <w:color w:val="auto"/>
              </w:rPr>
            </w:pPr>
          </w:p>
        </w:tc>
        <w:tc>
          <w:tcPr>
            <w:tcW w:w="1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370,127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361,042</w:t>
            </w:r>
          </w:p>
        </w:tc>
        <w:tc>
          <w:tcPr>
            <w:tcW w:w="0" w:type="dxa"/>
            <w:vAlign w:val="bottom"/>
          </w:tcPr>
          <w:p>
            <w:pPr>
              <w:spacing w:after="0"/>
              <w:rPr>
                <w:sz w:val="1"/>
                <w:szCs w:val="1"/>
                <w:color w:val="auto"/>
              </w:rPr>
            </w:pPr>
          </w:p>
        </w:tc>
      </w:tr>
      <w:tr>
        <w:trPr>
          <w:trHeight w:val="20"/>
        </w:trPr>
        <w:tc>
          <w:tcPr>
            <w:tcW w:w="6980" w:type="dxa"/>
            <w:vAlign w:val="bottom"/>
            <w:gridSpan w:val="5"/>
            <w:vMerge w:val="restart"/>
          </w:tcPr>
          <w:p>
            <w:pPr>
              <w:spacing w:after="0"/>
              <w:rPr>
                <w:sz w:val="20"/>
                <w:szCs w:val="20"/>
                <w:color w:val="auto"/>
              </w:rPr>
            </w:pPr>
            <w:r>
              <w:rPr>
                <w:rFonts w:ascii="Arial" w:cs="Arial" w:eastAsia="Arial" w:hAnsi="Arial"/>
                <w:sz w:val="18"/>
                <w:szCs w:val="18"/>
                <w:i w:val="1"/>
                <w:iCs w:val="1"/>
                <w:color w:val="auto"/>
              </w:rPr>
              <w:t>Basic and Diluted Earnings Per Share</w:t>
            </w: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98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3"/>
        </w:trPr>
        <w:tc>
          <w:tcPr>
            <w:tcW w:w="6980" w:type="dxa"/>
            <w:vAlign w:val="bottom"/>
            <w:gridSpan w:val="5"/>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40" w:type="dxa"/>
            <w:vAlign w:val="bottom"/>
          </w:tcPr>
          <w:p>
            <w:pPr>
              <w:spacing w:after="0"/>
              <w:rPr>
                <w:sz w:val="17"/>
                <w:szCs w:val="17"/>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September 30, 2018</w:t>
            </w:r>
          </w:p>
        </w:tc>
        <w:tc>
          <w:tcPr>
            <w:tcW w:w="260" w:type="dxa"/>
            <w:vAlign w:val="bottom"/>
          </w:tcPr>
          <w:p>
            <w:pPr>
              <w:spacing w:after="0"/>
              <w:rPr>
                <w:sz w:val="17"/>
                <w:szCs w:val="17"/>
                <w:color w:val="auto"/>
              </w:rPr>
            </w:pPr>
          </w:p>
        </w:tc>
        <w:tc>
          <w:tcPr>
            <w:tcW w:w="1900" w:type="dxa"/>
            <w:vAlign w:val="bottom"/>
          </w:tcPr>
          <w:p>
            <w:pPr>
              <w:ind w:left="140"/>
              <w:spacing w:after="0"/>
              <w:rPr>
                <w:sz w:val="20"/>
                <w:szCs w:val="20"/>
                <w:color w:val="auto"/>
              </w:rPr>
            </w:pPr>
            <w:r>
              <w:rPr>
                <w:rFonts w:ascii="Arial" w:cs="Arial" w:eastAsia="Arial" w:hAnsi="Arial"/>
                <w:sz w:val="16"/>
                <w:szCs w:val="16"/>
                <w:b w:val="1"/>
                <w:bCs w:val="1"/>
                <w:color w:val="auto"/>
              </w:rPr>
              <w:t>September 30,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940" w:type="dxa"/>
            <w:vAlign w:val="bottom"/>
            <w:gridSpan w:val="4"/>
          </w:tcPr>
          <w:p>
            <w:pPr>
              <w:ind w:left="24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129,912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381,078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9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369,935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360,997</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6940" w:type="dxa"/>
            <w:vAlign w:val="bottom"/>
            <w:tcBorders>
              <w:bottom w:val="single" w:sz="8" w:color="CCEEFF"/>
            </w:tcBorders>
            <w:gridSpan w:val="4"/>
          </w:tcPr>
          <w:p>
            <w:pPr>
              <w:ind w:left="240"/>
              <w:spacing w:after="0"/>
              <w:rPr>
                <w:sz w:val="20"/>
                <w:szCs w:val="20"/>
                <w:color w:val="auto"/>
              </w:rPr>
            </w:pPr>
            <w:r>
              <w:rPr>
                <w:rFonts w:ascii="Arial" w:cs="Arial" w:eastAsia="Arial" w:hAnsi="Arial"/>
                <w:sz w:val="18"/>
                <w:szCs w:val="18"/>
                <w:color w:val="auto"/>
              </w:rPr>
              <w:t>Basic EPS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4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gridSpan w:val="5"/>
          </w:tcPr>
          <w:p>
            <w:pPr>
              <w:ind w:left="40"/>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129,912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381,078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940" w:type="dxa"/>
            <w:vAlign w:val="bottom"/>
            <w:gridSpan w:val="4"/>
          </w:tcPr>
          <w:p>
            <w:pPr>
              <w:ind w:left="240"/>
              <w:spacing w:after="0"/>
              <w:rPr>
                <w:sz w:val="20"/>
                <w:szCs w:val="20"/>
                <w:color w:val="auto"/>
              </w:rPr>
            </w:pPr>
            <w:r>
              <w:rPr>
                <w:rFonts w:ascii="Arial" w:cs="Arial" w:eastAsia="Arial" w:hAnsi="Arial"/>
                <w:sz w:val="18"/>
                <w:szCs w:val="18"/>
                <w:color w:val="auto"/>
              </w:rPr>
              <w:t>Diluted weighted-average common shares outstanding</w:t>
            </w:r>
          </w:p>
        </w:tc>
        <w:tc>
          <w:tcPr>
            <w:tcW w:w="240" w:type="dxa"/>
            <w:vAlign w:val="bottom"/>
          </w:tcPr>
          <w:p>
            <w:pPr>
              <w:spacing w:after="0"/>
              <w:rPr>
                <w:sz w:val="21"/>
                <w:szCs w:val="21"/>
                <w:color w:val="auto"/>
              </w:rPr>
            </w:pPr>
          </w:p>
        </w:tc>
        <w:tc>
          <w:tcPr>
            <w:tcW w:w="1940" w:type="dxa"/>
            <w:vAlign w:val="bottom"/>
          </w:tcPr>
          <w:p>
            <w:pPr>
              <w:jc w:val="right"/>
              <w:ind w:right="33"/>
              <w:spacing w:after="0"/>
              <w:rPr>
                <w:sz w:val="20"/>
                <w:szCs w:val="20"/>
                <w:color w:val="auto"/>
              </w:rPr>
            </w:pPr>
            <w:r>
              <w:rPr>
                <w:rFonts w:ascii="Arial" w:cs="Arial" w:eastAsia="Arial" w:hAnsi="Arial"/>
                <w:sz w:val="18"/>
                <w:szCs w:val="18"/>
                <w:color w:val="auto"/>
              </w:rPr>
              <w:t>370,127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tcPr>
          <w:p>
            <w:pPr>
              <w:jc w:val="right"/>
              <w:ind w:right="13"/>
              <w:spacing w:after="0"/>
              <w:rPr>
                <w:sz w:val="20"/>
                <w:szCs w:val="20"/>
                <w:color w:val="auto"/>
              </w:rPr>
            </w:pPr>
            <w:r>
              <w:rPr>
                <w:rFonts w:ascii="Arial" w:cs="Arial" w:eastAsia="Arial" w:hAnsi="Arial"/>
                <w:sz w:val="18"/>
                <w:szCs w:val="18"/>
                <w:color w:val="auto"/>
              </w:rPr>
              <w:t>361,042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94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Diluted EPS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Stock-Based Compensation</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stock-based compensation expense recorded as General and administrative expense in the Statement of Operations totaled $0.6 million and $1.5 million for the three and nine months ended September 30, 2018, respectively. Compensation expense is recognized on a straight-line basis over the term of the reward.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7"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activity of our restricted stock and performance based restricted stock units: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Pr>
          <w:p>
            <w:pPr>
              <w:jc w:val="right"/>
              <w:ind w:right="72"/>
              <w:spacing w:after="0"/>
              <w:rPr>
                <w:sz w:val="20"/>
                <w:szCs w:val="20"/>
                <w:color w:val="auto"/>
              </w:rPr>
            </w:pPr>
            <w:r>
              <w:rPr>
                <w:rFonts w:ascii="Arial" w:cs="Arial" w:eastAsia="Arial" w:hAnsi="Arial"/>
                <w:sz w:val="16"/>
                <w:szCs w:val="16"/>
                <w:b w:val="1"/>
                <w:bCs w:val="1"/>
                <w:color w:val="auto"/>
                <w:w w:val="93"/>
              </w:rPr>
              <w:t>Weighted Average Grant</w:t>
            </w:r>
          </w:p>
        </w:tc>
      </w:tr>
      <w:tr>
        <w:trPr>
          <w:trHeight w:val="203"/>
        </w:trPr>
        <w:tc>
          <w:tcPr>
            <w:tcW w:w="80" w:type="dxa"/>
            <w:vAlign w:val="bottom"/>
          </w:tcPr>
          <w:p>
            <w:pPr>
              <w:spacing w:after="0"/>
              <w:rPr>
                <w:sz w:val="17"/>
                <w:szCs w:val="17"/>
                <w:color w:val="auto"/>
              </w:rPr>
            </w:pPr>
          </w:p>
        </w:tc>
        <w:tc>
          <w:tcPr>
            <w:tcW w:w="7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160" w:type="dxa"/>
            <w:vAlign w:val="bottom"/>
            <w:gridSpan w:val="2"/>
          </w:tcPr>
          <w:p>
            <w:pPr>
              <w:ind w:left="8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1920" w:type="dxa"/>
            <w:vAlign w:val="bottom"/>
          </w:tcPr>
          <w:p>
            <w:pPr>
              <w:jc w:val="right"/>
              <w:ind w:right="392"/>
              <w:spacing w:after="0"/>
              <w:rPr>
                <w:sz w:val="20"/>
                <w:szCs w:val="20"/>
                <w:color w:val="auto"/>
              </w:rPr>
            </w:pPr>
            <w:r>
              <w:rPr>
                <w:rFonts w:ascii="Arial" w:cs="Arial" w:eastAsia="Arial" w:hAnsi="Arial"/>
                <w:sz w:val="16"/>
                <w:szCs w:val="16"/>
                <w:b w:val="1"/>
                <w:bCs w:val="1"/>
                <w:color w:val="auto"/>
              </w:rPr>
              <w:t>Date Fair Value</w:t>
            </w: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2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15.61</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2060" w:type="dxa"/>
            <w:vAlign w:val="bottom"/>
          </w:tcPr>
          <w:p>
            <w:pPr>
              <w:jc w:val="right"/>
              <w:ind w:right="11"/>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17.05</w:t>
            </w:r>
          </w:p>
        </w:tc>
      </w:tr>
      <w:tr>
        <w:trPr>
          <w:trHeight w:val="27"/>
        </w:trPr>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Forfeited</w:t>
            </w:r>
          </w:p>
        </w:tc>
        <w:tc>
          <w:tcPr>
            <w:tcW w:w="2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20.03</w:t>
            </w:r>
          </w:p>
        </w:tc>
      </w:tr>
      <w:tr>
        <w:trPr>
          <w:trHeight w:val="27"/>
        </w:trPr>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2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Outstanding as of September 30, 2018</w:t>
            </w:r>
          </w:p>
        </w:tc>
        <w:tc>
          <w:tcPr>
            <w:tcW w:w="2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16.47</w:t>
            </w:r>
          </w:p>
        </w:tc>
      </w:tr>
      <w:tr>
        <w:trPr>
          <w:trHeight w:val="27"/>
        </w:trPr>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30, 2018, there was $6.3 million of unrecognized compensation cost related to non-vested stock-based compensation arrangements under the Plan. This cost is expected to be recognized over a weighted average period of 2.5 years.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Segment Information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w:t>
      </w:r>
    </w:p>
    <w:p>
      <w:pPr>
        <w:spacing w:after="0" w:line="1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results of each reportable segment presented below are consistent with the way our management assesses these results and allocates resources, which is a consolidated view that adjusts for the impact of certain transactions between our reportable segments, as described below.</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information with respect to our segments: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2"/>
              </w:rPr>
              <w:t>Three Months Ended September 30, 2018</w:t>
            </w:r>
          </w:p>
        </w:tc>
        <w:tc>
          <w:tcPr>
            <w:tcW w:w="140" w:type="dxa"/>
            <w:vAlign w:val="bottom"/>
          </w:tcPr>
          <w:p>
            <w:pPr>
              <w:spacing w:after="0"/>
              <w:rPr>
                <w:sz w:val="18"/>
                <w:szCs w:val="18"/>
                <w:color w:val="auto"/>
              </w:rPr>
            </w:pPr>
          </w:p>
        </w:tc>
        <w:tc>
          <w:tcPr>
            <w:tcW w:w="4160" w:type="dxa"/>
            <w:vAlign w:val="bottom"/>
            <w:gridSpan w:val="7"/>
          </w:tcPr>
          <w:p>
            <w:pPr>
              <w:jc w:val="center"/>
              <w:ind w:right="32"/>
              <w:spacing w:after="0"/>
              <w:rPr>
                <w:sz w:val="20"/>
                <w:szCs w:val="20"/>
                <w:color w:val="auto"/>
              </w:rPr>
            </w:pPr>
            <w:r>
              <w:rPr>
                <w:rFonts w:ascii="Arial" w:cs="Arial" w:eastAsia="Arial" w:hAnsi="Arial"/>
                <w:sz w:val="16"/>
                <w:szCs w:val="16"/>
                <w:b w:val="1"/>
                <w:bCs w:val="1"/>
                <w:color w:val="auto"/>
                <w:w w:val="92"/>
              </w:rPr>
              <w:t>Nine Months Ended September 30, 2018</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Real Property</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Golf Course</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VICI</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Real Property</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Golf Course</w:t>
            </w:r>
          </w:p>
        </w:tc>
        <w:tc>
          <w:tcPr>
            <w:tcW w:w="160" w:type="dxa"/>
            <w:vAlign w:val="bottom"/>
          </w:tcPr>
          <w:p>
            <w:pPr>
              <w:spacing w:after="0"/>
              <w:rPr>
                <w:sz w:val="18"/>
                <w:szCs w:val="18"/>
                <w:color w:val="auto"/>
              </w:rPr>
            </w:pPr>
          </w:p>
        </w:tc>
        <w:tc>
          <w:tcPr>
            <w:tcW w:w="1200" w:type="dxa"/>
            <w:vAlign w:val="bottom"/>
          </w:tcPr>
          <w:p>
            <w:pPr>
              <w:jc w:val="right"/>
              <w:ind w:right="412"/>
              <w:spacing w:after="0"/>
              <w:rPr>
                <w:sz w:val="20"/>
                <w:szCs w:val="20"/>
                <w:color w:val="auto"/>
              </w:rPr>
            </w:pPr>
            <w:r>
              <w:rPr>
                <w:rFonts w:ascii="Arial" w:cs="Arial" w:eastAsia="Arial" w:hAnsi="Arial"/>
                <w:sz w:val="16"/>
                <w:szCs w:val="16"/>
                <w:b w:val="1"/>
                <w:bCs w:val="1"/>
                <w:color w:val="auto"/>
              </w:rPr>
              <w:t>VICI</w:t>
            </w:r>
          </w:p>
        </w:tc>
      </w:tr>
      <w:tr>
        <w:trPr>
          <w:trHeight w:val="203"/>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Business</w:t>
            </w: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1"/>
              </w:rPr>
              <w:t>Business</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Consolidated</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Business</w:t>
            </w: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Business</w:t>
            </w:r>
          </w:p>
        </w:tc>
        <w:tc>
          <w:tcPr>
            <w:tcW w:w="160" w:type="dxa"/>
            <w:vAlign w:val="bottom"/>
          </w:tcPr>
          <w:p>
            <w:pPr>
              <w:spacing w:after="0"/>
              <w:rPr>
                <w:sz w:val="17"/>
                <w:szCs w:val="17"/>
                <w:color w:val="auto"/>
              </w:rPr>
            </w:pPr>
          </w:p>
        </w:tc>
        <w:tc>
          <w:tcPr>
            <w:tcW w:w="1200" w:type="dxa"/>
            <w:vAlign w:val="bottom"/>
          </w:tcPr>
          <w:p>
            <w:pPr>
              <w:jc w:val="right"/>
              <w:ind w:right="132"/>
              <w:spacing w:after="0"/>
              <w:rPr>
                <w:sz w:val="20"/>
                <w:szCs w:val="20"/>
                <w:color w:val="auto"/>
              </w:rPr>
            </w:pPr>
            <w:r>
              <w:rPr>
                <w:rFonts w:ascii="Arial" w:cs="Arial" w:eastAsia="Arial" w:hAnsi="Arial"/>
                <w:sz w:val="16"/>
                <w:szCs w:val="16"/>
                <w:b w:val="1"/>
                <w:bCs w:val="1"/>
                <w:color w:val="auto"/>
                <w:w w:val="94"/>
              </w:rPr>
              <w:t>Consolidated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232,687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652,242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671,938</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183,857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184,100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558,160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4,112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562,272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(158,365)</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(23,040)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131,833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388,371</w:t>
            </w:r>
          </w:p>
        </w:tc>
      </w:tr>
      <w:tr>
        <w:trPr>
          <w:trHeight w:val="243"/>
        </w:trPr>
        <w:tc>
          <w:tcPr>
            <w:tcW w:w="2640" w:type="dxa"/>
            <w:vAlign w:val="bottom"/>
            <w:gridSpan w:val="3"/>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131,833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132,024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387,487</w:t>
            </w:r>
          </w:p>
        </w:tc>
      </w:tr>
      <w:tr>
        <w:trPr>
          <w:trHeight w:val="297"/>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2,757</w:t>
            </w:r>
          </w:p>
        </w:tc>
      </w:tr>
      <w:tr>
        <w:trPr>
          <w:trHeight w:val="28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10,487,016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81,485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10,568,501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10,487,016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81,485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10,568,501</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 Subsequent Events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subsequent events and except for the payment of dividends on October 11, 2018, as described in Note 12, there were no other events relative to the Financial Statements that require additional disclosure.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7"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The following sets forth the historical combined financial statements of Caesars Entertainment Outdoor as our predecessor, the operations of which were contributed to VICI Golf on October 6, 2017 as part of our Formation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CAESARS ENTERTAINMENT OUTDOOR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(DEBTOR-IN-POSSESSION)</w:t>
      </w:r>
    </w:p>
    <w:p>
      <w:pPr>
        <w:jc w:val="center"/>
        <w:ind w:right="-19"/>
        <w:spacing w:after="0"/>
        <w:rPr>
          <w:sz w:val="20"/>
          <w:szCs w:val="20"/>
          <w:color w:val="auto"/>
        </w:rPr>
      </w:pPr>
      <w:r>
        <w:rPr>
          <w:rFonts w:ascii="Arial" w:cs="Arial" w:eastAsia="Arial" w:hAnsi="Arial"/>
          <w:sz w:val="20"/>
          <w:szCs w:val="20"/>
          <w:b w:val="1"/>
          <w:bCs w:val="1"/>
          <w:color w:val="auto"/>
        </w:rPr>
        <w:t>COMBINED STATEMENTS OF OPERATIONS</w:t>
      </w:r>
    </w:p>
    <w:p>
      <w:pPr>
        <w:ind w:left="5040"/>
        <w:spacing w:after="0"/>
        <w:rPr>
          <w:sz w:val="20"/>
          <w:szCs w:val="20"/>
          <w:color w:val="auto"/>
        </w:rPr>
      </w:pPr>
      <w:r>
        <w:rPr>
          <w:rFonts w:ascii="Arial" w:cs="Arial" w:eastAsia="Arial" w:hAnsi="Arial"/>
          <w:sz w:val="20"/>
          <w:szCs w:val="20"/>
          <w:b w:val="1"/>
          <w:bCs w:val="1"/>
          <w:color w:val="auto"/>
        </w:rPr>
        <w:t>(UNAUDITED)</w:t>
      </w:r>
    </w:p>
    <w:p>
      <w:pPr>
        <w:ind w:left="5100"/>
        <w:spacing w:after="0"/>
        <w:rPr>
          <w:sz w:val="20"/>
          <w:szCs w:val="20"/>
          <w:color w:val="auto"/>
        </w:rPr>
      </w:pPr>
      <w:r>
        <w:rPr>
          <w:rFonts w:ascii="Arial" w:cs="Arial" w:eastAsia="Arial" w:hAnsi="Arial"/>
          <w:sz w:val="20"/>
          <w:szCs w:val="20"/>
          <w:b w:val="1"/>
          <w:bCs w:val="1"/>
          <w:color w:val="auto"/>
        </w:rPr>
        <w:t>(In thousands)</w:t>
      </w:r>
    </w:p>
    <w:p>
      <w:pPr>
        <w:spacing w:after="0" w:line="30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Nine Months Ended</w:t>
            </w:r>
          </w:p>
        </w:tc>
      </w:tr>
      <w:tr>
        <w:trPr>
          <w:trHeight w:val="234"/>
        </w:trPr>
        <w:tc>
          <w:tcPr>
            <w:tcW w:w="4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September 30, 2017</w:t>
            </w:r>
          </w:p>
        </w:tc>
        <w:tc>
          <w:tcPr>
            <w:tcW w:w="240" w:type="dxa"/>
            <w:vAlign w:val="bottom"/>
          </w:tcPr>
          <w:p>
            <w:pPr>
              <w:spacing w:after="0"/>
              <w:rPr>
                <w:sz w:val="20"/>
                <w:szCs w:val="20"/>
                <w:color w:val="auto"/>
              </w:rPr>
            </w:pPr>
          </w:p>
        </w:tc>
        <w:tc>
          <w:tcPr>
            <w:tcW w:w="202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September 30, 2017</w:t>
            </w:r>
          </w:p>
        </w:tc>
      </w:tr>
      <w:tr>
        <w:trPr>
          <w:trHeight w:val="27"/>
        </w:trPr>
        <w:tc>
          <w:tcPr>
            <w:tcW w:w="48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1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260"/>
              <w:spacing w:after="0"/>
              <w:rPr>
                <w:sz w:val="20"/>
                <w:szCs w:val="20"/>
                <w:color w:val="auto"/>
              </w:rPr>
            </w:pPr>
            <w:r>
              <w:rPr>
                <w:rFonts w:ascii="Arial" w:cs="Arial" w:eastAsia="Arial" w:hAnsi="Arial"/>
                <w:sz w:val="18"/>
                <w:szCs w:val="18"/>
                <w:color w:val="auto"/>
              </w:rPr>
              <w:t>Golf ($2,892 and $5,562 attributable to related parties)</w:t>
            </w: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3,682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11,146</w:t>
            </w:r>
          </w:p>
        </w:tc>
      </w:tr>
      <w:tr>
        <w:trPr>
          <w:trHeight w:val="27"/>
        </w:trPr>
        <w:tc>
          <w:tcPr>
            <w:tcW w:w="4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Food and beverage</w:t>
            </w:r>
          </w:p>
        </w:tc>
        <w:tc>
          <w:tcPr>
            <w:tcW w:w="1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1,338</w:t>
            </w:r>
          </w:p>
        </w:tc>
      </w:tr>
      <w:tr>
        <w:trPr>
          <w:trHeight w:val="243"/>
        </w:trPr>
        <w:tc>
          <w:tcPr>
            <w:tcW w:w="4880" w:type="dxa"/>
            <w:vAlign w:val="bottom"/>
          </w:tcPr>
          <w:p>
            <w:pPr>
              <w:ind w:left="260"/>
              <w:spacing w:after="0"/>
              <w:rPr>
                <w:sz w:val="20"/>
                <w:szCs w:val="20"/>
                <w:color w:val="auto"/>
              </w:rPr>
            </w:pPr>
            <w:r>
              <w:rPr>
                <w:rFonts w:ascii="Arial" w:cs="Arial" w:eastAsia="Arial" w:hAnsi="Arial"/>
                <w:sz w:val="18"/>
                <w:szCs w:val="18"/>
                <w:color w:val="auto"/>
              </w:rPr>
              <w:t>Retail and other</w:t>
            </w:r>
          </w:p>
        </w:tc>
        <w:tc>
          <w:tcPr>
            <w:tcW w:w="1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1,343</w:t>
            </w:r>
          </w:p>
        </w:tc>
      </w:tr>
      <w:tr>
        <w:trPr>
          <w:trHeight w:val="27"/>
        </w:trPr>
        <w:tc>
          <w:tcPr>
            <w:tcW w:w="48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4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revenues</w:t>
            </w:r>
          </w:p>
        </w:tc>
        <w:tc>
          <w:tcPr>
            <w:tcW w:w="17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13,827</w:t>
            </w:r>
          </w:p>
        </w:tc>
      </w:tr>
      <w:tr>
        <w:trPr>
          <w:trHeight w:val="277"/>
        </w:trPr>
        <w:tc>
          <w:tcPr>
            <w:tcW w:w="4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1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4880" w:type="dxa"/>
            <w:vAlign w:val="bottom"/>
          </w:tcPr>
          <w:p>
            <w:pPr>
              <w:ind w:left="260"/>
              <w:spacing w:after="0"/>
              <w:rPr>
                <w:sz w:val="20"/>
                <w:szCs w:val="20"/>
                <w:color w:val="auto"/>
              </w:rPr>
            </w:pPr>
            <w:r>
              <w:rPr>
                <w:rFonts w:ascii="Arial" w:cs="Arial" w:eastAsia="Arial" w:hAnsi="Arial"/>
                <w:sz w:val="18"/>
                <w:szCs w:val="18"/>
                <w:color w:val="auto"/>
              </w:rPr>
              <w:t>Direct</w:t>
            </w:r>
          </w:p>
        </w:tc>
        <w:tc>
          <w:tcPr>
            <w:tcW w:w="1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Golf</w:t>
            </w:r>
          </w:p>
        </w:tc>
        <w:tc>
          <w:tcPr>
            <w:tcW w:w="1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5,088</w:t>
            </w:r>
          </w:p>
        </w:tc>
      </w:tr>
      <w:tr>
        <w:trPr>
          <w:trHeight w:val="243"/>
        </w:trPr>
        <w:tc>
          <w:tcPr>
            <w:tcW w:w="4880" w:type="dxa"/>
            <w:vAlign w:val="bottom"/>
          </w:tcPr>
          <w:p>
            <w:pPr>
              <w:ind w:left="480"/>
              <w:spacing w:after="0"/>
              <w:rPr>
                <w:sz w:val="20"/>
                <w:szCs w:val="20"/>
                <w:color w:val="auto"/>
              </w:rPr>
            </w:pPr>
            <w:r>
              <w:rPr>
                <w:rFonts w:ascii="Arial" w:cs="Arial" w:eastAsia="Arial" w:hAnsi="Arial"/>
                <w:sz w:val="18"/>
                <w:szCs w:val="18"/>
                <w:color w:val="auto"/>
              </w:rPr>
              <w:t>Food and beverage</w:t>
            </w:r>
          </w:p>
        </w:tc>
        <w:tc>
          <w:tcPr>
            <w:tcW w:w="1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1,119</w:t>
            </w:r>
          </w:p>
        </w:tc>
      </w:tr>
      <w:tr>
        <w:trPr>
          <w:trHeight w:val="27"/>
        </w:trPr>
        <w:tc>
          <w:tcPr>
            <w:tcW w:w="4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Retail and other</w:t>
            </w:r>
          </w:p>
        </w:tc>
        <w:tc>
          <w:tcPr>
            <w:tcW w:w="1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r>
      <w:tr>
        <w:trPr>
          <w:trHeight w:val="243"/>
        </w:trPr>
        <w:tc>
          <w:tcPr>
            <w:tcW w:w="4880" w:type="dxa"/>
            <w:vAlign w:val="bottom"/>
          </w:tcPr>
          <w:p>
            <w:pPr>
              <w:ind w:left="260"/>
              <w:spacing w:after="0"/>
              <w:rPr>
                <w:sz w:val="20"/>
                <w:szCs w:val="20"/>
                <w:color w:val="auto"/>
              </w:rPr>
            </w:pPr>
            <w:r>
              <w:rPr>
                <w:rFonts w:ascii="Arial" w:cs="Arial" w:eastAsia="Arial" w:hAnsi="Arial"/>
                <w:sz w:val="18"/>
                <w:szCs w:val="18"/>
                <w:color w:val="auto"/>
              </w:rPr>
              <w:t>Property costs</w:t>
            </w:r>
          </w:p>
        </w:tc>
        <w:tc>
          <w:tcPr>
            <w:tcW w:w="1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2,836</w:t>
            </w:r>
          </w:p>
        </w:tc>
      </w:tr>
      <w:tr>
        <w:trPr>
          <w:trHeight w:val="27"/>
        </w:trPr>
        <w:tc>
          <w:tcPr>
            <w:tcW w:w="48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w:t>
            </w:r>
          </w:p>
        </w:tc>
        <w:tc>
          <w:tcPr>
            <w:tcW w:w="1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2,402</w:t>
            </w:r>
          </w:p>
        </w:tc>
      </w:tr>
      <w:tr>
        <w:trPr>
          <w:trHeight w:val="243"/>
        </w:trPr>
        <w:tc>
          <w:tcPr>
            <w:tcW w:w="4880" w:type="dxa"/>
            <w:vAlign w:val="bottom"/>
          </w:tcPr>
          <w:p>
            <w:pPr>
              <w:ind w:left="260"/>
              <w:spacing w:after="0"/>
              <w:rPr>
                <w:sz w:val="20"/>
                <w:szCs w:val="20"/>
                <w:color w:val="auto"/>
              </w:rPr>
            </w:pPr>
            <w:r>
              <w:rPr>
                <w:rFonts w:ascii="Arial" w:cs="Arial" w:eastAsia="Arial" w:hAnsi="Arial"/>
                <w:sz w:val="18"/>
                <w:szCs w:val="18"/>
                <w:color w:val="auto"/>
              </w:rPr>
              <w:t>Administrative and other</w:t>
            </w:r>
          </w:p>
        </w:tc>
        <w:tc>
          <w:tcPr>
            <w:tcW w:w="1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1,341</w:t>
            </w:r>
          </w:p>
        </w:tc>
      </w:tr>
      <w:tr>
        <w:trPr>
          <w:trHeight w:val="27"/>
        </w:trPr>
        <w:tc>
          <w:tcPr>
            <w:tcW w:w="48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13,827</w:t>
            </w:r>
          </w:p>
        </w:tc>
      </w:tr>
      <w:tr>
        <w:trPr>
          <w:trHeight w:val="284"/>
        </w:trPr>
        <w:tc>
          <w:tcPr>
            <w:tcW w:w="488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257"/>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6660" w:type="dxa"/>
            <w:vAlign w:val="bottom"/>
            <w:tcBorders>
              <w:top w:val="single" w:sz="8" w:color="CCEEFF"/>
            </w:tcBorders>
            <w:gridSpan w:val="2"/>
          </w:tcPr>
          <w:p>
            <w:pPr>
              <w:spacing w:after="0" w:line="20" w:lineRule="exact"/>
              <w:rPr>
                <w:sz w:val="1"/>
                <w:szCs w:val="1"/>
                <w:color w:val="auto"/>
              </w:rPr>
            </w:pPr>
          </w:p>
        </w:tc>
        <w:tc>
          <w:tcPr>
            <w:tcW w:w="2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743"/>
        </w:trPr>
        <w:tc>
          <w:tcPr>
            <w:tcW w:w="9020" w:type="dxa"/>
            <w:vAlign w:val="bottom"/>
            <w:gridSpan w:val="5"/>
          </w:tcPr>
          <w:p>
            <w:pPr>
              <w:jc w:val="center"/>
              <w:ind w:left="2110"/>
              <w:spacing w:after="0"/>
              <w:rPr>
                <w:sz w:val="20"/>
                <w:szCs w:val="20"/>
                <w:color w:val="auto"/>
              </w:rPr>
            </w:pPr>
            <w:r>
              <w:rPr>
                <w:rFonts w:ascii="Arial" w:cs="Arial" w:eastAsia="Arial" w:hAnsi="Arial"/>
                <w:sz w:val="18"/>
                <w:szCs w:val="18"/>
                <w:color w:val="auto"/>
                <w:w w:val="89"/>
              </w:rPr>
              <w:t>See accompanying Notes to Combined Financial Statements.</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675"/>
        </w:trPr>
        <w:tc>
          <w:tcPr>
            <w:tcW w:w="4880" w:type="dxa"/>
            <w:vAlign w:val="bottom"/>
          </w:tcPr>
          <w:p>
            <w:pPr>
              <w:spacing w:after="0"/>
              <w:rPr>
                <w:sz w:val="24"/>
                <w:szCs w:val="24"/>
                <w:color w:val="auto"/>
              </w:rPr>
            </w:pPr>
          </w:p>
        </w:tc>
        <w:tc>
          <w:tcPr>
            <w:tcW w:w="1780" w:type="dxa"/>
            <w:vAlign w:val="bottom"/>
          </w:tcPr>
          <w:p>
            <w:pPr>
              <w:jc w:val="right"/>
              <w:ind w:right="85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ind w:left="3020"/>
        <w:spacing w:after="0"/>
        <w:rPr>
          <w:sz w:val="20"/>
          <w:szCs w:val="20"/>
          <w:color w:val="auto"/>
        </w:rPr>
      </w:pPr>
      <w:r>
        <w:rPr>
          <w:rFonts w:ascii="Arial" w:cs="Arial" w:eastAsia="Arial" w:hAnsi="Arial"/>
          <w:sz w:val="20"/>
          <w:szCs w:val="20"/>
          <w:b w:val="1"/>
          <w:bCs w:val="1"/>
          <w:color w:val="auto"/>
        </w:rPr>
        <w:t>CAESARS ENTERTAINMENT OUTDOOR</w:t>
      </w:r>
    </w:p>
    <w:p>
      <w:pPr>
        <w:jc w:val="center"/>
        <w:ind w:left="3020"/>
        <w:spacing w:after="0"/>
        <w:rPr>
          <w:sz w:val="20"/>
          <w:szCs w:val="20"/>
          <w:color w:val="auto"/>
        </w:rPr>
      </w:pPr>
      <w:r>
        <w:rPr>
          <w:rFonts w:ascii="Arial" w:cs="Arial" w:eastAsia="Arial" w:hAnsi="Arial"/>
          <w:sz w:val="20"/>
          <w:szCs w:val="20"/>
          <w:b w:val="1"/>
          <w:bCs w:val="1"/>
          <w:color w:val="auto"/>
        </w:rPr>
        <w:t>(DEBTOR-IN-POSSESSION)</w:t>
      </w:r>
    </w:p>
    <w:p>
      <w:pPr>
        <w:jc w:val="center"/>
        <w:ind w:left="3020"/>
        <w:spacing w:after="0"/>
        <w:rPr>
          <w:sz w:val="20"/>
          <w:szCs w:val="20"/>
          <w:color w:val="auto"/>
        </w:rPr>
      </w:pPr>
      <w:r>
        <w:rPr>
          <w:rFonts w:ascii="Arial" w:cs="Arial" w:eastAsia="Arial" w:hAnsi="Arial"/>
          <w:sz w:val="20"/>
          <w:szCs w:val="20"/>
          <w:b w:val="1"/>
          <w:bCs w:val="1"/>
          <w:color w:val="auto"/>
        </w:rPr>
        <w:t>COMBINED STATEMENT OF CASH FLOWS</w:t>
      </w:r>
    </w:p>
    <w:p>
      <w:pPr>
        <w:ind w:left="5040"/>
        <w:spacing w:after="0"/>
        <w:rPr>
          <w:sz w:val="20"/>
          <w:szCs w:val="20"/>
          <w:color w:val="auto"/>
        </w:rPr>
      </w:pPr>
      <w:r>
        <w:rPr>
          <w:rFonts w:ascii="Arial" w:cs="Arial" w:eastAsia="Arial" w:hAnsi="Arial"/>
          <w:sz w:val="20"/>
          <w:szCs w:val="20"/>
          <w:b w:val="1"/>
          <w:bCs w:val="1"/>
          <w:color w:val="auto"/>
        </w:rPr>
        <w:t>(UNAUDITED)</w:t>
      </w:r>
    </w:p>
    <w:p>
      <w:pPr>
        <w:ind w:left="5100"/>
        <w:spacing w:after="0"/>
        <w:rPr>
          <w:sz w:val="20"/>
          <w:szCs w:val="20"/>
          <w:color w:val="auto"/>
        </w:rPr>
      </w:pPr>
      <w:r>
        <w:rPr>
          <w:rFonts w:ascii="Arial" w:cs="Arial" w:eastAsia="Arial" w:hAnsi="Arial"/>
          <w:sz w:val="20"/>
          <w:szCs w:val="20"/>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797560</wp:posOffset>
            </wp:positionV>
            <wp:extent cx="720344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from operating activities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Adjustments to reconcile net income to cash flows provided by operating activities: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Provisions for (recoveries of) bad debt</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 in current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Receivables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Prepayments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Acquisitions of property and equipment, net of change in related payables</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Repayments for capital leases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Transactions with parent,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220980</wp:posOffset>
            </wp:positionV>
            <wp:extent cx="720344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3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increase (decrease) in cash and cash equivalents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and cash equivalents, end of period</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interest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04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Nine Months Ended</w:t>
            </w:r>
          </w:p>
        </w:tc>
      </w:tr>
      <w:tr>
        <w:trPr>
          <w:trHeight w:val="234"/>
        </w:trPr>
        <w:tc>
          <w:tcPr>
            <w:tcW w:w="240" w:type="dxa"/>
            <w:vAlign w:val="bottom"/>
          </w:tcPr>
          <w:p>
            <w:pPr>
              <w:spacing w:after="0"/>
              <w:rPr>
                <w:sz w:val="20"/>
                <w:szCs w:val="20"/>
                <w:color w:val="auto"/>
              </w:rPr>
            </w:pPr>
          </w:p>
        </w:tc>
        <w:tc>
          <w:tcPr>
            <w:tcW w:w="204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September 30, 2017</w:t>
            </w:r>
          </w:p>
        </w:tc>
      </w:tr>
      <w:tr>
        <w:trPr>
          <w:trHeight w:val="27"/>
        </w:trPr>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507"/>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540"/>
        </w:trPr>
        <w:tc>
          <w:tcPr>
            <w:tcW w:w="240" w:type="dxa"/>
            <w:vAlign w:val="bottom"/>
          </w:tcPr>
          <w:p>
            <w:pPr>
              <w:spacing w:after="0"/>
              <w:rPr>
                <w:sz w:val="24"/>
                <w:szCs w:val="24"/>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2,402</w:t>
            </w:r>
          </w:p>
        </w:tc>
      </w:tr>
      <w:tr>
        <w:trPr>
          <w:trHeight w:val="270"/>
        </w:trPr>
        <w:tc>
          <w:tcPr>
            <w:tcW w:w="24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540"/>
        </w:trPr>
        <w:tc>
          <w:tcPr>
            <w:tcW w:w="2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0"/>
        </w:trPr>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0"/>
        </w:trPr>
        <w:tc>
          <w:tcPr>
            <w:tcW w:w="24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192</w:t>
            </w:r>
          </w:p>
        </w:tc>
      </w:tr>
      <w:tr>
        <w:trPr>
          <w:trHeight w:val="270"/>
        </w:trPr>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0"/>
        </w:trPr>
        <w:tc>
          <w:tcPr>
            <w:tcW w:w="24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64</w:t>
            </w:r>
          </w:p>
        </w:tc>
      </w:tr>
      <w:tr>
        <w:trPr>
          <w:trHeight w:val="27"/>
        </w:trPr>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2,244</w:t>
            </w:r>
          </w:p>
        </w:tc>
      </w:tr>
      <w:tr>
        <w:trPr>
          <w:trHeight w:val="27"/>
        </w:trPr>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790"/>
        </w:trPr>
        <w:tc>
          <w:tcPr>
            <w:tcW w:w="2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(1,918)</w:t>
            </w:r>
          </w:p>
        </w:tc>
      </w:tr>
      <w:tr>
        <w:trPr>
          <w:trHeight w:val="27"/>
        </w:trPr>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(1,918)</w:t>
            </w:r>
          </w:p>
        </w:tc>
      </w:tr>
      <w:tr>
        <w:trPr>
          <w:trHeight w:val="27"/>
        </w:trPr>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790"/>
        </w:trPr>
        <w:tc>
          <w:tcPr>
            <w:tcW w:w="2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240" w:type="dxa"/>
            <w:vAlign w:val="bottom"/>
          </w:tcPr>
          <w:p>
            <w:pPr>
              <w:spacing w:after="0"/>
              <w:rPr>
                <w:sz w:val="23"/>
                <w:szCs w:val="23"/>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(1,148)</w:t>
            </w:r>
          </w:p>
        </w:tc>
      </w:tr>
      <w:tr>
        <w:trPr>
          <w:trHeight w:val="27"/>
        </w:trPr>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(1,162)</w:t>
            </w:r>
          </w:p>
        </w:tc>
      </w:tr>
      <w:tr>
        <w:trPr>
          <w:trHeight w:val="27"/>
        </w:trPr>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520"/>
        </w:trPr>
        <w:tc>
          <w:tcPr>
            <w:tcW w:w="2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70"/>
        </w:trPr>
        <w:tc>
          <w:tcPr>
            <w:tcW w:w="240" w:type="dxa"/>
            <w:vAlign w:val="bottom"/>
          </w:tcPr>
          <w:p>
            <w:pPr>
              <w:spacing w:after="0"/>
              <w:rPr>
                <w:sz w:val="23"/>
                <w:szCs w:val="23"/>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920</w:t>
            </w:r>
          </w:p>
        </w:tc>
      </w:tr>
      <w:tr>
        <w:trPr>
          <w:trHeight w:val="27"/>
        </w:trPr>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84</w:t>
            </w:r>
          </w:p>
        </w:tc>
      </w:tr>
      <w:tr>
        <w:trPr>
          <w:trHeight w:val="27"/>
        </w:trPr>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791"/>
        </w:trPr>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2">
            <w:col w:w="8400" w:space="720"/>
            <w:col w:w="2280"/>
          </w:cols>
          <w:pgMar w:left="240" w:top="287"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CAESARS ENTERTAINMENT OUTDOOR</w:t>
      </w:r>
    </w:p>
    <w:p>
      <w:pPr>
        <w:jc w:val="center"/>
        <w:ind w:right="-19"/>
        <w:spacing w:after="0"/>
        <w:rPr>
          <w:sz w:val="20"/>
          <w:szCs w:val="20"/>
          <w:color w:val="auto"/>
        </w:rPr>
      </w:pPr>
      <w:r>
        <w:rPr>
          <w:rFonts w:ascii="Arial" w:cs="Arial" w:eastAsia="Arial" w:hAnsi="Arial"/>
          <w:sz w:val="20"/>
          <w:szCs w:val="20"/>
          <w:b w:val="1"/>
          <w:bCs w:val="1"/>
          <w:color w:val="auto"/>
        </w:rPr>
        <w:t>(DEBTOR-IN-POSSESSION)</w:t>
      </w:r>
    </w:p>
    <w:p>
      <w:pPr>
        <w:jc w:val="center"/>
        <w:ind w:right="-19"/>
        <w:spacing w:after="0"/>
        <w:rPr>
          <w:sz w:val="20"/>
          <w:szCs w:val="20"/>
          <w:color w:val="auto"/>
        </w:rPr>
      </w:pPr>
      <w:r>
        <w:rPr>
          <w:rFonts w:ascii="Arial" w:cs="Arial" w:eastAsia="Arial" w:hAnsi="Arial"/>
          <w:sz w:val="20"/>
          <w:szCs w:val="20"/>
          <w:b w:val="1"/>
          <w:bCs w:val="1"/>
          <w:color w:val="auto"/>
        </w:rPr>
        <w:t>NOTES TO COMBINED FINANCIAL STATEMENTS</w:t>
      </w:r>
    </w:p>
    <w:p>
      <w:pPr>
        <w:jc w:val="center"/>
        <w:ind w:right="-19"/>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In these notes, the words “Caesars Entertainment Outdoor,” “Business,” “Outdoor Business,” “we,” “our,” and “us” refer to the business and operation of the golf courses listed in Note 1 that are wholly-owned by Caesars Entertainment Operating Company, Inc.</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“CEOC” refers to the Caesars Entertainment Operating Company, Inc. “CEC”, “Caesars” and “Caesars Entertainment” refer to Caesars Entertainment Corporation. On October 6, 2017 (the “Formation Date”), CEOC merged with and into CEOC LLC, a Delaware limited liability company (“New CEOC”) with New CEOC surviving the merger.</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i w:val="1"/>
          <w:iCs w:val="1"/>
          <w:color w:val="auto"/>
        </w:rPr>
        <w:t xml:space="preserve">We </w:t>
      </w:r>
      <w:r>
        <w:rPr>
          <w:rFonts w:ascii="Arial" w:cs="Arial" w:eastAsia="Arial" w:hAnsi="Arial"/>
          <w:sz w:val="18"/>
          <w:szCs w:val="18"/>
          <w:i w:val="1"/>
          <w:iCs w:val="1"/>
          <w:color w:val="auto"/>
        </w:rPr>
        <w:t>also refer to (i) our Combined Financial Statements as our “Financial Statements,” and (ii) our Combined Statements of Operations as our “Statements</w:t>
      </w:r>
      <w:r>
        <w:rPr>
          <w:rFonts w:ascii="Arial" w:cs="Arial" w:eastAsia="Arial" w:hAnsi="Arial"/>
          <w:sz w:val="20"/>
          <w:szCs w:val="20"/>
          <w:i w:val="1"/>
          <w:iCs w:val="1"/>
          <w:color w:val="auto"/>
        </w:rPr>
        <w:t xml:space="preserve"> </w:t>
      </w:r>
      <w:r>
        <w:rPr>
          <w:rFonts w:ascii="Arial" w:cs="Arial" w:eastAsia="Arial" w:hAnsi="Arial"/>
          <w:sz w:val="18"/>
          <w:szCs w:val="18"/>
          <w:i w:val="1"/>
          <w:iCs w:val="1"/>
          <w:color w:val="auto"/>
        </w:rPr>
        <w:t>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2017, the Outdoor Business was a wholly-owned business of CEOC, and included the operations of the Cascata golf course in Boulder City, Nevada, the Rio Secco golf course in Henderson, Nevada, the Grand Bear golf course in Biloxi, Mississippi, and the Chariot Run golf course in Elizabeth, Indiana. Caesars Entertainment Golf, Inc., Rio Development Company, Inc., Grand Casinos of Biloxi, LLC, and Riverboat Casino, LLC, directly owned these golf courses, respectively, and were debtor-in-possession subsidiaries of CEOC. The golf courses generated revenue through fees charged for general golf course usage (including green fees, golf club rentals, and cart charges), annual or corporate memberships (at Rio Secco, Grand Bear and Chariot Run), a school of golf (at Rio Secco), and food, beverage, and merchandise sales.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15, 2015, CEOC and certain of its subsidiaries (the “Caesars Debtors”) voluntarily filed for relief under Chapter 11 of the United States Bankruptcy Code (the “Bankruptcy Code”) with the United States Bankruptcy Court for the Northern District of Illinois (the “Bankruptcy Court”). As a result of this filing, CEOC operated as a debtor-in-possession under the Bankruptcy Code. Because each of the four golf courses are owned by Caesars Debtor entities, the Outdoor Business was also considered a debtor-in-possession prior to the Formation Date. CEOC’s plan of reorganization (the “Plan”) was confirmed by the Bankruptcy Court on January 17,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Operations and Assets to VICI</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the Formation Date, pursuant to the Bankruptcy Plan, subsidiaries of CEOC contributed the ownership of the Business to VICI Properties Inc. (“VICI”). Following the Formation, the assets, liabilities and operations of the Business are now included in VICI Golf LLC (“VICI Golf”), a Delaware limited-liability company. VICI Golf is a wholly-owned subsidiary of VICI. VICI is a separate entity initially owned by certain former creditors of CEOC.</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on the Formation Date, subsidiaries of VICI Golf entered into a golf course use agreement (the “Golf Course Use Agreement”) with New CEOC and Caesars Enterprise Services, LLC (“CES”) (collectively, the “users”), whereby the users were granted certain priority rights and privileges with respect to access and use of certain golf course properties. Payments under the Golf Course Use Agreement are comprised of a $10.0 million annual membership fee, $3.0 million in annual use fees and minimum rounds fees of at least $1.1 million. The annual membership fee, use fees and minimum round fees are subject to an annual escalator beginning at the times provided under the Golf Course Use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Financial Statements do not include all information and footnotes necessary for complete financial statements in conformity with accounting principles generally accepted in the United States (“GAAP”). The results for the interim periods reflect all adjustments (consisting of normal recurring adjustments) that management considers necessary for a fair presentation of results of operations and cash flows.</w:t>
      </w: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Financial Statements were derived from the financial statements of CEOC, prepared on a “carve-out” basis, to present the results of operations of the Outdoor Business on a stand-alone basis. The legal entities that own the Grand Bear and the Chariot Run golf courses also include non-golf course operations that are excluded from these carve-out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7"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CAESARS ENTERTAINMENT OUTDOOR</w:t>
      </w:r>
    </w:p>
    <w:p>
      <w:pPr>
        <w:jc w:val="center"/>
        <w:spacing w:after="0"/>
        <w:rPr>
          <w:sz w:val="20"/>
          <w:szCs w:val="20"/>
          <w:color w:val="auto"/>
        </w:rPr>
      </w:pPr>
      <w:r>
        <w:rPr>
          <w:rFonts w:ascii="Arial" w:cs="Arial" w:eastAsia="Arial" w:hAnsi="Arial"/>
          <w:sz w:val="20"/>
          <w:szCs w:val="20"/>
          <w:b w:val="1"/>
          <w:bCs w:val="1"/>
          <w:color w:val="auto"/>
        </w:rPr>
        <w:t>(DEBTOR-IN-POSSESSION)</w:t>
      </w:r>
    </w:p>
    <w:p>
      <w:pPr>
        <w:jc w:val="center"/>
        <w:spacing w:after="0"/>
        <w:rPr>
          <w:sz w:val="20"/>
          <w:szCs w:val="20"/>
          <w:color w:val="auto"/>
        </w:rPr>
      </w:pPr>
      <w:r>
        <w:rPr>
          <w:rFonts w:ascii="Arial" w:cs="Arial" w:eastAsia="Arial" w:hAnsi="Arial"/>
          <w:sz w:val="20"/>
          <w:szCs w:val="20"/>
          <w:b w:val="1"/>
          <w:bCs w:val="1"/>
          <w:color w:val="auto"/>
        </w:rPr>
        <w:t>NOTES TO COMBINED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include allocations of certain revenue amounts and general corporate expenses among affiliated entities. Such allocated revenue and expenses may not reflect the results we would have incurred if we had operated as a stand-alone company nor are they necessarily indicative of our future results.</w:t>
      </w:r>
    </w:p>
    <w:p>
      <w:pPr>
        <w:spacing w:after="0" w:line="127" w:lineRule="exact"/>
        <w:rPr>
          <w:sz w:val="20"/>
          <w:szCs w:val="20"/>
          <w:color w:val="auto"/>
        </w:rPr>
      </w:pPr>
    </w:p>
    <w:p>
      <w:pPr>
        <w:ind w:right="1980"/>
        <w:spacing w:after="0" w:line="438" w:lineRule="auto"/>
        <w:rPr>
          <w:sz w:val="20"/>
          <w:szCs w:val="20"/>
          <w:color w:val="auto"/>
        </w:rPr>
      </w:pPr>
      <w:r>
        <w:rPr>
          <w:rFonts w:ascii="Arial" w:cs="Arial" w:eastAsia="Arial" w:hAnsi="Arial"/>
          <w:sz w:val="18"/>
          <w:szCs w:val="18"/>
          <w:color w:val="auto"/>
        </w:rPr>
        <w:t xml:space="preserve">Management believes the assumptions and methodologies used in the allocation of these revenues and expenses are reasonable. Each of the golf courses represents a separate operating segment and we aggregate all such operations into one reportable segment. </w:t>
      </w:r>
      <w:r>
        <w:rPr>
          <w:rFonts w:ascii="Arial" w:cs="Arial" w:eastAsia="Arial" w:hAnsi="Arial"/>
          <w:sz w:val="18"/>
          <w:szCs w:val="18"/>
          <w:b w:val="1"/>
          <w:bCs w:val="1"/>
          <w:i w:val="1"/>
          <w:iCs w:val="1"/>
          <w:color w:val="auto"/>
        </w:rPr>
        <w:t>Going Concern</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Financial Statements have been prepared on a going concern basis, which assumes continuity of operations and realization of assets and liabilities in the ordinary course of business. The following information reflects the results of management’s assessment of Business’ ability to continue as a going concern.</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Business relies on funding from affiliates of CEOC and CEC to fund capital improvements, management fees, insurance programs and other miscellaneous charges. Although CEOC’s plan of reorganization was confirmed by order of the Bankruptcy Court in January 2017, several issues must be resolved before CEOC successfully emerges from bankruptcy. The ability of the Business to continue as a going concern continues to be dependent upon CEOC’s ability to complete the restructure of its indebtedness, the ability of the Debtors, including entities that own the golf courses, to emerge from bankruptcy and a favorable resolution to the continued ability to use cash collateral. These uncertainties raise substantial doubt about the Outdoor Business to continue as a going concern. The Financial Statements do not include any adjustments that might result from the outcome of uncertainties, including the possibility that the Business loses some or substantially all of its assets to foreclosure as a result of these uncertainties.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Revenue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Golf revenue from CEOC and Caesars’ affiliates includes reimbursement for below market-rate golf tee times and free play for certain casino guests. Included in golf revenue are market-rate fees received from public customers as well as discounted fees received from CEOC and Caesars-affiliated customers or associates. In addition, certain VIP casino guests play the golf courses for free. In these cases, the golf course receives amounts paid by CEOC and Caesars’ affiliates at an agreed upon rate for the free play provided to their VIP guests. The reimbursement for free play was approximately $150,000 and $603,000 for the three and nine months ended September 30, 2017, respectively.</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There are additional variable golf fees provided by CEOC and Caesars’ affiliates based on revenue shortfalls necessary to cover the cost of operating the courses at a high level appropriate for casino guests. The variable fee is dependent upon the number of rounds played, the types of rounds played (market-rate or discounted rate), and costs incurred to allow the golf course to continue to offer golf as an amenity to its gaming customers. Variable golf fees included in golf revenue were approximately $2,695,000 and $4,570,000 for the three and nine months ended September 30, 2017, respectively.</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Business’ Financial Statements reflect the application of Financial Accounting Standards Board (“FASB”) Accounting Standards Codification (“ASC”) 852, </w:t>
      </w:r>
      <w:r>
        <w:rPr>
          <w:rFonts w:ascii="Arial" w:cs="Arial" w:eastAsia="Arial" w:hAnsi="Arial"/>
          <w:sz w:val="17"/>
          <w:szCs w:val="17"/>
          <w:i w:val="1"/>
          <w:iCs w:val="1"/>
          <w:color w:val="auto"/>
        </w:rPr>
        <w:t>Reorganizations</w:t>
      </w:r>
      <w:r>
        <w:rPr>
          <w:rFonts w:ascii="Arial" w:cs="Arial" w:eastAsia="Arial" w:hAnsi="Arial"/>
          <w:sz w:val="17"/>
          <w:szCs w:val="17"/>
          <w:color w:val="auto"/>
        </w:rPr>
        <w:t>. This guidance requires that transactions and events directly associated with the reorganization be distinguished from the ongoing operations of the business. In addition, the guidance provides for changes in the accounting and presentation of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Liabilities Subject to Compromise</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25, 2015, the Bankruptcy Court entered an order establishing May 26, 2015 as the bar date for potential general creditors to file proofs of claims and established the required procedures with respect to filing such claims. A bar date is the deadline by which creditors must file a proof of claim against the Debtors for the claim to be allowed. In addition, a bar date of July 14, 2015 was established as a deadline for claims from governmental units.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30, 2017, the Business had received 55 proofs of claim, a portion of which assert, in part or in whole, unliquidated claims. These proofs of claims include 9 claims that were carved out of the legal entities that own the Business and that have additional claims, which do not correspond to the Business. In addition, the Business has been assigned by the court an additional 13 claims. In the aggregate, total asserted liquidated proofs of claim for approximately $122.2 million had been filed against or assigned to the Business. Based on reasonable current estimates, the Business expects to ask the Bankruptcy Court to disallow 19 claims representing approximately $116.3 million of such claims. These claims are classified by the Business as amended 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7"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CAESARS ENTERTAINMENT OUTDOOR</w:t>
      </w:r>
    </w:p>
    <w:p>
      <w:pPr>
        <w:jc w:val="center"/>
        <w:spacing w:after="0"/>
        <w:rPr>
          <w:sz w:val="20"/>
          <w:szCs w:val="20"/>
          <w:color w:val="auto"/>
        </w:rPr>
      </w:pPr>
      <w:r>
        <w:rPr>
          <w:rFonts w:ascii="Arial" w:cs="Arial" w:eastAsia="Arial" w:hAnsi="Arial"/>
          <w:sz w:val="20"/>
          <w:szCs w:val="20"/>
          <w:b w:val="1"/>
          <w:bCs w:val="1"/>
          <w:color w:val="auto"/>
        </w:rPr>
        <w:t>(DEBTOR-IN-POSSESSION)</w:t>
      </w:r>
    </w:p>
    <w:p>
      <w:pPr>
        <w:jc w:val="center"/>
        <w:spacing w:after="0"/>
        <w:rPr>
          <w:sz w:val="20"/>
          <w:szCs w:val="20"/>
          <w:color w:val="auto"/>
        </w:rPr>
      </w:pPr>
      <w:r>
        <w:rPr>
          <w:rFonts w:ascii="Arial" w:cs="Arial" w:eastAsia="Arial" w:hAnsi="Arial"/>
          <w:sz w:val="20"/>
          <w:szCs w:val="20"/>
          <w:b w:val="1"/>
          <w:bCs w:val="1"/>
          <w:color w:val="auto"/>
        </w:rPr>
        <w:t>NOTES TO COMBINED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replaced, duplicate, redundant or non-Debtor claims. New and amended claims may be filed in the future, including claims amended to assign values to claims originally filed with no designated value.</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October 6, 2017, the Business settled claims included in liabilities subject to compromise for $125,000 recognizing a reorganization gain of $124,000. In addition, approximately $5.1 million of claims are still disputed and unresolved and have been transferred to New CEOC for final resolution.</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Income Taxes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Caesars Entertainment Outdoors did not have a formal tax sharing agreement in place with Caesars Entertainment for federal income tax purposes, Caesars Entertainment paid all of Caesars Entertainment Outdoors’ federal income taxes.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tax benefit/expense for the three and nine months ended September 30, 2017 is primarily related to the federal and state tax impact of the pre-tax book income/loss. As there was no pre-tax book income/loss recorded for the three and nine months ended September 30, 2017, no tax benefit/expense was recorded for those periods.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Related Party Transactions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transactions with CEOC resulting in net distributions of approximately $1,148,000 for the Nine Months Ended September 30, 2017. The net distributions were the result of cash generated by the operations of the Business and proceeds from the sale of assets, partially offset by amounts contributed by CEOC to fund capital improvements and capital lease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Fees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were recorded with respect to the related-party transactions described in this section: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80" w:type="dxa"/>
            <w:vAlign w:val="bottom"/>
            <w:gridSpan w:val="4"/>
          </w:tcPr>
          <w:p>
            <w:pPr>
              <w:jc w:val="right"/>
              <w:ind w:right="1273"/>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Transaction type</w:t>
            </w:r>
          </w:p>
        </w:tc>
        <w:tc>
          <w:tcPr>
            <w:tcW w:w="120" w:type="dxa"/>
            <w:vAlign w:val="bottom"/>
          </w:tcPr>
          <w:p>
            <w:pPr>
              <w:spacing w:after="0"/>
              <w:rPr>
                <w:sz w:val="14"/>
                <w:szCs w:val="14"/>
                <w:color w:val="auto"/>
              </w:rPr>
            </w:pPr>
          </w:p>
        </w:tc>
        <w:tc>
          <w:tcPr>
            <w:tcW w:w="26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Recorded as: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Three Months Ended</w:t>
            </w:r>
          </w:p>
        </w:tc>
        <w:tc>
          <w:tcPr>
            <w:tcW w:w="180" w:type="dxa"/>
            <w:vAlign w:val="bottom"/>
          </w:tcPr>
          <w:p>
            <w:pPr>
              <w:spacing w:after="0"/>
              <w:rPr>
                <w:sz w:val="14"/>
                <w:szCs w:val="14"/>
                <w:color w:val="auto"/>
              </w:rPr>
            </w:pPr>
          </w:p>
        </w:tc>
        <w:tc>
          <w:tcPr>
            <w:tcW w:w="1640" w:type="dxa"/>
            <w:vAlign w:val="bottom"/>
          </w:tcPr>
          <w:p>
            <w:pPr>
              <w:jc w:val="right"/>
              <w:ind w:right="173"/>
              <w:spacing w:after="0" w:line="165" w:lineRule="exact"/>
              <w:rPr>
                <w:sz w:val="20"/>
                <w:szCs w:val="20"/>
                <w:color w:val="auto"/>
              </w:rPr>
            </w:pPr>
            <w:r>
              <w:rPr>
                <w:rFonts w:ascii="Arial" w:cs="Arial" w:eastAsia="Arial" w:hAnsi="Arial"/>
                <w:sz w:val="15"/>
                <w:szCs w:val="15"/>
                <w:b w:val="1"/>
                <w:bCs w:val="1"/>
                <w:color w:val="auto"/>
                <w:w w:val="97"/>
              </w:rPr>
              <w:t>Nine Months Ended</w:t>
            </w:r>
          </w:p>
        </w:tc>
        <w:tc>
          <w:tcPr>
            <w:tcW w:w="0" w:type="dxa"/>
            <w:vAlign w:val="bottom"/>
          </w:tcPr>
          <w:p>
            <w:pPr>
              <w:spacing w:after="0"/>
              <w:rPr>
                <w:sz w:val="1"/>
                <w:szCs w:val="1"/>
                <w:color w:val="auto"/>
              </w:rPr>
            </w:pPr>
          </w:p>
        </w:tc>
      </w:tr>
      <w:tr>
        <w:trPr>
          <w:trHeight w:val="202"/>
        </w:trPr>
        <w:tc>
          <w:tcPr>
            <w:tcW w:w="4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74"/>
              <w:spacing w:after="0"/>
              <w:rPr>
                <w:sz w:val="20"/>
                <w:szCs w:val="20"/>
                <w:color w:val="auto"/>
              </w:rPr>
            </w:pPr>
            <w:r>
              <w:rPr>
                <w:rFonts w:ascii="Arial" w:cs="Arial" w:eastAsia="Arial" w:hAnsi="Arial"/>
                <w:sz w:val="15"/>
                <w:szCs w:val="15"/>
                <w:b w:val="1"/>
                <w:bCs w:val="1"/>
                <w:color w:val="auto"/>
                <w:w w:val="97"/>
              </w:rPr>
              <w:t>September 30, 2017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3"/>
              <w:spacing w:after="0"/>
              <w:rPr>
                <w:sz w:val="20"/>
                <w:szCs w:val="20"/>
                <w:color w:val="auto"/>
              </w:rPr>
            </w:pPr>
            <w:r>
              <w:rPr>
                <w:rFonts w:ascii="Arial" w:cs="Arial" w:eastAsia="Arial" w:hAnsi="Arial"/>
                <w:sz w:val="15"/>
                <w:szCs w:val="15"/>
                <w:b w:val="1"/>
                <w:bCs w:val="1"/>
                <w:color w:val="auto"/>
                <w:w w:val="95"/>
              </w:rPr>
              <w:t>September 30, 2017</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expense</w:t>
            </w:r>
          </w:p>
        </w:tc>
        <w:tc>
          <w:tcPr>
            <w:tcW w:w="1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and other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800" w:type="dxa"/>
            <w:vAlign w:val="bottom"/>
          </w:tcPr>
          <w:p>
            <w:pPr>
              <w:ind w:left="40"/>
              <w:spacing w:after="0"/>
              <w:rPr>
                <w:sz w:val="20"/>
                <w:szCs w:val="20"/>
                <w:color w:val="auto"/>
              </w:rPr>
            </w:pPr>
            <w:r>
              <w:rPr>
                <w:rFonts w:ascii="Arial" w:cs="Arial" w:eastAsia="Arial" w:hAnsi="Arial"/>
                <w:sz w:val="18"/>
                <w:szCs w:val="18"/>
                <w:color w:val="auto"/>
              </w:rPr>
              <w:t>Allocation of indirect expenses from CEOC and Caesars’</w:t>
            </w:r>
          </w:p>
        </w:tc>
        <w:tc>
          <w:tcPr>
            <w:tcW w:w="120" w:type="dxa"/>
            <w:vAlign w:val="bottom"/>
          </w:tcPr>
          <w:p>
            <w:pPr>
              <w:spacing w:after="0"/>
              <w:rPr>
                <w:sz w:val="19"/>
                <w:szCs w:val="19"/>
                <w:color w:val="auto"/>
              </w:rPr>
            </w:pP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Administrative and other</w:t>
            </w:r>
          </w:p>
        </w:tc>
        <w:tc>
          <w:tcPr>
            <w:tcW w:w="180" w:type="dxa"/>
            <w:vAlign w:val="bottom"/>
          </w:tcPr>
          <w:p>
            <w:pPr>
              <w:spacing w:after="0"/>
              <w:rPr>
                <w:sz w:val="19"/>
                <w:szCs w:val="19"/>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57"/>
        </w:trPr>
        <w:tc>
          <w:tcPr>
            <w:tcW w:w="4800" w:type="dxa"/>
            <w:vAlign w:val="bottom"/>
          </w:tcPr>
          <w:p>
            <w:pPr>
              <w:ind w:left="120"/>
              <w:spacing w:after="0" w:line="257" w:lineRule="exact"/>
              <w:rPr>
                <w:sz w:val="20"/>
                <w:szCs w:val="20"/>
                <w:color w:val="auto"/>
              </w:rPr>
            </w:pPr>
            <w:r>
              <w:rPr>
                <w:rFonts w:ascii="Arial" w:cs="Arial" w:eastAsia="Arial" w:hAnsi="Arial"/>
                <w:sz w:val="18"/>
                <w:szCs w:val="18"/>
                <w:color w:val="auto"/>
              </w:rPr>
              <w:t xml:space="preserve">affiliates </w:t>
            </w:r>
            <w:r>
              <w:rPr>
                <w:rFonts w:ascii="Arial" w:cs="Arial" w:eastAsia="Arial" w:hAnsi="Arial"/>
                <w:sz w:val="25"/>
                <w:szCs w:val="25"/>
                <w:i w:val="1"/>
                <w:iCs w:val="1"/>
                <w:color w:val="auto"/>
                <w:vertAlign w:val="superscript"/>
              </w:rPr>
              <w:t>(1)</w:t>
            </w: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Golf revenue from CEOC and Caesars’ affiliates </w:t>
            </w:r>
            <w:r>
              <w:rPr>
                <w:rFonts w:ascii="Arial" w:cs="Arial" w:eastAsia="Arial" w:hAnsi="Arial"/>
                <w:sz w:val="25"/>
                <w:szCs w:val="25"/>
                <w:i w:val="1"/>
                <w:iCs w:val="1"/>
                <w:color w:val="auto"/>
                <w:vertAlign w:val="superscript"/>
              </w:rPr>
              <w:t>(2)</w:t>
            </w:r>
          </w:p>
        </w:tc>
        <w:tc>
          <w:tcPr>
            <w:tcW w:w="120" w:type="dxa"/>
            <w:vAlign w:val="bottom"/>
            <w:shd w:val="clear" w:color="auto" w:fill="CCEEFF"/>
          </w:tcPr>
          <w:p>
            <w:pPr>
              <w:spacing w:after="0"/>
              <w:rPr>
                <w:sz w:val="23"/>
                <w:szCs w:val="23"/>
                <w:color w:val="auto"/>
              </w:rPr>
            </w:pP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Golf revenue</w:t>
            </w: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2,844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w w:val="99"/>
              </w:rPr>
              <w:t xml:space="preserve">Pass-through revenue with CEOC and Caesars’ affiliates </w:t>
            </w:r>
            <w:r>
              <w:rPr>
                <w:rFonts w:ascii="Arial" w:cs="Arial" w:eastAsia="Arial" w:hAnsi="Arial"/>
                <w:sz w:val="25"/>
                <w:szCs w:val="25"/>
                <w:i w:val="1"/>
                <w:iCs w:val="1"/>
                <w:color w:val="auto"/>
                <w:w w:val="99"/>
                <w:vertAlign w:val="superscript"/>
              </w:rPr>
              <w:t>(3)</w:t>
            </w:r>
          </w:p>
        </w:tc>
        <w:tc>
          <w:tcPr>
            <w:tcW w:w="120" w:type="dxa"/>
            <w:vAlign w:val="bottom"/>
          </w:tcPr>
          <w:p>
            <w:pPr>
              <w:spacing w:after="0"/>
              <w:rPr>
                <w:sz w:val="23"/>
                <w:szCs w:val="23"/>
                <w:color w:val="auto"/>
              </w:rPr>
            </w:pP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Golf revenue</w:t>
            </w:r>
          </w:p>
        </w:tc>
        <w:tc>
          <w:tcPr>
            <w:tcW w:w="180" w:type="dxa"/>
            <w:vAlign w:val="bottom"/>
          </w:tcPr>
          <w:p>
            <w:pPr>
              <w:spacing w:after="0"/>
              <w:rPr>
                <w:sz w:val="23"/>
                <w:szCs w:val="23"/>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beverage revenue</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Retail and other revenue</w:t>
            </w:r>
          </w:p>
        </w:tc>
        <w:tc>
          <w:tcPr>
            <w:tcW w:w="18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9"/>
        </w:trPr>
        <w:tc>
          <w:tcPr>
            <w:tcW w:w="4800" w:type="dxa"/>
            <w:vAlign w:val="bottom"/>
          </w:tcPr>
          <w:p>
            <w:pPr>
              <w:spacing w:after="0"/>
              <w:rPr>
                <w:sz w:val="20"/>
                <w:szCs w:val="20"/>
                <w:color w:val="auto"/>
              </w:rPr>
            </w:pPr>
            <w:r>
              <w:rPr>
                <w:rFonts w:ascii="Arial" w:cs="Arial" w:eastAsia="Arial" w:hAnsi="Arial"/>
                <w:sz w:val="18"/>
                <w:szCs w:val="18"/>
                <w:i w:val="1"/>
                <w:iCs w:val="1"/>
                <w:color w:val="auto"/>
              </w:rPr>
              <w:t>_____________</w:t>
            </w: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jc w:val="both"/>
        <w:ind w:left="340" w:hanging="332"/>
        <w:spacing w:after="0" w:line="251" w:lineRule="auto"/>
        <w:tabs>
          <w:tab w:leader="none" w:pos="340" w:val="left"/>
        </w:tabs>
        <w:numPr>
          <w:ilvl w:val="0"/>
          <w:numId w:val="12"/>
        </w:numPr>
        <w:rPr>
          <w:rFonts w:ascii="Arial" w:cs="Arial" w:eastAsia="Arial" w:hAnsi="Arial"/>
          <w:sz w:val="23"/>
          <w:szCs w:val="23"/>
          <w:i w:val="1"/>
          <w:iCs w:val="1"/>
          <w:color w:val="auto"/>
          <w:vertAlign w:val="superscript"/>
        </w:rPr>
      </w:pPr>
      <w:r>
        <w:rPr>
          <w:rFonts w:ascii="Arial" w:cs="Arial" w:eastAsia="Arial" w:hAnsi="Arial"/>
          <w:sz w:val="15"/>
          <w:szCs w:val="15"/>
          <w:i w:val="1"/>
          <w:iCs w:val="1"/>
          <w:color w:val="auto"/>
        </w:rPr>
        <w:t>The Statement of Operations included allocated overhead costs for certain functions historically performed by CEOC and Caesars’ affiliates, including allocations of direct and indirect operating and maintenance costs and expenses for procurement, logistics and general and administrative costs and expenses related to executive oversight, marketing, information technology, accounting, treasury, tax, and legal. These costs were allocated on the basis of either revenue or payroll costs.</w:t>
      </w:r>
    </w:p>
    <w:p>
      <w:pPr>
        <w:spacing w:after="0" w:line="1" w:lineRule="exact"/>
        <w:rPr>
          <w:rFonts w:ascii="Arial" w:cs="Arial" w:eastAsia="Arial" w:hAnsi="Arial"/>
          <w:sz w:val="23"/>
          <w:szCs w:val="23"/>
          <w:i w:val="1"/>
          <w:iCs w:val="1"/>
          <w:color w:val="auto"/>
          <w:vertAlign w:val="superscript"/>
        </w:rPr>
      </w:pPr>
    </w:p>
    <w:p>
      <w:pPr>
        <w:ind w:left="340" w:hanging="332"/>
        <w:spacing w:after="0" w:line="180" w:lineRule="auto"/>
        <w:tabs>
          <w:tab w:leader="none" w:pos="340" w:val="left"/>
        </w:tabs>
        <w:numPr>
          <w:ilvl w:val="0"/>
          <w:numId w:val="12"/>
        </w:numPr>
        <w:rPr>
          <w:rFonts w:ascii="Arial" w:cs="Arial" w:eastAsia="Arial" w:hAnsi="Arial"/>
          <w:sz w:val="25"/>
          <w:szCs w:val="25"/>
          <w:i w:val="1"/>
          <w:iCs w:val="1"/>
          <w:color w:val="auto"/>
          <w:vertAlign w:val="superscript"/>
        </w:rPr>
      </w:pPr>
      <w:r>
        <w:rPr>
          <w:rFonts w:ascii="Arial" w:cs="Arial" w:eastAsia="Arial" w:hAnsi="Arial"/>
          <w:sz w:val="16"/>
          <w:szCs w:val="16"/>
          <w:i w:val="1"/>
          <w:iCs w:val="1"/>
          <w:color w:val="auto"/>
        </w:rPr>
        <w:t>See Business and Basis of Presentation - Golf Revenue.</w:t>
      </w:r>
    </w:p>
    <w:p>
      <w:pPr>
        <w:spacing w:after="0" w:line="24" w:lineRule="exact"/>
        <w:rPr>
          <w:rFonts w:ascii="Arial" w:cs="Arial" w:eastAsia="Arial" w:hAnsi="Arial"/>
          <w:sz w:val="25"/>
          <w:szCs w:val="25"/>
          <w:i w:val="1"/>
          <w:iCs w:val="1"/>
          <w:color w:val="auto"/>
          <w:vertAlign w:val="superscript"/>
        </w:rPr>
      </w:pPr>
    </w:p>
    <w:p>
      <w:pPr>
        <w:ind w:left="340" w:hanging="332"/>
        <w:spacing w:after="0" w:line="207" w:lineRule="auto"/>
        <w:tabs>
          <w:tab w:leader="none" w:pos="340" w:val="left"/>
        </w:tabs>
        <w:numPr>
          <w:ilvl w:val="0"/>
          <w:numId w:val="12"/>
        </w:numPr>
        <w:rPr>
          <w:rFonts w:ascii="Arial" w:cs="Arial" w:eastAsia="Arial" w:hAnsi="Arial"/>
          <w:sz w:val="25"/>
          <w:szCs w:val="25"/>
          <w:i w:val="1"/>
          <w:iCs w:val="1"/>
          <w:color w:val="auto"/>
          <w:vertAlign w:val="superscript"/>
        </w:rPr>
      </w:pPr>
      <w:r>
        <w:rPr>
          <w:rFonts w:ascii="Arial" w:cs="Arial" w:eastAsia="Arial" w:hAnsi="Arial"/>
          <w:sz w:val="16"/>
          <w:szCs w:val="16"/>
          <w:i w:val="1"/>
          <w:iCs w:val="1"/>
          <w:color w:val="auto"/>
        </w:rPr>
        <w:t>Primarily includes transactions where CEOC and Caesars affiliates’ customers charge their golf, food and beverage and retail purchases directly to their hotel bill. Amounts collected from the customer by the hotel are remitted to the golf course.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and Retirement Plans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CEOC maintained a defined contribution savings and retirement plan that allows certain employees of the Business to make pre-tax and after-tax contributions. Under the plan, participating employees could elect to contribute up to 50% of their eligible earnings, subject to IRS rules and regulations, and be eligible to receive a company match of up to $600. Participating employees became vested in matching contributions on a pro-rata basis over five years of credited service. Our contribution expense was approximately $1,000 and $27,000 for the three and nine months ended September 30, 2017, respectively, and is included as a component of administrative and other on the Statement of Operations.</w:t>
      </w:r>
    </w:p>
    <w:p>
      <w:pPr>
        <w:sectPr>
          <w:pgSz w:w="11900" w:h="16838" w:orient="portrait"/>
          <w:cols w:equalWidth="0" w:num="1">
            <w:col w:w="11420"/>
          </w:cols>
          <w:pgMar w:left="240" w:top="287" w:right="2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287"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CAESARS ENTERTAINMENT OUTDOOR</w:t>
      </w:r>
    </w:p>
    <w:p>
      <w:pPr>
        <w:jc w:val="center"/>
        <w:spacing w:after="0"/>
        <w:rPr>
          <w:sz w:val="20"/>
          <w:szCs w:val="20"/>
          <w:color w:val="auto"/>
        </w:rPr>
      </w:pPr>
      <w:r>
        <w:rPr>
          <w:rFonts w:ascii="Arial" w:cs="Arial" w:eastAsia="Arial" w:hAnsi="Arial"/>
          <w:sz w:val="20"/>
          <w:szCs w:val="20"/>
          <w:b w:val="1"/>
          <w:bCs w:val="1"/>
          <w:color w:val="auto"/>
        </w:rPr>
        <w:t>(DEBTOR-IN-POSSESSION)</w:t>
      </w:r>
    </w:p>
    <w:p>
      <w:pPr>
        <w:jc w:val="center"/>
        <w:spacing w:after="0"/>
        <w:rPr>
          <w:sz w:val="20"/>
          <w:szCs w:val="20"/>
          <w:color w:val="auto"/>
        </w:rPr>
      </w:pPr>
      <w:r>
        <w:rPr>
          <w:rFonts w:ascii="Arial" w:cs="Arial" w:eastAsia="Arial" w:hAnsi="Arial"/>
          <w:sz w:val="20"/>
          <w:szCs w:val="20"/>
          <w:b w:val="1"/>
          <w:bCs w:val="1"/>
          <w:color w:val="auto"/>
        </w:rPr>
        <w:t>NOTES TO COMBINED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Litigation, Contractual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and its operations may be subject to litigation involving employment matters, personal injuries, and other matters that arise in the normal course of business. We do not expect the outcome of such ordinary and routine litigation to have a material effect on our combined financial position, results of operations,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a majority of the Trustees of the National Retirement Fund (“NRF”), a multi-employer defined benefit pension plan, voted to expel Caesars and certain of its affiliates from the plan. The NRF has advised Caesars and Caesars Entertainment Resort Properties, LLC (“CERP”) that this expulsion triggered a withdrawal liability with a present value of approximately $360 million, payable in 80 quarterly payments of about $6 million. The NRF filed a similar claim against each Caesars Debtor in CEOC’s bankruptcy. Although the Business’ employees did not participate in this plan, because the entities that own the Business are a member of the Caesars Group (as defined below), such entities are jointly and severally liable with Caesars and CEOC for any liability under the NRF’s claims.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13, 2017, CEOC, CEC, CERP, the Caesars employers that contribute to the NRF, and the NRF and certain of its related parties entered into a settlement agreement resolving all issues related to the disputes with the NRF. Under the terms of the settlement, CEC, or a person on CEC’s behalf, was required to pay a total of $45 million to the NRF on the Formation Date. Under the Caesars Debtors’ Plan, the NRF is barred from asserting any claims against the Business and its subsidiaries to the extent such claims arose prior to the Formation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is liable under operating leases for land at the Cascata golf course, equipment and other miscellaneous assets, which expire at various dates through 2038. Total rental expense under these agreements included in direct golf operating expenses and property costs in our Statement of Operations was approximately $219,000 and $645,000 for the three and nine months ended September 30, 2017,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September 30, 2017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333"/>
              <w:spacing w:after="0"/>
              <w:rPr>
                <w:sz w:val="20"/>
                <w:szCs w:val="20"/>
                <w:color w:val="auto"/>
              </w:rPr>
            </w:pPr>
            <w:r>
              <w:rPr>
                <w:rFonts w:ascii="Arial" w:cs="Arial" w:eastAsia="Arial" w:hAnsi="Arial"/>
                <w:sz w:val="16"/>
                <w:szCs w:val="16"/>
                <w:b w:val="1"/>
                <w:bCs w:val="1"/>
                <w:color w:val="auto"/>
                <w:w w:val="99"/>
              </w:rPr>
              <w:t>Operating Leases</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(remaining)</w:t>
            </w:r>
          </w:p>
        </w:tc>
        <w:tc>
          <w:tcPr>
            <w:tcW w:w="5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2018</w:t>
            </w:r>
          </w:p>
        </w:tc>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2020</w:t>
            </w:r>
          </w:p>
        </w:tc>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20,234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minimum rental commitments</w:t>
            </w:r>
          </w:p>
        </w:tc>
        <w:tc>
          <w:tcPr>
            <w:tcW w:w="5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24,043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jc w:val="right"/>
              <w:ind w:right="3470"/>
              <w:spacing w:after="0"/>
              <w:rPr>
                <w:sz w:val="20"/>
                <w:szCs w:val="20"/>
                <w:color w:val="auto"/>
              </w:rPr>
            </w:pPr>
            <w:r>
              <w:rPr>
                <w:rFonts w:ascii="Arial" w:cs="Arial" w:eastAsia="Arial" w:hAnsi="Arial"/>
                <w:sz w:val="18"/>
                <w:szCs w:val="18"/>
                <w:color w:val="auto"/>
              </w:rPr>
              <w:t>29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24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CAESARS ENTERTAINMENT OUTDOOR</w:t>
      </w:r>
    </w:p>
    <w:p>
      <w:pPr>
        <w:jc w:val="center"/>
        <w:spacing w:after="0"/>
        <w:rPr>
          <w:sz w:val="20"/>
          <w:szCs w:val="20"/>
          <w:color w:val="auto"/>
        </w:rPr>
      </w:pPr>
      <w:r>
        <w:rPr>
          <w:rFonts w:ascii="Arial" w:cs="Arial" w:eastAsia="Arial" w:hAnsi="Arial"/>
          <w:sz w:val="20"/>
          <w:szCs w:val="20"/>
          <w:b w:val="1"/>
          <w:bCs w:val="1"/>
          <w:color w:val="auto"/>
        </w:rPr>
        <w:t>(DEBTOR-IN-POSSESSION)</w:t>
      </w:r>
    </w:p>
    <w:p>
      <w:pPr>
        <w:jc w:val="center"/>
        <w:spacing w:after="0"/>
        <w:rPr>
          <w:sz w:val="20"/>
          <w:szCs w:val="20"/>
          <w:color w:val="auto"/>
        </w:rPr>
      </w:pPr>
      <w:r>
        <w:rPr>
          <w:rFonts w:ascii="Arial" w:cs="Arial" w:eastAsia="Arial" w:hAnsi="Arial"/>
          <w:sz w:val="20"/>
          <w:szCs w:val="20"/>
          <w:b w:val="1"/>
          <w:bCs w:val="1"/>
          <w:color w:val="auto"/>
        </w:rPr>
        <w:t>NOTES TO COMBINED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utilizes a third-party golf maintenance company for its Rio Secco and Cascata golf courses. The agreements are for five years and expire in February 2019 and include all labor and equipment necessary to maintain both golf course grounds. Total expense under these agreements included in direct golf operating expenses in the Statements of Operations were approximately $600,000 and $2,149,000 for the three and nine months ended September 30, 2017,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future commitments relating to these agreements at September 30, 2017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Maintenance Agreements</w:t>
            </w:r>
          </w:p>
        </w:tc>
        <w:tc>
          <w:tcPr>
            <w:tcW w:w="0" w:type="dxa"/>
            <w:vAlign w:val="bottom"/>
          </w:tcPr>
          <w:p>
            <w:pPr>
              <w:spacing w:after="0"/>
              <w:rPr>
                <w:sz w:val="1"/>
                <w:szCs w:val="1"/>
                <w:color w:val="auto"/>
              </w:rPr>
            </w:pPr>
          </w:p>
        </w:tc>
      </w:tr>
      <w:tr>
        <w:trPr>
          <w:trHeight w:val="33"/>
        </w:trPr>
        <w:tc>
          <w:tcPr>
            <w:tcW w:w="448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jc w:val="right"/>
              <w:ind w:right="3990"/>
              <w:spacing w:after="0"/>
              <w:rPr>
                <w:sz w:val="20"/>
                <w:szCs w:val="20"/>
                <w:color w:val="auto"/>
              </w:rPr>
            </w:pPr>
            <w:r>
              <w:rPr>
                <w:rFonts w:ascii="Arial" w:cs="Arial" w:eastAsia="Arial" w:hAnsi="Arial"/>
                <w:sz w:val="18"/>
                <w:szCs w:val="18"/>
                <w:color w:val="auto"/>
                <w:w w:val="94"/>
              </w:rPr>
              <w:t>2017</w:t>
            </w:r>
          </w:p>
        </w:tc>
        <w:tc>
          <w:tcPr>
            <w:tcW w:w="5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4480" w:type="dxa"/>
            <w:vAlign w:val="bottom"/>
          </w:tcPr>
          <w:p>
            <w:pPr>
              <w:jc w:val="right"/>
              <w:ind w:right="3990"/>
              <w:spacing w:after="0"/>
              <w:rPr>
                <w:sz w:val="20"/>
                <w:szCs w:val="20"/>
                <w:color w:val="auto"/>
              </w:rPr>
            </w:pPr>
            <w:r>
              <w:rPr>
                <w:rFonts w:ascii="Arial" w:cs="Arial" w:eastAsia="Arial" w:hAnsi="Arial"/>
                <w:sz w:val="18"/>
                <w:szCs w:val="18"/>
                <w:color w:val="auto"/>
                <w:w w:val="94"/>
              </w:rPr>
              <w:t>2018</w:t>
            </w:r>
          </w:p>
        </w:tc>
        <w:tc>
          <w:tcPr>
            <w:tcW w:w="4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jc w:val="right"/>
              <w:ind w:right="3990"/>
              <w:spacing w:after="0"/>
              <w:rPr>
                <w:sz w:val="20"/>
                <w:szCs w:val="20"/>
                <w:color w:val="auto"/>
              </w:rPr>
            </w:pPr>
            <w:r>
              <w:rPr>
                <w:rFonts w:ascii="Arial" w:cs="Arial" w:eastAsia="Arial" w:hAnsi="Arial"/>
                <w:sz w:val="18"/>
                <w:szCs w:val="18"/>
                <w:color w:val="auto"/>
                <w:w w:val="94"/>
              </w:rPr>
              <w:t>2019</w:t>
            </w:r>
          </w:p>
        </w:tc>
        <w:tc>
          <w:tcPr>
            <w:tcW w:w="48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57"/>
        </w:trPr>
        <w:tc>
          <w:tcPr>
            <w:tcW w:w="4480" w:type="dxa"/>
            <w:vAlign w:val="bottom"/>
          </w:tcPr>
          <w:p>
            <w:pPr>
              <w:jc w:val="right"/>
              <w:ind w:right="1030"/>
              <w:spacing w:after="0"/>
              <w:rPr>
                <w:sz w:val="20"/>
                <w:szCs w:val="20"/>
                <w:color w:val="auto"/>
              </w:rPr>
            </w:pPr>
            <w:r>
              <w:rPr>
                <w:rFonts w:ascii="Arial" w:cs="Arial" w:eastAsia="Arial" w:hAnsi="Arial"/>
                <w:sz w:val="18"/>
                <w:szCs w:val="18"/>
                <w:color w:val="auto"/>
                <w:w w:val="95"/>
              </w:rPr>
              <w:t>Total maintenance agreement commitments</w:t>
            </w:r>
          </w:p>
        </w:tc>
        <w:tc>
          <w:tcPr>
            <w:tcW w:w="48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3,969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4880" w:type="dxa"/>
            <w:vAlign w:val="bottom"/>
            <w:vMerge w:val="restart"/>
          </w:tcPr>
          <w:p>
            <w:pPr>
              <w:jc w:val="right"/>
              <w:ind w:right="3470"/>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8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The following discussion and analysis of the financial position and operating results of VICI Properties Inc. for the three and nine months ended September 30, 2018 should be read in conjunction with the Consolidated Financial Statements and related notes thereto and other financial information contained elsewhere in this Quarterly Report on Form 10-Q and the audited consolidated financial statements and related notes for the period ended December 31, 2017, which were included in our Annual Report on Form 10-K for the year ended December 31, 2017. All defined terms included herein have the same meaning as those set forth in the Notes to the Consolidated Financial Statements contained within this Quarterly Report on Form 10-Q.</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expressed in or by the forward-looking statements and may be affected by a variety of risks and other factors, including, among others; risks that the recently announced acquisitions or transactions may not be consummated on the terms or timeframes described herein, or at all; our dependence on subsidiaries of Caesars as tenant of our properties and Caesars or its subsidiaries as guarantor of the lease payments and the consequences any material adverse effect on their business could have on us; our dependence on the gaming industry; 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 level U.S. Federal income taxes; the impact of extensive regulation from gaming and other regulatory authorities; the ability of our tenants to obtain and maintain regulatory approvals in connection with the operation of our properties; the possibility that the tenants may choose not to renew the Lease Agreements following the initial or subsequent terms of the leases; restrictions on our ability to sell our properties subject to the Lease Agreements; Caesars’ historical results may not be a reliable indicator of its future results; our historical financial information may not be reliable indicators of future results of operations and financial condition; our inability to achieve the expected benefits from operating as a company independent of Caesars; our reliance on distributions received from our Operating Partnership to make distributions to our stockholders due to our being a holding company; our dividend yield could be reduced if we were to sell any of our properties in the future; there can be no assurance that we will be able to make distributions to stockholders of our common stock or maintain anticipated level of distributions over time; the possibility our separation from CEOC fails to qualify as a tax-free spin-off, which could subject us to significant tax liabilities; the impact of changes to the U.S. Federal income tax laws; the possibility of foreclosure of our properties if we are unable to meet required debt service payments; the impact of a rise in interest rates on us; our substantial amount of indebtedness and ability to service and refinance such indebtedness; limits on our operational and financial flexibility imposed by our debt agreements; our inability to successfully pursue investments in, and acquisitions of, additional properties; the impact of natural disasters or terrorism on our properties; the loss of the services of key personnel; the inability to attract, retain and motivate employees; the costs and liabilities associated with environmental compliance; failure to establish and maintain an effective system of integrated internal controls; the costs of operating as a public company; our inability to operate as a stand-alone company; our inability to qualify or maintain our qualification for taxation as a REIT; our management team’s limited experience operating as a company that intends to qualify for taxation as a REIT; competition for acquisition opportunities from other REITs and gaming companies that may have greater resources and access to capital and a lower cost of capital than us; and additional factors discussed herein and listed from time to time as “Risk Factors” in our filings with the SEC, including without limitation, in our reports on Form 10-K and Form 8-K and subsequent reports on Form 10-Q.</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Accordingly, you are cautioned not to place undue reliance on forward-looking statements, which speak only as of the date on which they are made. Except as required by law, we do not undertake any obligation to update or revise any forward-looking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7"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statements, whether as a result of new information, future events, or otherwise. In light of the significant uncertainties inherent in forward-looking statements, the inclusion of such forward-looking statements should not be regarded as a representation by us.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 Maryland corporation that was created to hold certain real estate assets owned by CEOC, upon CEOC’s emergence from bankruptcy. Pursuant to CEOC’s Plan of Reorganization, on October 6, 2017, the historical business of CEOC was separated by means of a spin-off transaction whereby the real property assets of CEOC and certain of its subsidiaries, including four golf course businesses, were transferred to us through a series of transactions.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an owner and acquirer of experiential real estate assets across leading gaming, hospitality, entertainment and leisure destinations. Our national, geographically diverse portfolio currently consists of 20 market leading properties, including Caesars Palace Las Vegas and Harrah’s Las Vegas, two of the most iconic entertainment facilities on the Las Vegas Strip. Our entertainment facilities are leased to leading brands that seek to drive consumer loyalty and value with guests through superior services, experiences, products and continuous innovation. Across more than 36 million square feet, our well-maintained properties are currently located in nine states, contain nearly 14,500 hotel rooms and feature over 150 restaurants, bars and nightclubs.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Assuming the closing of the acquisitions of the Margaritaville and Harrah’s Philadelphia properties, each as discussed in “Significant Activities During 2018” below, our portfolio will be diversified with two tenants and consist of 22 market leading properties with 39 million square feet, containing nearly 14,900 hotel rooms and featuring over 160 restaurants, bars and nightclubs.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portfolio also includes approximately 34 acres of undeveloped land adjacent to the Las Vegas Strip that is leased to Caesars, which we may look to monetize as appropriate. We also own and operate four championship golf courses located near certain of our properties, two of which are in close proximity to the Las Vegas Strip. As a growth focused public real estate company, we expect our relationship with our partners will position us for the acquisition of additional properties across leisure and hospitality.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a mutually beneficial relationship with Caesars, a leading owner and operator of gaming, entertainment and leisure properties. Our long-term triple-net Lease Agreements with subsidiaries of Caesars provide us with a highly predictable revenue stream with embedded growth potential. We believe our geographic diversification limits the effect of changes in any one market on our overall performance. We are focused on driving long-term total returns through managing assets and allocating capital diligently, maintaining a highly productive tenant base, and optimizing our capital structure to support external growth.</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portfolio is competitively positioned and well-maintained. Pursuant to the terms of the Lease Agreements, which require Caesars to invest in our properties, and in line with its commitment to build guest loyalty, we anticipate Caesars will continue to make strategic value-enhancing investments in our properties over time, helping to maintain their competitive position. In addition, given our scale and deep industry knowledge, we believe we are well-positioned to execute highly complementary single-asset and portfolio acquisitions to augment growth.</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elected to be taxed as a REIT for U.S. Federal income tax purposes commencing with our taxable year ended December 31, 2017. We believe our election of REIT status combined with the income generation from the Lease Agreements will enhance our ability to make distributions to our stockholders, providing investors with current income as well as long-term growth.</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information included in this Form 10-Q are our consolidated results (including the real property business and the golf course business) for the three and nine months ended September 30, 2018. Other financial information included in Part I Item 1 of this Quarterly Report on Form 10-Q are the historical combined Financial Statements of Caesars Entertainment Outdoor, the golf course business owned by CEOC until October 6, 2017. The financial information included for Caesars Entertainment Outdoor includes the three and nine months ended September 30, 2017.</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ACTIVITIES DURING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2018, in reverse chronological order,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Octavius Tower and Harrah’s Philadelphia</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11, 2018, we completed the previously announced transaction with Caesars to acquire, and lease back, all of the land and real estate assets associated with the Octavius Tower at Caesars Palace (“Octavius Tower”) for a purchase price of $507.5 million in cash. Octavius Tower is operated pursuant to a stand-alone lease, which provides for annual rent of $35.0 million payable 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7"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equal consecutive monthly installments and has an initial term that expires on October 31, 2032, with four five-year renewal options. In addition, on July 11, 2018, we entered into a definitive agreement to acquire all of the land and real estate assets associated with Harrah’s Philadelphia Casino and Racetrack (“Harrah’s Philadelphia”) from Caesars for $241.5 million, which purchase price will be reduced by $159.0 million to reflect the aggregate net present value of the contemplated modifications to the Lease Agreements, resulting in cash consideration of $82.5 million. In connection with the closing of the acquisition of Harrah’s Philadelphia, each of the Non-CPLV Lease and the CPLV Lease will be amended to, among other things, include Harrah’s Philadelphia and Octavius Tower, respectively, and Caesars will continue to operate both properties under the terms of such leases as amended. The HLV Lease and the Joliet Lease will also be modified at such time to achieve consistency with the other Lease Agreements.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acquisition of Harrah’s Philadelphia and the entry into the contemplated modifications to the Lease Agreements are expected to close during the fourth quarter of 2018, and are subject to certain customary closing conditions, including obtaining certain regulatory approvals and requisite lender and holder consents under the documents governing certain of our outstanding debt obligations. We can provide no assurances that the acquisition of Harrah’s Philadelphia and the contemplated modifications to the Lease Agreements will be consummated on the terms or timeframe described herein, or at all. Further, the definitive documentation governing these acquisitions contemplates a put right held by us and a call right held by Caesars, pursuant to which Caesars may reacquire Octavius Tower under certain circumstances in the event that the acquisition of Harrah’s Philadelphia is not consummated.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Margaritaville Resort Casino</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18, 2018, we entered into definitive agreements pursuant to which we will acquire the land and real estate assets of the Margaritaville property, located in Bossier City, Louisiana, for $261.1 million. Penn National will acquire the operating assets of Margaritaville for $114.9 million. Simultaneous with the closing of this transaction, we will enter into a triple-net lease agreement with a subsidiary of Penn National. The lease will have an initial total annual rent of $23.2 million and an initial term of 15 years, with four five-year renewal options. The tenant’s obligations under the lease will be guaranteed by Penn National and certain of its subsidiaries.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Built in 2013, the resort is the premier venue for gaming, lodging, dining and entertainment experiences in Northern Louisiana. The property comprises approximately 4 acres of fee land and nearly 30 acres of leased land. The hotel and casino built on the fee land contain approximately 26,500 square feet of casino space featuring 1,215 slot machines and 50 gaming tables, 395 hotel rooms, an island-style escape theme, 6 restaurants and food and beverage outlets and a 15,000 square foot 1,000-seat theater. Approximately 1,500 parking spaces are located on the leased land.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 is subject to regulatory approvals and customary closing conditions and is expected to close in the fourth quarter of 2018. However, we can provide no assurances that the transaction will be consummated on the terms or timeframe described herein, or at all.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24, 2018, we entered into four interest rate swap agreements with third party financial institutions having an aggregate notional amount of $1.5 billion. The interest rate swap agreements each have an effective date of May 22, 2018 and a termination date of April 22, 2023. The interest rate swap agreements were designated as cash flow hedges that effectively fix the LIBOR component of the interest rate on a portion of the outstanding debt under the Term Loan B Facility at 2.8297%.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Initial Public Offering</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5, 2018, we completed an initial public offering of 69,575,000 shares of common stock (which included 9,075,000 shares of common stock related to the overallotment option exercised by the underwriters in full) at an offering price of $20.00 per share for gross proceeds of $1.4 billion, resulting in net proceeds of approximately $1.3 billion after commissions and expenses. We utilized a portion of the net proceeds from the stock offering to: (a) pay down $300.0 million of indebtedness outstanding under the Revolving Credit Facility; (b) redeem $268.4 million in aggregate principal amount of the Second Lien Notes at a redemption price of 108% plus accrued and unpaid interest to the date of the redemption; and (c) repay $100.0 million in aggregate principal amount of the Term Loan B Facility. In addition, in July 2018, we used a portion of the proceeds to purchase Octavius Tower for total cash consideration of $507.5 million.</w:t>
      </w:r>
    </w:p>
    <w:p>
      <w:pPr>
        <w:spacing w:after="0" w:line="1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After taking into account the paydown of debt in connection with our initial public offering, as well as the interest rate swap transaction, as of September 30, 2018, 86% of our outstanding debt balance incurs interest at a fixed rate, while the remaining 14% incurs interest at a variable rate.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7"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DISCUSSION OF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 The results of each reportable segment presented below are consistent with the way our management assesses these results and allocates resources, which is a consolidated view that adjusts for the impact of certain transactions between our reportable segments.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2018, our revenue was $232.7 million and $671.9 million, respectively, and was comprised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240" w:type="dxa"/>
            <w:vAlign w:val="bottom"/>
          </w:tcPr>
          <w:p>
            <w:pPr>
              <w:spacing w:after="0"/>
              <w:rPr>
                <w:sz w:val="17"/>
                <w:szCs w:val="17"/>
                <w:color w:val="auto"/>
              </w:rPr>
            </w:pPr>
          </w:p>
        </w:tc>
        <w:tc>
          <w:tcPr>
            <w:tcW w:w="1820" w:type="dxa"/>
            <w:vAlign w:val="bottom"/>
          </w:tcPr>
          <w:p>
            <w:pPr>
              <w:jc w:val="right"/>
              <w:ind w:right="254"/>
              <w:spacing w:after="0"/>
              <w:rPr>
                <w:sz w:val="20"/>
                <w:szCs w:val="20"/>
                <w:color w:val="auto"/>
              </w:rPr>
            </w:pPr>
            <w:r>
              <w:rPr>
                <w:rFonts w:ascii="Arial" w:cs="Arial" w:eastAsia="Arial" w:hAnsi="Arial"/>
                <w:sz w:val="16"/>
                <w:szCs w:val="16"/>
                <w:b w:val="1"/>
                <w:bCs w:val="1"/>
                <w:color w:val="auto"/>
                <w:w w:val="97"/>
              </w:rPr>
              <w:t>Nine Months Ended</w:t>
            </w:r>
          </w:p>
        </w:tc>
      </w:t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7"/>
                <w:szCs w:val="17"/>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2018</w:t>
            </w:r>
          </w:p>
        </w:tc>
        <w:tc>
          <w:tcPr>
            <w:tcW w:w="240" w:type="dxa"/>
            <w:vAlign w:val="bottom"/>
          </w:tcPr>
          <w:p>
            <w:pPr>
              <w:spacing w:after="0"/>
              <w:rPr>
                <w:sz w:val="17"/>
                <w:szCs w:val="17"/>
                <w:color w:val="auto"/>
              </w:rPr>
            </w:pPr>
          </w:p>
        </w:tc>
        <w:tc>
          <w:tcPr>
            <w:tcW w:w="1820" w:type="dxa"/>
            <w:vAlign w:val="bottom"/>
          </w:tcPr>
          <w:p>
            <w:pPr>
              <w:jc w:val="right"/>
              <w:ind w:right="254"/>
              <w:spacing w:after="0"/>
              <w:rPr>
                <w:sz w:val="20"/>
                <w:szCs w:val="20"/>
                <w:color w:val="auto"/>
              </w:rPr>
            </w:pPr>
            <w:r>
              <w:rPr>
                <w:rFonts w:ascii="Arial" w:cs="Arial" w:eastAsia="Arial" w:hAnsi="Arial"/>
                <w:sz w:val="16"/>
                <w:szCs w:val="16"/>
                <w:b w:val="1"/>
                <w:bCs w:val="1"/>
                <w:color w:val="auto"/>
                <w:w w:val="97"/>
              </w:rPr>
              <w:t>September 30,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 property business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227,294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652,242</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Golf course business revenue</w:t>
            </w:r>
          </w:p>
        </w:tc>
        <w:tc>
          <w:tcPr>
            <w:tcW w:w="20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5,393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19,696</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232,687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671,938</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Property Business Revenue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 property business revenue for the three and nine months ended September 30, 2018 of $227.3 million and $652.2 million, respectively, was generated from rent and reimbursements of property taxes, pursuant to the Lease Agreements with Caesars. Real property business revenue for the three and nine months ended September 30, 2018, was comprised of (i) $189.9 million and $554.3 million, respectively, of income from direct financing leases; (ii) $12.2 million and $36.6 million, respectively, of income from operating leases; and (iii) $25.1 million and $61.3 million, respectively, of property taxes paid by our tenants on the leased properties.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direct financing and operating leases: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c>
          <w:tcPr>
            <w:tcW w:w="240" w:type="dxa"/>
            <w:vAlign w:val="bottom"/>
          </w:tcPr>
          <w:p>
            <w:pPr>
              <w:spacing w:after="0"/>
              <w:rPr>
                <w:sz w:val="17"/>
                <w:szCs w:val="17"/>
                <w:color w:val="auto"/>
              </w:rPr>
            </w:pPr>
          </w:p>
        </w:tc>
        <w:tc>
          <w:tcPr>
            <w:tcW w:w="1820" w:type="dxa"/>
            <w:vAlign w:val="bottom"/>
          </w:tcPr>
          <w:p>
            <w:pPr>
              <w:jc w:val="right"/>
              <w:ind w:right="253"/>
              <w:spacing w:after="0"/>
              <w:rPr>
                <w:sz w:val="20"/>
                <w:szCs w:val="20"/>
                <w:color w:val="auto"/>
              </w:rPr>
            </w:pPr>
            <w:r>
              <w:rPr>
                <w:rFonts w:ascii="Arial" w:cs="Arial" w:eastAsia="Arial" w:hAnsi="Arial"/>
                <w:sz w:val="16"/>
                <w:szCs w:val="16"/>
                <w:b w:val="1"/>
                <w:bCs w:val="1"/>
                <w:color w:val="auto"/>
                <w:w w:val="97"/>
              </w:rPr>
              <w:t>Nine Months Ended</w:t>
            </w:r>
          </w:p>
        </w:tc>
        <w:tc>
          <w:tcPr>
            <w:tcW w:w="0" w:type="dxa"/>
            <w:vAlign w:val="bottom"/>
          </w:tcPr>
          <w:p>
            <w:pPr>
              <w:spacing w:after="0"/>
              <w:rPr>
                <w:sz w:val="1"/>
                <w:szCs w:val="1"/>
                <w:color w:val="auto"/>
              </w:rPr>
            </w:pPr>
          </w:p>
        </w:tc>
      </w:t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7"/>
                <w:szCs w:val="17"/>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2018</w:t>
            </w:r>
          </w:p>
        </w:tc>
        <w:tc>
          <w:tcPr>
            <w:tcW w:w="240" w:type="dxa"/>
            <w:vAlign w:val="bottom"/>
          </w:tcPr>
          <w:p>
            <w:pPr>
              <w:spacing w:after="0"/>
              <w:rPr>
                <w:sz w:val="17"/>
                <w:szCs w:val="17"/>
                <w:color w:val="auto"/>
              </w:rPr>
            </w:pPr>
          </w:p>
        </w:tc>
        <w:tc>
          <w:tcPr>
            <w:tcW w:w="1820" w:type="dxa"/>
            <w:vAlign w:val="bottom"/>
          </w:tcPr>
          <w:p>
            <w:pPr>
              <w:jc w:val="right"/>
              <w:ind w:right="253"/>
              <w:spacing w:after="0"/>
              <w:rPr>
                <w:sz w:val="20"/>
                <w:szCs w:val="20"/>
                <w:color w:val="auto"/>
              </w:rPr>
            </w:pPr>
            <w:r>
              <w:rPr>
                <w:rFonts w:ascii="Arial" w:cs="Arial" w:eastAsia="Arial" w:hAnsi="Arial"/>
                <w:sz w:val="16"/>
                <w:szCs w:val="16"/>
                <w:b w:val="1"/>
                <w:bCs w:val="1"/>
                <w:color w:val="auto"/>
                <w:w w:val="97"/>
              </w:rPr>
              <w:t>September 30,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direct financing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189,938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554,293</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Income from operating leases</w:t>
            </w:r>
          </w:p>
        </w:tc>
        <w:tc>
          <w:tcPr>
            <w:tcW w:w="200" w:type="dxa"/>
            <w:vAlign w:val="bottom"/>
          </w:tcPr>
          <w:p>
            <w:pPr>
              <w:spacing w:after="0"/>
              <w:rPr>
                <w:sz w:val="21"/>
                <w:szCs w:val="21"/>
                <w:color w:val="auto"/>
              </w:rPr>
            </w:pPr>
          </w:p>
        </w:tc>
        <w:tc>
          <w:tcPr>
            <w:tcW w:w="1860" w:type="dxa"/>
            <w:vAlign w:val="bottom"/>
          </w:tcPr>
          <w:p>
            <w:pPr>
              <w:jc w:val="right"/>
              <w:ind w:right="13"/>
              <w:spacing w:after="0"/>
              <w:rPr>
                <w:sz w:val="20"/>
                <w:szCs w:val="20"/>
                <w:color w:val="auto"/>
              </w:rPr>
            </w:pPr>
            <w:r>
              <w:rPr>
                <w:rFonts w:ascii="Arial" w:cs="Arial" w:eastAsia="Arial" w:hAnsi="Arial"/>
                <w:sz w:val="18"/>
                <w:szCs w:val="18"/>
                <w:color w:val="auto"/>
              </w:rPr>
              <w:t>12,209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36,627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leasing revenue</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590,920</w:t>
            </w: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Less: Direct financing lease adjustment </w:t>
            </w:r>
            <w:r>
              <w:rPr>
                <w:rFonts w:ascii="Arial" w:cs="Arial" w:eastAsia="Arial" w:hAnsi="Arial"/>
                <w:sz w:val="25"/>
                <w:szCs w:val="25"/>
                <w:i w:val="1"/>
                <w:i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(39,117)</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leasing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189,140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551,803</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firstLine="8"/>
        <w:spacing w:after="0" w:line="255" w:lineRule="auto"/>
        <w:tabs>
          <w:tab w:leader="none" w:pos="215"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direct financing leases in order to recognize income on an effective interest basis at a constant rate of return over the term of the leases.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Business Revenue</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three months ended September 30, 2018 and 2017, golf course business revenue was $5.4 million and $4.1 million, respectively. In October 2017, we entered into a Golf Course Use Agreement with Caesars. Revenue for the three months ended September 30, 2018 earned pursuant to that agreement included $2.5 million from the Caesars membership fee and accounted for most of the increase. Revenue for the three months ended September 30, 2018 and 2017 also included $0.3 million and $0.2 million, respectively, of food and beverage; and $0.2 million and $0.2 million, respectively, from merchandise sales and other.</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September 30, 2018 and 2017, golf course business revenue was $19.7 million and $13.8 million, respectively. In October 2017, we entered into a Golf Course Use Agreement with Caesars. Revenue for the nine months ended September 30, 2018 earned pursuant to that agreement included $7.5 million from the Caesars membership fee and accounted for most of the increase. Revenue for the nine months ended September 30, 2018 and 2017 also included $1.4 million and $1.3 million, respectively, of food and beverage; and $1.1 million and $1.3 million, respectively, from merchandise sales and other.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7"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September 30, 2018, general and administrative expenses were $5.7 million and consisted primarily of the following: $3.0 million of compensation costs; $1.1 million of legal and professional fees; and $0.4 million of franchise and other taxes.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2018, general and administrative expenses were $20.1 million and consisted primarily of the following: $8.6 million of legal and professional fees; $6.9 million of compensation costs; and $1.4 million of franchise and other taxes. During the nine months ended September 30, 2018, we incurred certain non-recurring costs including $1.6 million of costs primarily related to our formation and the transition and relocation of our corporate headquarters from Las Vegas, NV to New York, NY and $0.7 million of legal professional fees related to the filing of a resale registration statement on Form S-11 in May 2018, relating to approximately 54.1 million shares of our common stock held by certain of our investors, which registration statement was filed pursuant to a registration rights agreement entered into by us in connection with our private placement completed in December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Impairment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and nine months ended September 30, 2018 the Company recognized a $12.3 million loss on impairment related to certain vacant, non-operating land parcels transferred by CEOC to us on the Formation Date. All of the land parcels are located outside of Las Vegas and none of the land parcels are a component of the operations of our regional property portfolio.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recognized a loss on extinguishment of debt of $23.0 million during the nine months ended September 30, 2018, primarily resulting from the redemption of $268.4 million in aggregate principal of our Second Lien Notes in February 2018 at a redemption price of 108%.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Taxes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Property taxes paid or reimbursed by our tenants were $25.4 million and $61.6 million for the three and nine months ended September 30, 2018,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Operations Expenses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Golf operations expenses, excluding depreciation, totaled $4.2 million and $3.3 million for the three months ended September 30, 2018 and 2017, respectively. In addition, $0.9 million and $0.8 million of depreciation expense was incurred by the golf business during the three months ended September 30, 2018 and 2017, respectively.</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Golf operations expenses, excluding depreciation, totaled $12.8 million and $11.4 million for the nine months ended September 30, 2018 and 2017, respectively. In addition, $2.8 million and $2.4 million of depreciation expense was incurred by the golf business during the nine months ended September 30, 2018 and 2017,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and nine months ended September 30, 2018, we incurred $54.1 million and $158.4 million, respectively, of interest expense from our debt obligations based upon weighted average interest rates of 4.92% and 4.72%, respectively. We paid cash interest costs of $42.6 million and $150.4 million during the three and nine months ended September 30, 2018, respectively. See “Liquidity and Capital Resources” below for more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2018, the weighted average interest rate on our outstanding debt, including the impact of our interest rate swaps, was 4.95%.</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7"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MEASURES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net income (or loss) (computed in accordance with GAAP) excluding gains (or losses) from sales of property plus real estate depreciation.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AFFO is a non-GAAP financial measure that we use as a supplemental operating measure to evaluate our performance. We calculate AFFO by adding or subtracting from FFO direct financing lease adjustments, transaction costs incurred in connection with the acquisition of real estate investments, non-cash stock-based compensation expense,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amortization of capitalized leasing costs and gains (or losses) on debt extinguishment.</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Adjusted EBITDA as net income as adjusted for gains (or losses) from sales of property, real estate depreciation, direct financing lease adjustments, transaction costs incurred in connection with the acquisition of real estate investments, non-cash stock-based compensation expense,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amortization of capitalized leasing costs, gains (or losses) on debt extinguishment, interest expense, net and income tax expense.</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EBIDTA,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7"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to FFO, FFO per Share, AFFO, AFFO per Share and Adjusted EBITDA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200" w:type="dxa"/>
            <w:vAlign w:val="bottom"/>
          </w:tcPr>
          <w:p>
            <w:pPr>
              <w:spacing w:after="0"/>
              <w:rPr>
                <w:sz w:val="17"/>
                <w:szCs w:val="17"/>
                <w:color w:val="auto"/>
              </w:rPr>
            </w:pPr>
          </w:p>
        </w:tc>
        <w:tc>
          <w:tcPr>
            <w:tcW w:w="174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Nine Months Ended</w:t>
            </w:r>
          </w:p>
        </w:tc>
      </w:tr>
      <w:tr>
        <w:trPr>
          <w:trHeight w:val="203"/>
        </w:trPr>
        <w:tc>
          <w:tcPr>
            <w:tcW w:w="74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180" w:type="dxa"/>
            <w:vAlign w:val="bottom"/>
          </w:tcPr>
          <w:p>
            <w:pPr>
              <w:spacing w:after="0"/>
              <w:rPr>
                <w:sz w:val="17"/>
                <w:szCs w:val="17"/>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September 30, 2018</w:t>
            </w:r>
          </w:p>
        </w:tc>
        <w:tc>
          <w:tcPr>
            <w:tcW w:w="200" w:type="dxa"/>
            <w:vAlign w:val="bottom"/>
          </w:tcPr>
          <w:p>
            <w:pPr>
              <w:spacing w:after="0"/>
              <w:rPr>
                <w:sz w:val="17"/>
                <w:szCs w:val="17"/>
                <w:color w:val="auto"/>
              </w:rPr>
            </w:pPr>
          </w:p>
        </w:tc>
        <w:tc>
          <w:tcPr>
            <w:tcW w:w="1740" w:type="dxa"/>
            <w:vAlign w:val="bottom"/>
          </w:tcPr>
          <w:p>
            <w:pPr>
              <w:jc w:val="right"/>
              <w:ind w:right="211"/>
              <w:spacing w:after="0"/>
              <w:rPr>
                <w:sz w:val="20"/>
                <w:szCs w:val="20"/>
                <w:color w:val="auto"/>
              </w:rPr>
            </w:pPr>
            <w:r>
              <w:rPr>
                <w:rFonts w:ascii="Arial" w:cs="Arial" w:eastAsia="Arial" w:hAnsi="Arial"/>
                <w:sz w:val="16"/>
                <w:szCs w:val="16"/>
                <w:b w:val="1"/>
                <w:bCs w:val="1"/>
                <w:color w:val="auto"/>
                <w:w w:val="95"/>
              </w:rPr>
              <w:t>September 30,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4"/>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129,912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381,078</w:t>
            </w:r>
          </w:p>
        </w:tc>
      </w:tr>
      <w:tr>
        <w:trPr>
          <w:trHeight w:val="243"/>
        </w:trPr>
        <w:tc>
          <w:tcPr>
            <w:tcW w:w="7400" w:type="dxa"/>
            <w:vAlign w:val="bottom"/>
            <w:gridSpan w:val="3"/>
          </w:tcPr>
          <w:p>
            <w:pPr>
              <w:ind w:left="40"/>
              <w:spacing w:after="0"/>
              <w:rPr>
                <w:sz w:val="20"/>
                <w:szCs w:val="20"/>
                <w:color w:val="auto"/>
              </w:rPr>
            </w:pPr>
            <w:r>
              <w:rPr>
                <w:rFonts w:ascii="Arial" w:cs="Arial" w:eastAsia="Arial" w:hAnsi="Arial"/>
                <w:sz w:val="18"/>
                <w:szCs w:val="18"/>
                <w:color w:val="auto"/>
              </w:rPr>
              <w:t>Real estate depreciation</w:t>
            </w:r>
          </w:p>
        </w:tc>
        <w:tc>
          <w:tcPr>
            <w:tcW w:w="18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FFO</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129,912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381,078</w:t>
            </w:r>
          </w:p>
        </w:tc>
      </w:tr>
      <w:tr>
        <w:trPr>
          <w:trHeight w:val="243"/>
        </w:trPr>
        <w:tc>
          <w:tcPr>
            <w:tcW w:w="7400" w:type="dxa"/>
            <w:vAlign w:val="bottom"/>
            <w:gridSpan w:val="3"/>
          </w:tcPr>
          <w:p>
            <w:pPr>
              <w:ind w:left="40"/>
              <w:spacing w:after="0"/>
              <w:rPr>
                <w:sz w:val="20"/>
                <w:szCs w:val="20"/>
                <w:color w:val="auto"/>
              </w:rPr>
            </w:pPr>
            <w:r>
              <w:rPr>
                <w:rFonts w:ascii="Arial" w:cs="Arial" w:eastAsia="Arial" w:hAnsi="Arial"/>
                <w:sz w:val="18"/>
                <w:szCs w:val="18"/>
                <w:color w:val="auto"/>
              </w:rPr>
              <w:t>Direct financing lease adjustments attributable to common stockholders</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(12,876)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(38,652)</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23,040</w:t>
            </w:r>
          </w:p>
        </w:tc>
      </w:tr>
      <w:tr>
        <w:trPr>
          <w:trHeight w:val="243"/>
        </w:trPr>
        <w:tc>
          <w:tcPr>
            <w:tcW w:w="7400" w:type="dxa"/>
            <w:vAlign w:val="bottom"/>
            <w:gridSpan w:val="3"/>
          </w:tcPr>
          <w:p>
            <w:pPr>
              <w:ind w:left="40"/>
              <w:spacing w:after="0"/>
              <w:rPr>
                <w:sz w:val="20"/>
                <w:szCs w:val="20"/>
                <w:color w:val="auto"/>
              </w:rPr>
            </w:pPr>
            <w:r>
              <w:rPr>
                <w:rFonts w:ascii="Arial" w:cs="Arial" w:eastAsia="Arial" w:hAnsi="Arial"/>
                <w:sz w:val="18"/>
                <w:szCs w:val="18"/>
                <w:color w:val="auto"/>
              </w:rPr>
              <w:t>Loss on impairment</w:t>
            </w:r>
          </w:p>
        </w:tc>
        <w:tc>
          <w:tcPr>
            <w:tcW w:w="18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Arial" w:cs="Arial" w:eastAsia="Arial" w:hAnsi="Arial"/>
                <w:sz w:val="18"/>
                <w:szCs w:val="18"/>
                <w:color w:val="auto"/>
              </w:rPr>
              <w:t>12,334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12,334</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Non-cash 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1,482</w:t>
            </w:r>
          </w:p>
        </w:tc>
      </w:tr>
      <w:tr>
        <w:trPr>
          <w:trHeight w:val="243"/>
        </w:trPr>
        <w:tc>
          <w:tcPr>
            <w:tcW w:w="7400" w:type="dxa"/>
            <w:vAlign w:val="bottom"/>
            <w:gridSpan w:val="3"/>
          </w:tcPr>
          <w:p>
            <w:pPr>
              <w:ind w:left="40"/>
              <w:spacing w:after="0"/>
              <w:rPr>
                <w:sz w:val="20"/>
                <w:szCs w:val="20"/>
                <w:color w:val="auto"/>
              </w:rPr>
            </w:pPr>
            <w:r>
              <w:rPr>
                <w:rFonts w:ascii="Arial" w:cs="Arial" w:eastAsia="Arial" w:hAnsi="Arial"/>
                <w:sz w:val="18"/>
                <w:szCs w:val="18"/>
                <w:color w:val="auto"/>
              </w:rPr>
              <w:t>Amortization of debt issuance costs and original issue discount</w:t>
            </w:r>
          </w:p>
        </w:tc>
        <w:tc>
          <w:tcPr>
            <w:tcW w:w="18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4,477</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2,752</w:t>
            </w:r>
          </w:p>
        </w:tc>
      </w:tr>
      <w:tr>
        <w:trPr>
          <w:trHeight w:val="243"/>
        </w:trPr>
        <w:tc>
          <w:tcPr>
            <w:tcW w:w="7400" w:type="dxa"/>
            <w:vAlign w:val="bottom"/>
            <w:gridSpan w:val="3"/>
          </w:tcPr>
          <w:p>
            <w:pPr>
              <w:ind w:left="40"/>
              <w:spacing w:after="0"/>
              <w:rPr>
                <w:sz w:val="20"/>
                <w:szCs w:val="20"/>
                <w:color w:val="auto"/>
              </w:rPr>
            </w:pPr>
            <w:r>
              <w:rPr>
                <w:rFonts w:ascii="Arial" w:cs="Arial" w:eastAsia="Arial" w:hAnsi="Arial"/>
                <w:sz w:val="18"/>
                <w:szCs w:val="18"/>
                <w:color w:val="auto"/>
              </w:rPr>
              <w:t>Capital expenditures</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AFFO</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132,227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385,767</w:t>
            </w:r>
          </w:p>
        </w:tc>
      </w:tr>
      <w:tr>
        <w:trPr>
          <w:trHeight w:val="243"/>
        </w:trPr>
        <w:tc>
          <w:tcPr>
            <w:tcW w:w="7400" w:type="dxa"/>
            <w:vAlign w:val="bottom"/>
            <w:gridSpan w:val="3"/>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Arial" w:cs="Arial" w:eastAsia="Arial" w:hAnsi="Arial"/>
                <w:sz w:val="18"/>
                <w:szCs w:val="18"/>
                <w:color w:val="auto"/>
              </w:rPr>
              <w:t>50,529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146,385</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w:t>
            </w:r>
          </w:p>
        </w:tc>
      </w:tr>
      <w:tr>
        <w:trPr>
          <w:trHeight w:val="297"/>
        </w:trPr>
        <w:tc>
          <w:tcPr>
            <w:tcW w:w="74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182,808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533,036</w:t>
            </w:r>
          </w:p>
        </w:tc>
      </w:tr>
      <w:tr>
        <w:trPr>
          <w:trHeight w:val="311"/>
        </w:trPr>
        <w:tc>
          <w:tcPr>
            <w:tcW w:w="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4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43"/>
        </w:trPr>
        <w:tc>
          <w:tcPr>
            <w:tcW w:w="740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per common share</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r>
      <w:tr>
        <w:trPr>
          <w:trHeight w:val="243"/>
        </w:trPr>
        <w:tc>
          <w:tcPr>
            <w:tcW w:w="7400" w:type="dxa"/>
            <w:vAlign w:val="bottom"/>
            <w:gridSpan w:val="3"/>
          </w:tcPr>
          <w:p>
            <w:pPr>
              <w:ind w:left="40"/>
              <w:spacing w:after="0"/>
              <w:rPr>
                <w:sz w:val="20"/>
                <w:szCs w:val="20"/>
                <w:color w:val="auto"/>
              </w:rPr>
            </w:pPr>
            <w:r>
              <w:rPr>
                <w:rFonts w:ascii="Arial" w:cs="Arial" w:eastAsia="Arial" w:hAnsi="Arial"/>
                <w:sz w:val="18"/>
                <w:szCs w:val="18"/>
                <w:b w:val="1"/>
                <w:bCs w:val="1"/>
                <w:color w:val="auto"/>
              </w:rPr>
              <w:t>FFO per common share</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r>
      <w:tr>
        <w:trPr>
          <w:trHeight w:val="243"/>
        </w:trPr>
        <w:tc>
          <w:tcPr>
            <w:tcW w:w="7400" w:type="dxa"/>
            <w:vAlign w:val="bottom"/>
            <w:gridSpan w:val="3"/>
          </w:tcPr>
          <w:p>
            <w:pPr>
              <w:ind w:left="40"/>
              <w:spacing w:after="0"/>
              <w:rPr>
                <w:sz w:val="20"/>
                <w:szCs w:val="20"/>
                <w:color w:val="auto"/>
              </w:rPr>
            </w:pPr>
            <w:r>
              <w:rPr>
                <w:rFonts w:ascii="Arial" w:cs="Arial" w:eastAsia="Arial" w:hAnsi="Arial"/>
                <w:sz w:val="18"/>
                <w:szCs w:val="18"/>
                <w:b w:val="1"/>
                <w:bCs w:val="1"/>
                <w:color w:val="auto"/>
              </w:rPr>
              <w:t>AFFO per common share</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r>
      <w:tr>
        <w:trPr>
          <w:trHeight w:val="243"/>
        </w:trPr>
        <w:tc>
          <w:tcPr>
            <w:tcW w:w="7400" w:type="dxa"/>
            <w:vAlign w:val="bottom"/>
            <w:gridSpan w:val="3"/>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369,935,055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360,997,358</w:t>
            </w:r>
          </w:p>
        </w:tc>
      </w:tr>
      <w:tr>
        <w:trPr>
          <w:trHeight w:val="243"/>
        </w:trPr>
        <w:tc>
          <w:tcPr>
            <w:tcW w:w="40" w:type="dxa"/>
            <w:vAlign w:val="bottom"/>
          </w:tcPr>
          <w:p>
            <w:pPr>
              <w:spacing w:after="0"/>
              <w:rPr>
                <w:sz w:val="21"/>
                <w:szCs w:val="21"/>
                <w:color w:val="auto"/>
              </w:rPr>
            </w:pPr>
          </w:p>
        </w:tc>
        <w:tc>
          <w:tcPr>
            <w:tcW w:w="736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780" w:type="dxa"/>
            <w:vAlign w:val="bottom"/>
          </w:tcPr>
          <w:p>
            <w:pPr>
              <w:jc w:val="right"/>
              <w:ind w:right="31"/>
              <w:spacing w:after="0"/>
              <w:rPr>
                <w:sz w:val="20"/>
                <w:szCs w:val="20"/>
                <w:color w:val="auto"/>
              </w:rPr>
            </w:pPr>
            <w:r>
              <w:rPr>
                <w:rFonts w:ascii="Arial" w:cs="Arial" w:eastAsia="Arial" w:hAnsi="Arial"/>
                <w:sz w:val="18"/>
                <w:szCs w:val="18"/>
                <w:color w:val="auto"/>
              </w:rPr>
              <w:t>370,127,185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Arial" w:cs="Arial" w:eastAsia="Arial" w:hAnsi="Arial"/>
                <w:sz w:val="18"/>
                <w:szCs w:val="18"/>
                <w:color w:val="auto"/>
              </w:rPr>
              <w:t>361,042,203</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2018, our available cash balance was $145.2 million, our restricted cash balance was $0.1 million, our short-term investment balance was $320.7 million and $400.0 million was available for future borrowings under our Revolving Credit Facility.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short-term obligations consist primarily of regular interest payments on our debt obligations, dividends to our common stockholders, normal recurring operating expenses, recurring expenditures for corporate and administrative needs, certain lease and other contractual commitments related to our golf operations and certain non-recurring expenditures. For a list of our contractual commitments refer to Note 11 - Commitments and Contingent Liabilities, in the Notes to our Financial Statements.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long-term obligations consist primarily of principal payments on our outstanding debt obligations. We currently have $4.1 billion of debt obligations outstanding, none of which are maturing in the next twelve months. For a list of principal debt balances and their maturity dates refer to Note 8 - Debt, in the Notes to our Consolidated Financial Statements. We anticipate closing on the Margaritaville and Harrah’s Philadelphia assets during the fourth quarter of 2018. Dependent on timing of each respective closing, we expect to fund the purchase with cash on hand, or with a combination of cash and draws upon our credit facility. Any future transactions will be funded with a mix of debt, equity and available cash.</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we have sufficient liquidity to meet our liquidity and capital resource requirements primarily through currently available cash and cash equivalents, restricted cash, cash received under our lease agreements, borrowings from banks, including undrawn capacity under our Revolving Credit Facility, and proceeds from the issuance of debt and equity securities. All of the</w:t>
      </w:r>
    </w:p>
    <w:p>
      <w:pPr>
        <w:sectPr>
          <w:pgSz w:w="11900" w:h="16838" w:orient="portrait"/>
          <w:cols w:equalWidth="0" w:num="1">
            <w:col w:w="11420"/>
          </w:cols>
          <w:pgMar w:left="240" w:top="287"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287"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Lease Agreements call for an initial term of fifteen years with four, five-year renewal options and are designed to provide us with a reliable and predictable revenue stream. However, our cash flows from operations and our ability to access capital resources could be adversely affected due to uncertain economic factors and volatility in the financial and credit markets. In particular, we can provide no assurances that our tenant will not default on its leases or fail to make full rental payments if its business becomes challenged due to, among other things, adverse economic conditions.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raise funds through the issuance of debt and equity securities and access to other third-party sources of capital in the future will be dependent on, among other things, general economic conditions, general market conditions for REITs, market perceptions and the trading price of our stock. We will continue to analyze which sources of capital are most advantageous to us at any particular point in time, but the capital markets may not be consistently available on terms we deem attractive, or at all.</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flows for the nine months ended September 30, 2018:</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jc w:val="right"/>
              <w:ind w:right="272"/>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90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7"/>
                <w:szCs w:val="17"/>
                <w:color w:val="auto"/>
              </w:rPr>
            </w:pPr>
          </w:p>
        </w:tc>
        <w:tc>
          <w:tcPr>
            <w:tcW w:w="1880" w:type="dxa"/>
            <w:vAlign w:val="bottom"/>
          </w:tcPr>
          <w:p>
            <w:pPr>
              <w:jc w:val="right"/>
              <w:ind w:right="292"/>
              <w:spacing w:after="0"/>
              <w:rPr>
                <w:sz w:val="20"/>
                <w:szCs w:val="20"/>
                <w:color w:val="auto"/>
              </w:rPr>
            </w:pPr>
            <w:r>
              <w:rPr>
                <w:rFonts w:ascii="Arial" w:cs="Arial" w:eastAsia="Arial" w:hAnsi="Arial"/>
                <w:sz w:val="16"/>
                <w:szCs w:val="16"/>
                <w:b w:val="1"/>
                <w:bCs w:val="1"/>
                <w:color w:val="auto"/>
                <w:w w:val="99"/>
              </w:rPr>
              <w:t>September 30,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44"/>
        </w:trPr>
        <w:tc>
          <w:tcPr>
            <w:tcW w:w="9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0" w:type="dxa"/>
            <w:vAlign w:val="bottom"/>
            <w:gridSpan w:val="2"/>
          </w:tcPr>
          <w:p>
            <w:pPr>
              <w:ind w:left="220"/>
              <w:spacing w:after="0"/>
              <w:rPr>
                <w:sz w:val="20"/>
                <w:szCs w:val="20"/>
                <w:color w:val="auto"/>
              </w:rPr>
            </w:pPr>
            <w:r>
              <w:rPr>
                <w:rFonts w:ascii="Arial" w:cs="Arial" w:eastAsia="Arial" w:hAnsi="Arial"/>
                <w:sz w:val="18"/>
                <w:szCs w:val="18"/>
                <w:color w:val="auto"/>
              </w:rPr>
              <w:t>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328,517</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(832,471)</w:t>
            </w:r>
          </w:p>
        </w:tc>
      </w:tr>
      <w:tr>
        <w:trPr>
          <w:trHeight w:val="243"/>
        </w:trPr>
        <w:tc>
          <w:tcPr>
            <w:tcW w:w="40" w:type="dxa"/>
            <w:vAlign w:val="bottom"/>
          </w:tcPr>
          <w:p>
            <w:pPr>
              <w:spacing w:after="0"/>
              <w:rPr>
                <w:sz w:val="21"/>
                <w:szCs w:val="21"/>
                <w:color w:val="auto"/>
              </w:rPr>
            </w:pPr>
          </w:p>
        </w:tc>
        <w:tc>
          <w:tcPr>
            <w:tcW w:w="9000" w:type="dxa"/>
            <w:vAlign w:val="bottom"/>
            <w:gridSpan w:val="2"/>
          </w:tcPr>
          <w:p>
            <w:pPr>
              <w:ind w:left="220"/>
              <w:spacing w:after="0"/>
              <w:rPr>
                <w:sz w:val="20"/>
                <w:szCs w:val="20"/>
                <w:color w:val="auto"/>
              </w:rPr>
            </w:pPr>
            <w:r>
              <w:rPr>
                <w:rFonts w:ascii="Arial" w:cs="Arial" w:eastAsia="Arial" w:hAnsi="Arial"/>
                <w:sz w:val="18"/>
                <w:szCs w:val="18"/>
                <w:color w:val="auto"/>
              </w:rPr>
              <w:t>Provided by financing activities</w:t>
            </w:r>
          </w:p>
        </w:tc>
        <w:tc>
          <w:tcPr>
            <w:tcW w:w="24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451,829</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9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(52,125)</w:t>
            </w:r>
          </w:p>
        </w:tc>
      </w:tr>
      <w:tr>
        <w:trPr>
          <w:trHeight w:val="243"/>
        </w:trPr>
        <w:tc>
          <w:tcPr>
            <w:tcW w:w="40" w:type="dxa"/>
            <w:vAlign w:val="bottom"/>
          </w:tcPr>
          <w:p>
            <w:pPr>
              <w:spacing w:after="0"/>
              <w:rPr>
                <w:sz w:val="21"/>
                <w:szCs w:val="21"/>
                <w:color w:val="auto"/>
              </w:rPr>
            </w:pPr>
          </w:p>
        </w:tc>
        <w:tc>
          <w:tcPr>
            <w:tcW w:w="9000" w:type="dxa"/>
            <w:vAlign w:val="bottom"/>
            <w:gridSpan w:val="2"/>
          </w:tcPr>
          <w:p>
            <w:pPr>
              <w:ind w:left="220"/>
              <w:spacing w:after="0"/>
              <w:rPr>
                <w:sz w:val="20"/>
                <w:szCs w:val="20"/>
                <w:color w:val="auto"/>
              </w:rPr>
            </w:pPr>
            <w:r>
              <w:rPr>
                <w:rFonts w:ascii="Arial" w:cs="Arial" w:eastAsia="Arial" w:hAnsi="Arial"/>
                <w:sz w:val="18"/>
                <w:szCs w:val="18"/>
                <w:color w:val="auto"/>
              </w:rPr>
              <w:t>Balance at December 31, 2017</w:t>
            </w:r>
          </w:p>
        </w:tc>
        <w:tc>
          <w:tcPr>
            <w:tcW w:w="240" w:type="dxa"/>
            <w:vAlign w:val="bottom"/>
          </w:tcPr>
          <w:p>
            <w:pPr>
              <w:spacing w:after="0"/>
              <w:rPr>
                <w:sz w:val="21"/>
                <w:szCs w:val="21"/>
                <w:color w:val="auto"/>
              </w:rPr>
            </w:pPr>
          </w:p>
        </w:tc>
        <w:tc>
          <w:tcPr>
            <w:tcW w:w="1880" w:type="dxa"/>
            <w:vAlign w:val="bottom"/>
          </w:tcPr>
          <w:p>
            <w:pPr>
              <w:jc w:val="right"/>
              <w:ind w:right="12"/>
              <w:spacing w:after="0"/>
              <w:rPr>
                <w:sz w:val="20"/>
                <w:szCs w:val="20"/>
                <w:color w:val="auto"/>
              </w:rPr>
            </w:pPr>
            <w:r>
              <w:rPr>
                <w:rFonts w:ascii="Arial" w:cs="Arial" w:eastAsia="Arial" w:hAnsi="Arial"/>
                <w:sz w:val="18"/>
                <w:szCs w:val="18"/>
                <w:color w:val="auto"/>
              </w:rPr>
              <w:t>197,406</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Balance at September 30,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145,281</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totaled $328.5 million for the nine months ended September 30, 2018 with the primary source being from cash rent collected under our direct financing and operating leases of $551.8 million and the primary uses being (i) $150.4 million of cash utilized for the payment of interest on our debt obligations and (ii) a $21.5 million prepayment premium paid on the redemption of a portion of our Second Lien Notes. The remaining change in cash provided by operating activities was amounts paid for our general and administrative costs offset by cash generated by our golf course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cash used in investing activities totaled $832.5 million for the nine months ended September 30, 2018 with the primary uses being (i) our acquisition of Octavius Tower for $507.5 million and (ii) investment in short term commercial paper of $421.4 million, partially offset by maturities of short-term investments of $100.8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totaled $451.8 million for the nine months ended September 30,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primary sources of cash from financing activities include:</w:t>
      </w:r>
    </w:p>
    <w:p>
      <w:pPr>
        <w:spacing w:after="0" w:line="171" w:lineRule="exact"/>
        <w:rPr>
          <w:sz w:val="20"/>
          <w:szCs w:val="20"/>
          <w:color w:val="auto"/>
        </w:rPr>
      </w:pPr>
    </w:p>
    <w:p>
      <w:pPr>
        <w:ind w:right="4740" w:firstLine="332"/>
        <w:spacing w:after="0" w:line="438" w:lineRule="auto"/>
        <w:tabs>
          <w:tab w:leader="none" w:pos="6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proceeds from our initial public offering of $1.4 billion of our common stock The primary uses of cash from financing activities include:</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Repayment of $300.0 million on our Revolving Credit Facility;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Repayment of $100.0 million on our Term Loan B Facility;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 of $268.4 million in aggregate principal amount of our Second Lien Notes;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Dividend payments of $156.3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$84.5 million related to our initial public offering.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7"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our leases, capital expenditures for properties under our leases with Caesars are the responsibility of the tenant.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Activity During 2018</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2018, we utilized a portion of the net proceeds from our initial public offering to: (a) pay down $300.0 million of indebtedness outstanding under the Revolving Credit Facility; (b) redeem $268.4 million in aggregate principal amount of the Second Lien Notes at a redemption price of 108% plus accrued and unpaid interest to the date of the redemption; and (c) repay $100.0 million of the Term Loan B Facility.</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their inception, the Revolving Credit Facility and Term Loan B Facility bore interest at LIBOR plus 2.25%; provided that following an underwritten public offering of the equity interests of any parent entity of VICI PropCo that results in such equity interests being listed on a national securities exchange and generates gross cash proceeds of at least $500.0 million, such interest rate will be reduced by 25 basis points. As a result of our successful initial public offering which generated gross cash proceeds of $1.4 billion, the interest rate on this debt was reduced to LIBOR plus 2.00% on February 5, 2018.</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24, 2018, we entered into four interest rate swap agreements with third party financial institutions having an aggregate notional amount of $1.5 billion. The interest rate swap agreements each have an effective date of May 22, 2018 and a termination date of April 22, 2023. The interest rate swap agreements were designated as cash flow hedges that effectively fix the LIBOR component of the interest rate on a portion of the outstanding debt under the Term Loan B Facility at 2.8297%.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September 30, 2018, we were in compliance with all debt-related covenants.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 Policy</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intend to make regular quarterly distributions to holders of shares of our common stock. Dividends declared (on a per share basis) during the nine months ended September 30,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Declaration Date</w:t>
            </w: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Period</w:t>
            </w:r>
          </w:p>
        </w:tc>
        <w:tc>
          <w:tcPr>
            <w:tcW w:w="500" w:type="dxa"/>
            <w:vAlign w:val="bottom"/>
          </w:tcPr>
          <w:p>
            <w:pPr>
              <w:spacing w:after="0"/>
              <w:rPr>
                <w:sz w:val="20"/>
                <w:szCs w:val="20"/>
                <w:color w:val="auto"/>
              </w:rPr>
            </w:pPr>
          </w:p>
        </w:tc>
        <w:tc>
          <w:tcPr>
            <w:tcW w:w="1900" w:type="dxa"/>
            <w:vAlign w:val="bottom"/>
          </w:tcPr>
          <w:p>
            <w:pPr>
              <w:jc w:val="right"/>
              <w:ind w:right="750"/>
              <w:spacing w:after="0"/>
              <w:rPr>
                <w:sz w:val="20"/>
                <w:szCs w:val="20"/>
                <w:color w:val="auto"/>
              </w:rPr>
            </w:pPr>
            <w:r>
              <w:rPr>
                <w:rFonts w:ascii="Arial" w:cs="Arial" w:eastAsia="Arial" w:hAnsi="Arial"/>
                <w:sz w:val="18"/>
                <w:szCs w:val="18"/>
                <w:b w:val="1"/>
                <w:bCs w:val="1"/>
                <w:color w:val="auto"/>
              </w:rPr>
              <w:t>Dividend</w:t>
            </w:r>
          </w:p>
        </w:tc>
      </w:tr>
      <w:tr>
        <w:trPr>
          <w:trHeight w:val="27"/>
        </w:trPr>
        <w:tc>
          <w:tcPr>
            <w:tcW w:w="3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3660" w:type="dxa"/>
            <w:vAlign w:val="bottom"/>
            <w:gridSpan w:val="2"/>
            <w:shd w:val="clear" w:color="auto" w:fill="CCEEFF"/>
          </w:tcPr>
          <w:p>
            <w:pPr>
              <w:jc w:val="center"/>
              <w:ind w:right="200"/>
              <w:spacing w:after="0" w:line="264" w:lineRule="exact"/>
              <w:rPr>
                <w:sz w:val="20"/>
                <w:szCs w:val="20"/>
                <w:color w:val="auto"/>
              </w:rPr>
            </w:pPr>
            <w:r>
              <w:rPr>
                <w:rFonts w:ascii="Arial" w:cs="Arial" w:eastAsia="Arial" w:hAnsi="Arial"/>
                <w:sz w:val="18"/>
                <w:szCs w:val="18"/>
                <w:color w:val="auto"/>
                <w:w w:val="89"/>
              </w:rPr>
              <w:t xml:space="preserve">March 15, 2018 </w:t>
            </w:r>
            <w:r>
              <w:rPr>
                <w:rFonts w:ascii="Arial" w:cs="Arial" w:eastAsia="Arial" w:hAnsi="Arial"/>
                <w:sz w:val="25"/>
                <w:szCs w:val="25"/>
                <w:i w:val="1"/>
                <w:iCs w:val="1"/>
                <w:color w:val="auto"/>
                <w:w w:val="89"/>
                <w:vertAlign w:val="superscript"/>
              </w:rPr>
              <w:t>(1)</w:t>
            </w:r>
          </w:p>
        </w:tc>
        <w:tc>
          <w:tcPr>
            <w:tcW w:w="5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February 5, 2018 - March 31, 2018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0.1600</w:t>
            </w:r>
          </w:p>
        </w:tc>
      </w:tr>
      <w:tr>
        <w:trPr>
          <w:trHeight w:val="270"/>
        </w:trPr>
        <w:tc>
          <w:tcPr>
            <w:tcW w:w="3660" w:type="dxa"/>
            <w:vAlign w:val="bottom"/>
            <w:gridSpan w:val="2"/>
          </w:tcPr>
          <w:p>
            <w:pPr>
              <w:jc w:val="center"/>
              <w:ind w:right="220"/>
              <w:spacing w:after="0" w:line="270" w:lineRule="exact"/>
              <w:rPr>
                <w:sz w:val="20"/>
                <w:szCs w:val="20"/>
                <w:color w:val="auto"/>
              </w:rPr>
            </w:pPr>
            <w:r>
              <w:rPr>
                <w:rFonts w:ascii="Arial" w:cs="Arial" w:eastAsia="Arial" w:hAnsi="Arial"/>
                <w:sz w:val="18"/>
                <w:szCs w:val="18"/>
                <w:color w:val="auto"/>
                <w:w w:val="86"/>
              </w:rPr>
              <w:t xml:space="preserve">June 14, 2018 </w:t>
            </w:r>
            <w:r>
              <w:rPr>
                <w:rFonts w:ascii="Arial" w:cs="Arial" w:eastAsia="Arial" w:hAnsi="Arial"/>
                <w:sz w:val="25"/>
                <w:szCs w:val="25"/>
                <w:i w:val="1"/>
                <w:iCs w:val="1"/>
                <w:color w:val="auto"/>
                <w:w w:val="86"/>
                <w:vertAlign w:val="superscript"/>
              </w:rPr>
              <w:t>(2)</w:t>
            </w:r>
          </w:p>
        </w:tc>
        <w:tc>
          <w:tcPr>
            <w:tcW w:w="53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April 1, 2018 - June 30, 2018</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0.2625</w:t>
            </w:r>
          </w:p>
        </w:tc>
      </w:tr>
      <w:tr>
        <w:trPr>
          <w:trHeight w:val="270"/>
        </w:trPr>
        <w:tc>
          <w:tcPr>
            <w:tcW w:w="3660" w:type="dxa"/>
            <w:vAlign w:val="bottom"/>
            <w:gridSpan w:val="2"/>
            <w:shd w:val="clear" w:color="auto" w:fill="CCEEFF"/>
          </w:tcPr>
          <w:p>
            <w:pPr>
              <w:jc w:val="center"/>
              <w:ind w:right="220"/>
              <w:spacing w:after="0" w:line="270" w:lineRule="exact"/>
              <w:rPr>
                <w:sz w:val="20"/>
                <w:szCs w:val="20"/>
                <w:color w:val="auto"/>
              </w:rPr>
            </w:pPr>
            <w:r>
              <w:rPr>
                <w:rFonts w:ascii="Arial" w:cs="Arial" w:eastAsia="Arial" w:hAnsi="Arial"/>
                <w:sz w:val="18"/>
                <w:szCs w:val="18"/>
                <w:color w:val="auto"/>
                <w:w w:val="86"/>
              </w:rPr>
              <w:t xml:space="preserve">September 17, 2018 </w:t>
            </w:r>
            <w:r>
              <w:rPr>
                <w:rFonts w:ascii="Arial" w:cs="Arial" w:eastAsia="Arial" w:hAnsi="Arial"/>
                <w:sz w:val="25"/>
                <w:szCs w:val="25"/>
                <w:i w:val="1"/>
                <w:iCs w:val="1"/>
                <w:color w:val="auto"/>
                <w:w w:val="86"/>
                <w:vertAlign w:val="superscript"/>
              </w:rPr>
              <w:t>(3)</w:t>
            </w:r>
          </w:p>
        </w:tc>
        <w:tc>
          <w:tcPr>
            <w:tcW w:w="53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July 1, 2018 - September 30, 2018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0.2875</w:t>
            </w:r>
          </w:p>
        </w:tc>
      </w:tr>
    </w:tbl>
    <w:p>
      <w:pPr>
        <w:spacing w:after="0"/>
        <w:rPr>
          <w:sz w:val="20"/>
          <w:szCs w:val="20"/>
          <w:color w:val="auto"/>
        </w:rPr>
      </w:pPr>
      <w:r>
        <w:rPr>
          <w:rFonts w:ascii="Arial" w:cs="Arial" w:eastAsia="Arial" w:hAnsi="Arial"/>
          <w:sz w:val="18"/>
          <w:szCs w:val="18"/>
          <w:color w:val="auto"/>
        </w:rPr>
        <w:t>____________________</w:t>
      </w:r>
    </w:p>
    <w:p>
      <w:pPr>
        <w:spacing w:after="0" w:line="112" w:lineRule="exact"/>
        <w:rPr>
          <w:sz w:val="20"/>
          <w:szCs w:val="20"/>
          <w:color w:val="auto"/>
        </w:rPr>
      </w:pPr>
    </w:p>
    <w:p>
      <w:pPr>
        <w:ind w:left="340" w:hanging="332"/>
        <w:spacing w:after="0" w:line="250" w:lineRule="auto"/>
        <w:tabs>
          <w:tab w:leader="none" w:pos="3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The dividend was pro-rated for the period commencing upon the closing of our initial public offering and ending on March 31, 2018, based on a quarterly distribution rate of $0.2625 per share. The dividend was paid on April 13, 2018 to stockholders of record as of the close of business on March 29, 2018.</w:t>
      </w:r>
    </w:p>
    <w:p>
      <w:pPr>
        <w:ind w:left="340" w:hanging="332"/>
        <w:spacing w:after="0"/>
        <w:tabs>
          <w:tab w:leader="none" w:pos="3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The dividend was paid on July 13, 2018 to stockholders of record as of the close of business on June 28, 2018.</w:t>
      </w:r>
    </w:p>
    <w:p>
      <w:pPr>
        <w:spacing w:after="0" w:line="1" w:lineRule="exact"/>
        <w:rPr>
          <w:rFonts w:ascii="Arial" w:cs="Arial" w:eastAsia="Arial" w:hAnsi="Arial"/>
          <w:sz w:val="14"/>
          <w:szCs w:val="14"/>
          <w:i w:val="1"/>
          <w:iCs w:val="1"/>
          <w:color w:val="auto"/>
        </w:rPr>
      </w:pPr>
    </w:p>
    <w:p>
      <w:pPr>
        <w:ind w:left="340" w:hanging="332"/>
        <w:spacing w:after="0" w:line="255" w:lineRule="auto"/>
        <w:tabs>
          <w:tab w:leader="none" w:pos="3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The dividend was paid on October 11, 2018 to stockholders of record as of the close of business on September 28, 2018. This dividend represents an increase in our targeted annualized dividend to $1.15 per share of common stock, which represents a 9.5% increase from our previous annualized dividend rate of $1.05 per share.</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continue to make distributions to our stockholders to comply with the REIT requirements of the Code and to avoid or otherwise minimize paying entity level federal income or excise tax (other than at any TRS of ours). We may generate taxable income greater than our income for financial reporting purposes prepared in accordance with GAAP. In particular, during the first several years of our current leases, rental income will be allocated for tax purposes generally in an amount greater than cash rents.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7"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complete discussion of our critical accounting policies and estimates is included in our Form 10-K for the period ended December 31, 2017. There have been no significant changes in our critical policies and estimates for the nine months ended September 30, 2018.</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face market risk exposure in the form of interest rate risk. This market risk arises from our debt obligations. Our primary market risk exposure is interest rate risk with respect to our indebtedness.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2018, we had $4.1 billion aggregate principal amount of outstanding indebtedness. Approximately $2.1 billion of our indebtedness has variable interest rates. We manage some of our interest rate risks related to variable rate borrowings by means of interest rate swap agreements. However, the REIT provisions of the Code substantially limit our ability to hedge our assets and liabilities. We expect to manage our exposure to interest rate risk by maintaining a mix of fixed and variable rates for our indebtedness.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2018, we had entered into interest rate swap agreements that hedge $1.5 billion of our variable rate debt. Accordingly, we have approximately $600.0 million in variable rate debt that is not hedged. A one percent increase or decrease in the interest rate on our variable-rate borrowings that are not hedged would increase or decrease our annual cash interest expense by approximately $6.0 million.</w:t>
      </w:r>
    </w:p>
    <w:p>
      <w:pPr>
        <w:spacing w:after="0" w:line="12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maintain disclosure controls and procedures (as defined in Rules 13a-15(e) or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that such information is accumulated and communicated to our management, including our principal executive officer and principal financial officer, as appropriate, to allow timely decisions regarding required disclosure.</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has evaluated, under the supervision and with the participation of our principal executive officer and principal financial officer, the effectiveness of our disclosure controls and procedures as of September 30, 2018. Based on this evaluation required, our principal executive officer and principal financial officer concluded that our disclosure controls and procedures were effective as of September 30,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not been changes in our internal control over financial reporting during the three months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7"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PART II.</w:t>
        <w:tab/>
        <w:t>OTHER INFORMATION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September 30, 2018, we are not subject to any litigation that we believe could have, individually or in the aggregate, a material adverse effect on our business, financial condition or results of operations, liquidity or cash flows.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description of certain factors that may affect our future results and risk factors is set forth in our Annual Report on Form 10-K for the year ended December 31, 2017. There have been no material changes to those factors for the nine months ended September 30, 2018,</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31, 2018, our Registration Statement on Form S-11, as amended (Commission File No. 333-221997) and our Registration Statement on Form S-11MEF (Commission File No. 333-222806) were declared effective by the SEC, pursuant to which we sold a total of 69,575,000 shares of our common stock at a price per share of $20.00, for an aggregate offering price of $1.4 billion (the “Offering”) before fees, expenses and commissions and resulting in net proceeds of approximately $1.3 billion. Morgan Stanley &amp; Co. LLC, Goldman Sachs &amp; Co. LLC and Merrill Lynch, Pierce, Fenner &amp; Smith Incorporated acted as principal representatives of the underwriters in the Offering. The Offering was completed on February 5, 2018, after sales of all 69,575,000 shares of common stock (inclusive of the full exercise by the underwriters of their overallotment option to purchase 9,075,000 additional shares of common stock). There has been no material change in the planned use of proceeds from the Offering as described in our final prospectus filed with the SEC pursuant to Rule 424(b) under the Securities Act on February 2, 2018, except that on July 11, 2018, we utilized $507.5 million of the offering proceeds to purchase Octavius Tower.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7"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2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6180" w:type="dxa"/>
            <w:vAlign w:val="bottom"/>
            <w:gridSpan w:val="3"/>
          </w:tcPr>
          <w:p>
            <w:pPr>
              <w:ind w:left="60"/>
              <w:spacing w:after="0"/>
              <w:rPr>
                <w:sz w:val="20"/>
                <w:szCs w:val="20"/>
                <w:color w:val="auto"/>
              </w:rPr>
            </w:pPr>
            <w:r>
              <w:rPr>
                <w:rFonts w:ascii="Arial" w:cs="Arial" w:eastAsia="Arial" w:hAnsi="Arial"/>
                <w:sz w:val="22"/>
                <w:szCs w:val="22"/>
                <w:b w:val="1"/>
                <w:bCs w:val="1"/>
                <w:color w:val="auto"/>
              </w:rPr>
              <w:t>Exhibits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20" w:type="dxa"/>
            <w:vAlign w:val="bottom"/>
            <w:gridSpan w:val="5"/>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53"/>
        </w:trPr>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4"/>
                <w:szCs w:val="4"/>
                <w:color w:val="auto"/>
              </w:rPr>
            </w:pPr>
          </w:p>
        </w:tc>
        <w:tc>
          <w:tcPr>
            <w:tcW w:w="5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Filed</w:t>
            </w: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94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Form</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1"/>
                <w:szCs w:val="11"/>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59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287" w:right="239" w:bottom="1440" w:gutter="0" w:footer="0" w:header="0"/>
        </w:sectPr>
      </w:pPr>
    </w:p>
    <w:p>
      <w:pPr>
        <w:ind w:left="960" w:right="20" w:hanging="738"/>
        <w:spacing w:after="0" w:line="277" w:lineRule="auto"/>
        <w:tabs>
          <w:tab w:leader="none" w:pos="940" w:val="left"/>
        </w:tabs>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2.1 +</w:t>
        </w:r>
      </w:hyperlink>
      <w:r>
        <w:rPr>
          <w:rFonts w:ascii="Arial" w:cs="Arial" w:eastAsia="Arial" w:hAnsi="Arial"/>
          <w:sz w:val="18"/>
          <w:szCs w:val="18"/>
          <w:u w:val="single" w:color="auto"/>
          <w:color w:val="0000FF"/>
        </w:rPr>
        <w:tab/>
      </w:r>
      <w:hyperlink r:id="rId53">
        <w:r>
          <w:rPr>
            <w:rFonts w:ascii="Arial" w:cs="Arial" w:eastAsia="Arial" w:hAnsi="Arial"/>
            <w:sz w:val="18"/>
            <w:szCs w:val="18"/>
            <w:u w:val="single" w:color="auto"/>
            <w:color w:val="0000FF"/>
          </w:rPr>
          <w:t>Purchase and Sale Agreement dated as of July 11, 2018 by and between Caesars</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Octavius, LLC and Octavius Propco LLC.</w:t>
        </w:r>
      </w:hyperlink>
    </w:p>
    <w:p>
      <w:pPr>
        <w:spacing w:after="0" w:line="130" w:lineRule="exact"/>
        <w:rPr>
          <w:rFonts w:ascii="Arial" w:cs="Arial" w:eastAsia="Arial" w:hAnsi="Arial"/>
          <w:sz w:val="18"/>
          <w:szCs w:val="18"/>
          <w:u w:val="single" w:color="auto"/>
          <w:color w:val="0000FF"/>
        </w:rPr>
      </w:pPr>
    </w:p>
    <w:p>
      <w:pPr>
        <w:ind w:left="960" w:right="40" w:hanging="738"/>
        <w:spacing w:after="0" w:line="308" w:lineRule="auto"/>
        <w:tabs>
          <w:tab w:leader="none" w:pos="940" w:val="left"/>
        </w:tabs>
        <w:rPr>
          <w:rFonts w:ascii="Arial" w:cs="Arial" w:eastAsia="Arial" w:hAnsi="Arial"/>
          <w:sz w:val="17"/>
          <w:szCs w:val="17"/>
          <w:u w:val="single" w:color="auto"/>
          <w:color w:val="0000FF"/>
        </w:rPr>
      </w:pPr>
      <w:hyperlink r:id="rId54">
        <w:r>
          <w:rPr>
            <w:rFonts w:ascii="Arial" w:cs="Arial" w:eastAsia="Arial" w:hAnsi="Arial"/>
            <w:sz w:val="18"/>
            <w:szCs w:val="18"/>
            <w:u w:val="single" w:color="auto"/>
            <w:color w:val="0000FF"/>
          </w:rPr>
          <w:t>2.2 +</w:t>
        </w:r>
      </w:hyperlink>
      <w:r>
        <w:rPr>
          <w:rFonts w:ascii="Arial" w:cs="Arial" w:eastAsia="Arial" w:hAnsi="Arial"/>
          <w:sz w:val="18"/>
          <w:szCs w:val="18"/>
          <w:u w:val="single" w:color="auto"/>
          <w:color w:val="0000FF"/>
        </w:rPr>
        <w:tab/>
      </w:r>
      <w:hyperlink r:id="rId54">
        <w:r>
          <w:rPr>
            <w:rFonts w:ascii="Arial" w:cs="Arial" w:eastAsia="Arial" w:hAnsi="Arial"/>
            <w:sz w:val="17"/>
            <w:szCs w:val="17"/>
            <w:u w:val="single" w:color="auto"/>
            <w:color w:val="0000FF"/>
          </w:rPr>
          <w:t>Purchase and Sale Agreement dated as of July 11, 2018 by and between Chester</w:t>
        </w:r>
      </w:hyperlink>
      <w:r>
        <w:rPr>
          <w:rFonts w:ascii="Arial" w:cs="Arial" w:eastAsia="Arial" w:hAnsi="Arial"/>
          <w:sz w:val="17"/>
          <w:szCs w:val="17"/>
          <w:u w:val="single" w:color="auto"/>
          <w:color w:val="0000FF"/>
        </w:rPr>
        <w:t xml:space="preserve"> </w:t>
      </w:r>
      <w:hyperlink r:id="rId54">
        <w:r>
          <w:rPr>
            <w:rFonts w:ascii="Arial" w:cs="Arial" w:eastAsia="Arial" w:hAnsi="Arial"/>
            <w:sz w:val="17"/>
            <w:szCs w:val="17"/>
            <w:u w:val="single" w:color="auto"/>
            <w:color w:val="0000FF"/>
          </w:rPr>
          <w:t>Downs and Marina, LLC and Philadelphia Propco LLC.</w:t>
        </w:r>
      </w:hyperlink>
    </w:p>
    <w:p>
      <w:pPr>
        <w:spacing w:after="0" w:line="106" w:lineRule="exact"/>
        <w:rPr>
          <w:rFonts w:ascii="Arial" w:cs="Arial" w:eastAsia="Arial" w:hAnsi="Arial"/>
          <w:sz w:val="18"/>
          <w:szCs w:val="18"/>
          <w:u w:val="single" w:color="auto"/>
          <w:color w:val="0000FF"/>
        </w:rPr>
      </w:pPr>
    </w:p>
    <w:p>
      <w:pPr>
        <w:ind w:left="960" w:right="260" w:hanging="665"/>
        <w:spacing w:after="0" w:line="264" w:lineRule="auto"/>
        <w:tabs>
          <w:tab w:leader="none" w:pos="940" w:val="left"/>
        </w:tabs>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55">
        <w:r>
          <w:rPr>
            <w:rFonts w:ascii="Arial" w:cs="Arial" w:eastAsia="Arial" w:hAnsi="Arial"/>
            <w:sz w:val="18"/>
            <w:szCs w:val="18"/>
            <w:u w:val="single" w:color="auto"/>
            <w:color w:val="0000FF"/>
          </w:rPr>
          <w:t>Supplemental Indenture No. 3, dated as of September 24, 2018, among VICI</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Properties 1 LLC and VICI FC Inc., as issuers, and UMB Bank, National</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Association, as trustee</w:t>
        </w:r>
      </w:hyperlink>
    </w:p>
    <w:p>
      <w:pPr>
        <w:spacing w:after="0" w:line="141" w:lineRule="exact"/>
        <w:rPr>
          <w:rFonts w:ascii="Arial" w:cs="Arial" w:eastAsia="Arial" w:hAnsi="Arial"/>
          <w:sz w:val="18"/>
          <w:szCs w:val="18"/>
          <w:u w:val="single" w:color="auto"/>
          <w:color w:val="0000FF"/>
        </w:rPr>
      </w:pPr>
    </w:p>
    <w:p>
      <w:pPr>
        <w:ind w:left="960" w:hanging="710"/>
        <w:spacing w:after="0" w:line="264" w:lineRule="auto"/>
        <w:tabs>
          <w:tab w:leader="none" w:pos="940" w:val="left"/>
        </w:tabs>
        <w:rPr>
          <w:rFonts w:ascii="Arial" w:cs="Arial" w:eastAsia="Arial" w:hAnsi="Arial"/>
          <w:sz w:val="18"/>
          <w:szCs w:val="18"/>
          <w:u w:val="single" w:color="auto"/>
          <w:color w:val="0000FF"/>
        </w:rPr>
      </w:pPr>
      <w:hyperlink r:id="rId56">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56">
        <w:r>
          <w:rPr>
            <w:rFonts w:ascii="Arial" w:cs="Arial" w:eastAsia="Arial" w:hAnsi="Arial"/>
            <w:sz w:val="18"/>
            <w:szCs w:val="18"/>
            <w:u w:val="single" w:color="auto"/>
            <w:color w:val="0000FF"/>
          </w:rPr>
          <w:t>Amendment No. 1 to Credit Agreement, dated as of September 24, 2018, by and</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among VICI Properties 1 LLC, as the borrower, Goldman Sachs Bank USA, as</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administrative agent, and the other parties thereto</w:t>
        </w:r>
      </w:hyperlink>
    </w:p>
    <w:p>
      <w:pPr>
        <w:spacing w:after="0" w:line="141" w:lineRule="exact"/>
        <w:rPr>
          <w:rFonts w:ascii="Arial" w:cs="Arial" w:eastAsia="Arial" w:hAnsi="Arial"/>
          <w:sz w:val="18"/>
          <w:szCs w:val="18"/>
          <w:u w:val="single" w:color="auto"/>
          <w:color w:val="0000FF"/>
        </w:rPr>
      </w:pPr>
    </w:p>
    <w:p>
      <w:pPr>
        <w:ind w:left="220"/>
        <w:spacing w:after="0"/>
        <w:tabs>
          <w:tab w:leader="none" w:pos="940" w:val="left"/>
        </w:tabs>
        <w:rPr>
          <w:rFonts w:ascii="Arial" w:cs="Arial" w:eastAsia="Arial" w:hAnsi="Arial"/>
          <w:sz w:val="16"/>
          <w:szCs w:val="16"/>
          <w:u w:val="single" w:color="auto"/>
          <w:color w:val="0000FF"/>
        </w:rPr>
      </w:pPr>
      <w:hyperlink r:id="rId57">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57">
        <w:r>
          <w:rPr>
            <w:rFonts w:ascii="Arial" w:cs="Arial" w:eastAsia="Arial" w:hAnsi="Arial"/>
            <w:sz w:val="16"/>
            <w:szCs w:val="16"/>
            <w:u w:val="single" w:color="auto"/>
            <w:color w:val="0000FF"/>
          </w:rPr>
          <w:t>Form of LTIP Performance-Based Restricted Stock Unit Grant Agreement</w:t>
        </w:r>
      </w:hyperlink>
    </w:p>
    <w:p>
      <w:pPr>
        <w:spacing w:after="0" w:line="185" w:lineRule="exact"/>
        <w:rPr>
          <w:sz w:val="20"/>
          <w:szCs w:val="20"/>
          <w:color w:val="auto"/>
        </w:rPr>
      </w:pPr>
    </w:p>
    <w:p>
      <w:pPr>
        <w:ind w:left="220"/>
        <w:spacing w:after="0"/>
        <w:tabs>
          <w:tab w:leader="none" w:pos="940" w:val="left"/>
        </w:tabs>
        <w:rPr>
          <w:rFonts w:ascii="Arial" w:cs="Arial" w:eastAsia="Arial" w:hAnsi="Arial"/>
          <w:sz w:val="16"/>
          <w:szCs w:val="16"/>
          <w:u w:val="single" w:color="auto"/>
          <w:color w:val="0000FF"/>
        </w:rPr>
      </w:pPr>
      <w:hyperlink r:id="rId58">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58">
        <w:r>
          <w:rPr>
            <w:rFonts w:ascii="Arial" w:cs="Arial" w:eastAsia="Arial" w:hAnsi="Arial"/>
            <w:sz w:val="16"/>
            <w:szCs w:val="16"/>
            <w:u w:val="single" w:color="auto"/>
            <w:color w:val="0000FF"/>
          </w:rPr>
          <w:t>Form of LTIP Performance-Based Stock Unit Grant Agreement</w:t>
        </w:r>
      </w:hyperlink>
    </w:p>
    <w:p>
      <w:pPr>
        <w:spacing w:after="0" w:line="185" w:lineRule="exact"/>
        <w:rPr>
          <w:sz w:val="20"/>
          <w:szCs w:val="20"/>
          <w:color w:val="auto"/>
        </w:rPr>
      </w:pPr>
    </w:p>
    <w:p>
      <w:pPr>
        <w:ind w:left="960" w:right="440" w:hanging="710"/>
        <w:spacing w:after="0" w:line="277" w:lineRule="auto"/>
        <w:tabs>
          <w:tab w:leader="none" w:pos="940" w:val="left"/>
        </w:tabs>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44">
        <w:r>
          <w:rPr>
            <w:rFonts w:ascii="Arial" w:cs="Arial" w:eastAsia="Arial" w:hAnsi="Arial"/>
            <w:sz w:val="18"/>
            <w:szCs w:val="18"/>
            <w:u w:val="single" w:color="auto"/>
            <w:color w:val="0000FF"/>
          </w:rPr>
          <w:t>Certification of Principal Executive Officer Pursuant to Section 302 of the</w:t>
        </w:r>
      </w:hyperlink>
      <w:r>
        <w:rPr>
          <w:rFonts w:ascii="Arial" w:cs="Arial" w:eastAsia="Arial" w:hAnsi="Arial"/>
          <w:sz w:val="18"/>
          <w:szCs w:val="18"/>
          <w:u w:val="single" w:color="auto"/>
          <w:color w:val="0000FF"/>
        </w:rPr>
        <w:t xml:space="preserve"> </w:t>
      </w:r>
      <w:hyperlink w:anchor="page44">
        <w:r>
          <w:rPr>
            <w:rFonts w:ascii="Arial" w:cs="Arial" w:eastAsia="Arial" w:hAnsi="Arial"/>
            <w:sz w:val="18"/>
            <w:szCs w:val="18"/>
            <w:u w:val="single" w:color="auto"/>
            <w:color w:val="0000FF"/>
          </w:rPr>
          <w:t>Sarbanes-Oxley Act of 2002.</w:t>
        </w:r>
      </w:hyperlink>
    </w:p>
    <w:p>
      <w:pPr>
        <w:spacing w:after="0" w:line="130" w:lineRule="exact"/>
        <w:rPr>
          <w:rFonts w:ascii="Arial" w:cs="Arial" w:eastAsia="Arial" w:hAnsi="Arial"/>
          <w:sz w:val="18"/>
          <w:szCs w:val="18"/>
          <w:u w:val="single" w:color="auto"/>
          <w:color w:val="0000FF"/>
        </w:rPr>
      </w:pPr>
    </w:p>
    <w:p>
      <w:pPr>
        <w:ind w:left="960" w:right="500" w:hanging="710"/>
        <w:spacing w:after="0" w:line="277" w:lineRule="auto"/>
        <w:tabs>
          <w:tab w:leader="none" w:pos="940" w:val="left"/>
        </w:tabs>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45">
        <w:r>
          <w:rPr>
            <w:rFonts w:ascii="Arial" w:cs="Arial" w:eastAsia="Arial" w:hAnsi="Arial"/>
            <w:sz w:val="18"/>
            <w:szCs w:val="18"/>
            <w:u w:val="single" w:color="auto"/>
            <w:color w:val="0000FF"/>
          </w:rPr>
          <w:t>Certification of Principal Financial Officer Pursuant to Section 302 of the</w:t>
        </w:r>
      </w:hyperlink>
      <w:r>
        <w:rPr>
          <w:rFonts w:ascii="Arial" w:cs="Arial" w:eastAsia="Arial" w:hAnsi="Arial"/>
          <w:sz w:val="18"/>
          <w:szCs w:val="18"/>
          <w:u w:val="single" w:color="auto"/>
          <w:color w:val="0000FF"/>
        </w:rPr>
        <w:t xml:space="preserve"> </w:t>
      </w:r>
      <w:hyperlink w:anchor="page45">
        <w:r>
          <w:rPr>
            <w:rFonts w:ascii="Arial" w:cs="Arial" w:eastAsia="Arial" w:hAnsi="Arial"/>
            <w:sz w:val="18"/>
            <w:szCs w:val="18"/>
            <w:u w:val="single" w:color="auto"/>
            <w:color w:val="0000FF"/>
          </w:rPr>
          <w:t>Sarbanes-Oxley Act of 2002.</w:t>
        </w:r>
      </w:hyperlink>
    </w:p>
    <w:p>
      <w:pPr>
        <w:spacing w:after="0" w:line="130" w:lineRule="exact"/>
        <w:rPr>
          <w:rFonts w:ascii="Arial" w:cs="Arial" w:eastAsia="Arial" w:hAnsi="Arial"/>
          <w:sz w:val="18"/>
          <w:szCs w:val="18"/>
          <w:u w:val="single" w:color="auto"/>
          <w:color w:val="0000FF"/>
        </w:rPr>
      </w:pPr>
    </w:p>
    <w:p>
      <w:pPr>
        <w:ind w:left="960" w:right="440" w:hanging="710"/>
        <w:spacing w:after="0" w:line="277" w:lineRule="auto"/>
        <w:tabs>
          <w:tab w:leader="none" w:pos="940" w:val="left"/>
        </w:tabs>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46">
        <w:r>
          <w:rPr>
            <w:rFonts w:ascii="Arial" w:cs="Arial" w:eastAsia="Arial" w:hAnsi="Arial"/>
            <w:sz w:val="18"/>
            <w:szCs w:val="18"/>
            <w:u w:val="single" w:color="auto"/>
            <w:color w:val="0000FF"/>
          </w:rPr>
          <w:t>Certification of Principal Executive Officer Pursuant to Section 906 of the</w:t>
        </w:r>
      </w:hyperlink>
      <w:r>
        <w:rPr>
          <w:rFonts w:ascii="Arial" w:cs="Arial" w:eastAsia="Arial" w:hAnsi="Arial"/>
          <w:sz w:val="18"/>
          <w:szCs w:val="18"/>
          <w:u w:val="single" w:color="auto"/>
          <w:color w:val="0000FF"/>
        </w:rPr>
        <w:t xml:space="preserve"> </w:t>
      </w:r>
      <w:hyperlink w:anchor="page46">
        <w:r>
          <w:rPr>
            <w:rFonts w:ascii="Arial" w:cs="Arial" w:eastAsia="Arial" w:hAnsi="Arial"/>
            <w:sz w:val="18"/>
            <w:szCs w:val="18"/>
            <w:u w:val="single" w:color="auto"/>
            <w:color w:val="0000FF"/>
          </w:rPr>
          <w:t>Sarbanes-Oxley Act of 2002.</w:t>
        </w:r>
      </w:hyperlink>
    </w:p>
    <w:p>
      <w:pPr>
        <w:spacing w:after="0" w:line="130" w:lineRule="exact"/>
        <w:rPr>
          <w:rFonts w:ascii="Arial" w:cs="Arial" w:eastAsia="Arial" w:hAnsi="Arial"/>
          <w:sz w:val="18"/>
          <w:szCs w:val="18"/>
          <w:u w:val="single" w:color="auto"/>
          <w:color w:val="0000FF"/>
        </w:rPr>
      </w:pPr>
    </w:p>
    <w:p>
      <w:pPr>
        <w:ind w:left="960" w:right="500" w:hanging="710"/>
        <w:spacing w:after="0" w:line="277" w:lineRule="auto"/>
        <w:tabs>
          <w:tab w:leader="none" w:pos="940" w:val="left"/>
        </w:tabs>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47">
        <w:r>
          <w:rPr>
            <w:rFonts w:ascii="Arial" w:cs="Arial" w:eastAsia="Arial" w:hAnsi="Arial"/>
            <w:sz w:val="18"/>
            <w:szCs w:val="18"/>
            <w:u w:val="single" w:color="auto"/>
            <w:color w:val="0000FF"/>
          </w:rPr>
          <w:t>Certification of Principal Financial Officer Pursuant to Section 906 of the</w:t>
        </w:r>
      </w:hyperlink>
      <w:r>
        <w:rPr>
          <w:rFonts w:ascii="Arial" w:cs="Arial" w:eastAsia="Arial" w:hAnsi="Arial"/>
          <w:sz w:val="18"/>
          <w:szCs w:val="18"/>
          <w:u w:val="single" w:color="auto"/>
          <w:color w:val="0000FF"/>
        </w:rPr>
        <w:t xml:space="preserve"> </w:t>
      </w:r>
      <w:hyperlink w:anchor="page47">
        <w:r>
          <w:rPr>
            <w:rFonts w:ascii="Arial" w:cs="Arial" w:eastAsia="Arial" w:hAnsi="Arial"/>
            <w:sz w:val="18"/>
            <w:szCs w:val="18"/>
            <w:u w:val="single" w:color="auto"/>
            <w:color w:val="0000FF"/>
          </w:rPr>
          <w:t>Sarbanes-Oxley Act of 2002.</w:t>
        </w:r>
      </w:hyperlink>
    </w:p>
    <w:p>
      <w:pPr>
        <w:spacing w:after="0" w:line="130" w:lineRule="exact"/>
        <w:rPr>
          <w:rFonts w:ascii="Arial" w:cs="Arial" w:eastAsia="Arial" w:hAnsi="Arial"/>
          <w:sz w:val="18"/>
          <w:szCs w:val="18"/>
          <w:u w:val="single" w:color="auto"/>
          <w:color w:val="0000FF"/>
        </w:rPr>
      </w:pPr>
    </w:p>
    <w:p>
      <w:pPr>
        <w:ind w:left="960" w:right="340" w:hanging="825"/>
        <w:spacing w:after="0" w:line="264" w:lineRule="auto"/>
        <w:tabs>
          <w:tab w:leader="none" w:pos="940" w:val="left"/>
        </w:tabs>
        <w:rPr>
          <w:sz w:val="20"/>
          <w:szCs w:val="20"/>
          <w:color w:val="auto"/>
        </w:rPr>
      </w:pPr>
      <w:r>
        <w:rPr>
          <w:rFonts w:ascii="Arial" w:cs="Arial" w:eastAsia="Arial" w:hAnsi="Arial"/>
          <w:sz w:val="16"/>
          <w:szCs w:val="16"/>
          <w:color w:val="auto"/>
        </w:rPr>
        <w:t>101.INS</w:t>
      </w:r>
      <w:r>
        <w:rPr>
          <w:sz w:val="20"/>
          <w:szCs w:val="20"/>
          <w:color w:val="auto"/>
        </w:rPr>
        <w:tab/>
      </w: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141" w:lineRule="exact"/>
        <w:rPr>
          <w:rFonts w:ascii="Arial" w:cs="Arial" w:eastAsia="Arial" w:hAnsi="Arial"/>
          <w:sz w:val="18"/>
          <w:szCs w:val="18"/>
          <w:u w:val="single" w:color="auto"/>
          <w:color w:val="0000FF"/>
        </w:rPr>
      </w:pPr>
    </w:p>
    <w:p>
      <w:pPr>
        <w:ind w:left="120"/>
        <w:spacing w:after="0"/>
        <w:tabs>
          <w:tab w:leader="none" w:pos="940" w:val="left"/>
        </w:tabs>
        <w:rPr>
          <w:sz w:val="20"/>
          <w:szCs w:val="20"/>
          <w:color w:val="auto"/>
        </w:rPr>
      </w:pPr>
      <w:r>
        <w:rPr>
          <w:rFonts w:ascii="Arial" w:cs="Arial" w:eastAsia="Arial" w:hAnsi="Arial"/>
          <w:sz w:val="16"/>
          <w:szCs w:val="16"/>
          <w:color w:val="auto"/>
        </w:rPr>
        <w:t>101.SCH</w:t>
      </w:r>
      <w:r>
        <w:rPr>
          <w:sz w:val="20"/>
          <w:szCs w:val="20"/>
          <w:color w:val="auto"/>
        </w:rPr>
        <w:tab/>
      </w:r>
      <w:r>
        <w:rPr>
          <w:rFonts w:ascii="Arial" w:cs="Arial" w:eastAsia="Arial" w:hAnsi="Arial"/>
          <w:sz w:val="16"/>
          <w:szCs w:val="16"/>
          <w:color w:val="auto"/>
        </w:rPr>
        <w:t>XBRL Taxonomy Extension Schema Document</w:t>
      </w:r>
    </w:p>
    <w:p>
      <w:pPr>
        <w:spacing w:after="0" w:line="208" w:lineRule="exact"/>
        <w:rPr>
          <w:rFonts w:ascii="Arial" w:cs="Arial" w:eastAsia="Arial" w:hAnsi="Arial"/>
          <w:sz w:val="18"/>
          <w:szCs w:val="18"/>
          <w:u w:val="single" w:color="auto"/>
          <w:color w:val="0000FF"/>
        </w:rPr>
      </w:pPr>
    </w:p>
    <w:p>
      <w:pPr>
        <w:ind w:left="100"/>
        <w:spacing w:after="0"/>
        <w:tabs>
          <w:tab w:leader="none" w:pos="940" w:val="left"/>
        </w:tabs>
        <w:rPr>
          <w:sz w:val="20"/>
          <w:szCs w:val="20"/>
          <w:color w:val="auto"/>
        </w:rPr>
      </w:pPr>
      <w:r>
        <w:rPr>
          <w:rFonts w:ascii="Arial" w:cs="Arial" w:eastAsia="Arial" w:hAnsi="Arial"/>
          <w:sz w:val="16"/>
          <w:szCs w:val="16"/>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208" w:lineRule="exact"/>
        <w:rPr>
          <w:rFonts w:ascii="Arial" w:cs="Arial" w:eastAsia="Arial" w:hAnsi="Arial"/>
          <w:sz w:val="18"/>
          <w:szCs w:val="18"/>
          <w:u w:val="single" w:color="auto"/>
          <w:color w:val="0000FF"/>
        </w:rPr>
      </w:pPr>
    </w:p>
    <w:p>
      <w:pPr>
        <w:ind w:left="120"/>
        <w:spacing w:after="0"/>
        <w:tabs>
          <w:tab w:leader="none" w:pos="940" w:val="left"/>
        </w:tabs>
        <w:rPr>
          <w:sz w:val="20"/>
          <w:szCs w:val="20"/>
          <w:color w:val="auto"/>
        </w:rPr>
      </w:pPr>
      <w:r>
        <w:rPr>
          <w:rFonts w:ascii="Arial" w:cs="Arial" w:eastAsia="Arial" w:hAnsi="Arial"/>
          <w:sz w:val="16"/>
          <w:szCs w:val="16"/>
          <w:color w:val="auto"/>
        </w:rPr>
        <w:t>101.DEF</w:t>
      </w:r>
      <w:r>
        <w:rPr>
          <w:sz w:val="20"/>
          <w:szCs w:val="20"/>
          <w:color w:val="auto"/>
        </w:rPr>
        <w:tab/>
      </w:r>
      <w:r>
        <w:rPr>
          <w:rFonts w:ascii="Arial" w:cs="Arial" w:eastAsia="Arial" w:hAnsi="Arial"/>
          <w:sz w:val="16"/>
          <w:szCs w:val="16"/>
          <w:color w:val="auto"/>
        </w:rPr>
        <w:t>XBRL Taxonomy Extension Definition Linkbase Document</w:t>
      </w:r>
    </w:p>
    <w:p>
      <w:pPr>
        <w:spacing w:after="0" w:line="208" w:lineRule="exact"/>
        <w:rPr>
          <w:rFonts w:ascii="Arial" w:cs="Arial" w:eastAsia="Arial" w:hAnsi="Arial"/>
          <w:sz w:val="18"/>
          <w:szCs w:val="18"/>
          <w:u w:val="single" w:color="auto"/>
          <w:color w:val="0000FF"/>
        </w:rPr>
      </w:pPr>
    </w:p>
    <w:p>
      <w:pPr>
        <w:ind w:left="100"/>
        <w:spacing w:after="0"/>
        <w:tabs>
          <w:tab w:leader="none" w:pos="940" w:val="left"/>
        </w:tabs>
        <w:rPr>
          <w:sz w:val="20"/>
          <w:szCs w:val="20"/>
          <w:color w:val="auto"/>
        </w:rPr>
      </w:pPr>
      <w:r>
        <w:rPr>
          <w:rFonts w:ascii="Arial" w:cs="Arial" w:eastAsia="Arial" w:hAnsi="Arial"/>
          <w:sz w:val="16"/>
          <w:szCs w:val="16"/>
          <w:color w:val="auto"/>
        </w:rPr>
        <w:t>101.LAB</w:t>
      </w:r>
      <w:r>
        <w:rPr>
          <w:sz w:val="20"/>
          <w:szCs w:val="20"/>
          <w:color w:val="auto"/>
        </w:rPr>
        <w:tab/>
      </w:r>
      <w:r>
        <w:rPr>
          <w:rFonts w:ascii="Arial" w:cs="Arial" w:eastAsia="Arial" w:hAnsi="Arial"/>
          <w:sz w:val="16"/>
          <w:szCs w:val="16"/>
          <w:color w:val="auto"/>
        </w:rPr>
        <w:t>XBRL Taxonomy Extension Label Linkbase Document</w:t>
      </w:r>
    </w:p>
    <w:p>
      <w:pPr>
        <w:spacing w:after="0" w:line="208" w:lineRule="exact"/>
        <w:rPr>
          <w:rFonts w:ascii="Arial" w:cs="Arial" w:eastAsia="Arial" w:hAnsi="Arial"/>
          <w:sz w:val="18"/>
          <w:szCs w:val="18"/>
          <w:u w:val="single" w:color="auto"/>
          <w:color w:val="0000FF"/>
        </w:rPr>
      </w:pPr>
    </w:p>
    <w:p>
      <w:pPr>
        <w:ind w:left="120"/>
        <w:spacing w:after="0"/>
        <w:tabs>
          <w:tab w:leader="none" w:pos="940"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88"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20" w:type="dxa"/>
        <w:tblCellMar>
          <w:top w:w="0" w:type="dxa"/>
          <w:left w:w="0" w:type="dxa"/>
          <w:bottom w:w="0" w:type="dxa"/>
          <w:right w:w="0" w:type="dxa"/>
        </w:tblCellMar>
      </w:tblPr>
      <w:tr>
        <w:trPr>
          <w:trHeight w:val="230"/>
        </w:trPr>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140" w:type="dxa"/>
            <w:vAlign w:val="bottom"/>
          </w:tcPr>
          <w:p>
            <w:pPr>
              <w:ind w:left="460"/>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87"/>
              </w:rPr>
              <w:t>2.1</w:t>
            </w:r>
          </w:p>
        </w:tc>
        <w:tc>
          <w:tcPr>
            <w:tcW w:w="1060" w:type="dxa"/>
            <w:vAlign w:val="bottom"/>
          </w:tcPr>
          <w:p>
            <w:pPr>
              <w:jc w:val="right"/>
              <w:spacing w:after="0"/>
              <w:rPr>
                <w:sz w:val="20"/>
                <w:szCs w:val="20"/>
                <w:color w:val="auto"/>
              </w:rPr>
            </w:pPr>
            <w:r>
              <w:rPr>
                <w:rFonts w:ascii="Arial" w:cs="Arial" w:eastAsia="Arial" w:hAnsi="Arial"/>
                <w:sz w:val="18"/>
                <w:szCs w:val="18"/>
                <w:color w:val="auto"/>
              </w:rPr>
              <w:t>7/12/2018</w:t>
            </w:r>
          </w:p>
        </w:tc>
      </w:tr>
      <w:tr>
        <w:trPr>
          <w:trHeight w:val="608"/>
        </w:trPr>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140" w:type="dxa"/>
            <w:vAlign w:val="bottom"/>
          </w:tcPr>
          <w:p>
            <w:pPr>
              <w:ind w:left="460"/>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87"/>
              </w:rPr>
              <w:t>2.2</w:t>
            </w:r>
          </w:p>
        </w:tc>
        <w:tc>
          <w:tcPr>
            <w:tcW w:w="1060" w:type="dxa"/>
            <w:vAlign w:val="bottom"/>
          </w:tcPr>
          <w:p>
            <w:pPr>
              <w:jc w:val="right"/>
              <w:spacing w:after="0"/>
              <w:rPr>
                <w:sz w:val="20"/>
                <w:szCs w:val="20"/>
                <w:color w:val="auto"/>
              </w:rPr>
            </w:pPr>
            <w:r>
              <w:rPr>
                <w:rFonts w:ascii="Arial" w:cs="Arial" w:eastAsia="Arial" w:hAnsi="Arial"/>
                <w:sz w:val="18"/>
                <w:szCs w:val="18"/>
                <w:color w:val="auto"/>
              </w:rPr>
              <w:t>7/12/2018</w:t>
            </w:r>
          </w:p>
        </w:tc>
      </w:tr>
      <w:tr>
        <w:trPr>
          <w:trHeight w:val="716"/>
        </w:trPr>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140" w:type="dxa"/>
            <w:vAlign w:val="bottom"/>
          </w:tcPr>
          <w:p>
            <w:pPr>
              <w:ind w:left="460"/>
              <w:spacing w:after="0"/>
              <w:rPr>
                <w:sz w:val="20"/>
                <w:szCs w:val="20"/>
                <w:color w:val="auto"/>
              </w:rPr>
            </w:pPr>
            <w:r>
              <w:rPr>
                <w:rFonts w:ascii="Arial" w:cs="Arial" w:eastAsia="Arial" w:hAnsi="Arial"/>
                <w:sz w:val="18"/>
                <w:szCs w:val="18"/>
                <w:color w:val="auto"/>
              </w:rPr>
              <w:t>8-K</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87"/>
              </w:rPr>
              <w:t>4.1</w:t>
            </w:r>
          </w:p>
        </w:tc>
        <w:tc>
          <w:tcPr>
            <w:tcW w:w="1060" w:type="dxa"/>
            <w:vAlign w:val="bottom"/>
          </w:tcPr>
          <w:p>
            <w:pPr>
              <w:jc w:val="right"/>
              <w:spacing w:after="0"/>
              <w:rPr>
                <w:sz w:val="20"/>
                <w:szCs w:val="20"/>
                <w:color w:val="auto"/>
              </w:rPr>
            </w:pPr>
            <w:r>
              <w:rPr>
                <w:rFonts w:ascii="Arial" w:cs="Arial" w:eastAsia="Arial" w:hAnsi="Arial"/>
                <w:sz w:val="18"/>
                <w:szCs w:val="18"/>
                <w:color w:val="auto"/>
              </w:rPr>
              <w:t>9/25/2018</w:t>
            </w:r>
          </w:p>
        </w:tc>
      </w:tr>
      <w:tr>
        <w:trPr>
          <w:trHeight w:val="824"/>
        </w:trPr>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140" w:type="dxa"/>
            <w:vAlign w:val="bottom"/>
          </w:tcPr>
          <w:p>
            <w:pPr>
              <w:ind w:left="460"/>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right"/>
              <w:spacing w:after="0"/>
              <w:rPr>
                <w:sz w:val="20"/>
                <w:szCs w:val="20"/>
                <w:color w:val="auto"/>
              </w:rPr>
            </w:pPr>
            <w:r>
              <w:rPr>
                <w:rFonts w:ascii="Arial" w:cs="Arial" w:eastAsia="Arial" w:hAnsi="Arial"/>
                <w:sz w:val="18"/>
                <w:szCs w:val="18"/>
                <w:color w:val="auto"/>
              </w:rPr>
              <w:t>9/25/2018</w:t>
            </w:r>
          </w:p>
        </w:tc>
      </w:tr>
      <w:tr>
        <w:trPr>
          <w:trHeight w:val="608"/>
        </w:trPr>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140" w:type="dxa"/>
            <w:vAlign w:val="bottom"/>
          </w:tcPr>
          <w:p>
            <w:pPr>
              <w:ind w:left="460"/>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right"/>
              <w:spacing w:after="0"/>
              <w:rPr>
                <w:sz w:val="20"/>
                <w:szCs w:val="20"/>
                <w:color w:val="auto"/>
              </w:rPr>
            </w:pPr>
            <w:r>
              <w:rPr>
                <w:rFonts w:ascii="Arial" w:cs="Arial" w:eastAsia="Arial" w:hAnsi="Arial"/>
                <w:sz w:val="18"/>
                <w:szCs w:val="18"/>
                <w:color w:val="auto"/>
              </w:rPr>
              <w:t>8/30/2018</w:t>
            </w:r>
          </w:p>
        </w:tc>
      </w:tr>
      <w:tr>
        <w:trPr>
          <w:trHeight w:val="392"/>
        </w:trPr>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140" w:type="dxa"/>
            <w:vAlign w:val="bottom"/>
          </w:tcPr>
          <w:p>
            <w:pPr>
              <w:ind w:left="460"/>
              <w:spacing w:after="0"/>
              <w:rPr>
                <w:sz w:val="20"/>
                <w:szCs w:val="20"/>
                <w:color w:val="auto"/>
              </w:rPr>
            </w:pPr>
            <w:r>
              <w:rPr>
                <w:rFonts w:ascii="Arial" w:cs="Arial" w:eastAsia="Arial" w:hAnsi="Arial"/>
                <w:sz w:val="18"/>
                <w:szCs w:val="18"/>
                <w:color w:val="auto"/>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right"/>
              <w:spacing w:after="0"/>
              <w:rPr>
                <w:sz w:val="20"/>
                <w:szCs w:val="20"/>
                <w:color w:val="auto"/>
              </w:rPr>
            </w:pPr>
            <w:r>
              <w:rPr>
                <w:rFonts w:ascii="Arial" w:cs="Arial" w:eastAsia="Arial" w:hAnsi="Arial"/>
                <w:sz w:val="18"/>
                <w:szCs w:val="18"/>
                <w:color w:val="auto"/>
              </w:rPr>
              <w:t>8/30/2018</w:t>
            </w:r>
          </w:p>
        </w:tc>
      </w:tr>
    </w:tbl>
    <w:p>
      <w:pPr>
        <w:spacing w:after="0" w:line="26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u w:val="single" w:color="auto"/>
          <w:color w:val="0000FF"/>
        </w:rPr>
      </w:pPr>
    </w:p>
    <w:p>
      <w:pPr>
        <w:spacing w:after="0" w:line="30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144" w:lineRule="exact"/>
        <w:rPr>
          <w:rFonts w:ascii="Arial" w:cs="Arial" w:eastAsia="Arial" w:hAnsi="Arial"/>
          <w:sz w:val="18"/>
          <w:szCs w:val="18"/>
          <w:u w:val="single" w:color="auto"/>
          <w:color w:val="0000FF"/>
        </w:rPr>
      </w:pPr>
    </w:p>
    <w:p>
      <w:pPr>
        <w:sectPr>
          <w:pgSz w:w="11900" w:h="16838" w:orient="portrait"/>
          <w:cols w:equalWidth="0" w:num="2">
            <w:col w:w="6760" w:space="640"/>
            <w:col w:w="4020"/>
          </w:cols>
          <w:pgMar w:left="240" w:top="287" w:right="239" w:bottom="1440" w:gutter="0" w:footer="0" w:header="0"/>
          <w:type w:val="continuous"/>
        </w:sectPr>
      </w:pPr>
    </w:p>
    <w:p>
      <w:pPr>
        <w:ind w:firstLine="8"/>
        <w:spacing w:after="0" w:line="277" w:lineRule="auto"/>
        <w:tabs>
          <w:tab w:leader="none" w:pos="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The Company hereby undertakes to furnish supplemental copies of any of the omitted schedules and exhibits upon request by the U.S. Securities and Exchange Commission.</w:t>
      </w:r>
    </w:p>
    <w:p>
      <w:pPr>
        <w:spacing w:after="0" w:line="62" w:lineRule="exact"/>
        <w:rPr>
          <w:rFonts w:ascii="Arial" w:cs="Arial" w:eastAsia="Arial" w:hAnsi="Arial"/>
          <w:sz w:val="18"/>
          <w:szCs w:val="18"/>
          <w:u w:val="single" w:color="auto"/>
          <w:color w:val="0000FF"/>
        </w:rPr>
      </w:pPr>
    </w:p>
    <w:p>
      <w:pPr>
        <w:ind w:right="6500" w:firstLine="8"/>
        <w:spacing w:after="0" w:line="375" w:lineRule="auto"/>
        <w:tabs>
          <w:tab w:leader="none" w:pos="1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contracts and compensation plans and arrangements. * Furnished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Incorporated by reference.</w:t>
      </w:r>
    </w:p>
    <w:p>
      <w:pPr>
        <w:spacing w:after="0" w:line="200" w:lineRule="exact"/>
        <w:rPr>
          <w:rFonts w:ascii="Arial" w:cs="Arial" w:eastAsia="Arial" w:hAnsi="Arial"/>
          <w:sz w:val="18"/>
          <w:szCs w:val="18"/>
          <w:u w:val="single" w:color="auto"/>
          <w:color w:val="0000FF"/>
        </w:rPr>
      </w:pPr>
    </w:p>
    <w:p>
      <w:pPr>
        <w:spacing w:after="0" w:line="268"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7"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Title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534"/>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EDWARD B. PITONIAK</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November 1,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Edward B. Pitoniak</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w:t>
            </w: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DAVID A. KIESKE</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November 1,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Kieske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November 1,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Gabriel F. Wasserman</w:t>
            </w:r>
          </w:p>
        </w:tc>
        <w:tc>
          <w:tcPr>
            <w:tcW w:w="120" w:type="dxa"/>
            <w:vAlign w:val="bottom"/>
          </w:tcPr>
          <w:p>
            <w:pPr>
              <w:spacing w:after="0"/>
              <w:rPr>
                <w:sz w:val="20"/>
                <w:szCs w:val="20"/>
                <w:color w:val="auto"/>
              </w:rPr>
            </w:pP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2018</w:t>
      </w:r>
    </w:p>
    <w:p>
      <w:pPr>
        <w:spacing w:after="0" w:line="63" w:lineRule="exact"/>
        <w:rPr>
          <w:sz w:val="20"/>
          <w:szCs w:val="20"/>
          <w:color w:val="auto"/>
        </w:rPr>
      </w:pPr>
    </w:p>
    <w:p>
      <w:pPr>
        <w:ind w:left="472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279"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2018</w:t>
      </w:r>
    </w:p>
    <w:p>
      <w:pPr>
        <w:spacing w:after="0" w:line="63" w:lineRule="exact"/>
        <w:rPr>
          <w:sz w:val="20"/>
          <w:szCs w:val="20"/>
          <w:color w:val="auto"/>
        </w:rPr>
      </w:pPr>
    </w:p>
    <w:p>
      <w:pPr>
        <w:ind w:left="47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279"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43" w:lineRule="exact"/>
        <w:rPr>
          <w:sz w:val="20"/>
          <w:szCs w:val="20"/>
          <w:color w:val="auto"/>
        </w:rPr>
      </w:pPr>
    </w:p>
    <w:p>
      <w:pPr>
        <w:ind w:firstLine="413"/>
        <w:spacing w:after="0" w:line="324" w:lineRule="auto"/>
        <w:tabs>
          <w:tab w:leader="none" w:pos="8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2018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880" w:hanging="467"/>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2018</w:t>
      </w:r>
    </w:p>
    <w:p>
      <w:pPr>
        <w:spacing w:after="0" w:line="63" w:lineRule="exact"/>
        <w:rPr>
          <w:sz w:val="20"/>
          <w:szCs w:val="20"/>
          <w:color w:val="auto"/>
        </w:rPr>
      </w:pPr>
    </w:p>
    <w:p>
      <w:pPr>
        <w:ind w:left="472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279"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43" w:lineRule="exact"/>
        <w:rPr>
          <w:sz w:val="20"/>
          <w:szCs w:val="20"/>
          <w:color w:val="auto"/>
        </w:rPr>
      </w:pPr>
    </w:p>
    <w:p>
      <w:pPr>
        <w:ind w:firstLine="413"/>
        <w:spacing w:after="0" w:line="324" w:lineRule="auto"/>
        <w:tabs>
          <w:tab w:leader="none" w:pos="8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2018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880" w:hanging="467"/>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2018</w:t>
      </w:r>
    </w:p>
    <w:p>
      <w:pPr>
        <w:spacing w:after="0" w:line="63" w:lineRule="exact"/>
        <w:rPr>
          <w:sz w:val="20"/>
          <w:szCs w:val="20"/>
          <w:color w:val="auto"/>
        </w:rPr>
      </w:pPr>
    </w:p>
    <w:p>
      <w:pPr>
        <w:ind w:left="47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2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lowerRoman"/>
      <w:start w:val="2"/>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53" Type="http://schemas.openxmlformats.org/officeDocument/2006/relationships/hyperlink" Target="http://www.sec.gov/Archives/edgar/data/1705696/000119312518216456/d477228dex21.htm" TargetMode="External"/><Relationship Id="rId54" Type="http://schemas.openxmlformats.org/officeDocument/2006/relationships/hyperlink" Target="http://www.sec.gov/Archives/edgar/data/1705696/000119312518216456/d477228dex22.htm" TargetMode="External"/><Relationship Id="rId55" Type="http://schemas.openxmlformats.org/officeDocument/2006/relationships/hyperlink" Target="http://www.sec.gov/Archives/edgar/data/1705696/000170569618000057/ex41-supplemental_indenture.htm" TargetMode="External"/><Relationship Id="rId56" Type="http://schemas.openxmlformats.org/officeDocument/2006/relationships/hyperlink" Target="http://www.sec.gov/Archives/edgar/data/1705696/000170569618000057/ex101-amendment_rexlienxre.htm" TargetMode="External"/><Relationship Id="rId57" Type="http://schemas.openxmlformats.org/officeDocument/2006/relationships/hyperlink" Target="http://www.sec.gov/Archives/edgar/data/1705696/000170569618000045/exhibit101restricted_stock.htm" TargetMode="External"/><Relationship Id="rId58" Type="http://schemas.openxmlformats.org/officeDocument/2006/relationships/hyperlink" Target="http://www.sec.gov/Archives/edgar/data/1705696/000170569618000045/exhibit102-viciperforma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2020-01-10T20:14:56Z</dcterms:created>
  <dcterms:modified xsi:type="dcterms:W3CDTF">2020-01-10T20:14:56Z</dcterms:modified>
</cp:coreProperties>
</file>