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w:t>
      </w:r>
    </w:p>
    <w:p>
      <w:pPr>
        <w:spacing w:after="0" w:line="34" w:lineRule="exact"/>
        <w:rPr>
          <w:sz w:val="24"/>
          <w:szCs w:val="24"/>
          <w:color w:val="auto"/>
        </w:rPr>
      </w:pPr>
    </w:p>
    <w:p>
      <w:pPr>
        <w:ind w:left="1600" w:hanging="187"/>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8"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VICI Properties Inc.</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240"/>
          </w:cols>
          <w:pgMar w:left="320" w:top="1057" w:right="339" w:bottom="1440" w:gutter="0" w:footer="0" w:header="0"/>
        </w:sectPr>
      </w:pPr>
    </w:p>
    <w:p>
      <w:pPr>
        <w:spacing w:after="0" w:line="97" w:lineRule="exact"/>
        <w:rPr>
          <w:sz w:val="24"/>
          <w:szCs w:val="24"/>
          <w:color w:val="auto"/>
        </w:rPr>
      </w:pPr>
    </w:p>
    <w:p>
      <w:pPr>
        <w:ind w:left="30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720" w:space="720"/>
            <w:col w:w="3800"/>
          </w:cols>
          <w:pgMar w:left="320" w:top="1057" w:right="339" w:bottom="1440" w:gutter="0" w:footer="0" w:header="0"/>
          <w:type w:val="continuous"/>
        </w:sectPr>
      </w:pPr>
    </w:p>
    <w:p>
      <w:pPr>
        <w:jc w:val="center"/>
        <w:ind w:left="74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38" w:lineRule="exact"/>
        <w:rPr>
          <w:sz w:val="24"/>
          <w:szCs w:val="24"/>
          <w:color w:val="auto"/>
        </w:rPr>
      </w:pPr>
    </w:p>
    <w:p>
      <w:pPr>
        <w:sectPr>
          <w:pgSz w:w="11900" w:h="16838" w:orient="portrait"/>
          <w:cols w:equalWidth="0" w:num="2">
            <w:col w:w="6040" w:space="720"/>
            <w:col w:w="4480"/>
          </w:cols>
          <w:pgMar w:left="320" w:top="1057"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161" w:lineRule="exact"/>
        <w:rPr>
          <w:sz w:val="24"/>
          <w:szCs w:val="24"/>
          <w:color w:val="auto"/>
        </w:rPr>
      </w:pPr>
    </w:p>
    <w:tbl>
      <w:tblPr>
        <w:tblLayout w:type="fixed"/>
        <w:tblInd w:w="100" w:type="dxa"/>
        <w:tblCellMar>
          <w:top w:w="0" w:type="dxa"/>
          <w:left w:w="0" w:type="dxa"/>
          <w:bottom w:w="0" w:type="dxa"/>
          <w:right w:w="0" w:type="dxa"/>
        </w:tblCellMar>
      </w:tblPr>
      <w:tr>
        <w:trPr>
          <w:trHeight w:val="206"/>
        </w:trPr>
        <w:tc>
          <w:tcPr>
            <w:tcW w:w="4240" w:type="dxa"/>
            <w:vAlign w:val="bottom"/>
            <w:gridSpan w:val="2"/>
          </w:tcPr>
          <w:p>
            <w:pPr>
              <w:ind w:left="24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97"/>
        </w:trPr>
        <w:tc>
          <w:tcPr>
            <w:tcW w:w="4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Title of each class</w:t>
            </w:r>
          </w:p>
        </w:tc>
        <w:tc>
          <w:tcPr>
            <w:tcW w:w="29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Trading Symbol</w:t>
            </w: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03"/>
        </w:trPr>
        <w:tc>
          <w:tcPr>
            <w:tcW w:w="424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Common stock, $0.01 par value</w:t>
            </w:r>
          </w:p>
        </w:tc>
        <w:tc>
          <w:tcPr>
            <w:tcW w:w="2900" w:type="dxa"/>
            <w:vAlign w:val="bottom"/>
            <w:gridSpan w:val="2"/>
          </w:tcPr>
          <w:p>
            <w:pPr>
              <w:jc w:val="center"/>
              <w:ind w:right="360"/>
              <w:spacing w:after="0"/>
              <w:rPr>
                <w:sz w:val="20"/>
                <w:szCs w:val="20"/>
                <w:color w:val="auto"/>
              </w:rPr>
            </w:pPr>
            <w:r>
              <w:rPr>
                <w:rFonts w:ascii="Arial" w:cs="Arial" w:eastAsia="Arial" w:hAnsi="Arial"/>
                <w:sz w:val="16"/>
                <w:szCs w:val="16"/>
                <w:color w:val="auto"/>
              </w:rPr>
              <w:t>VICI</w:t>
            </w:r>
          </w:p>
        </w:tc>
        <w:tc>
          <w:tcPr>
            <w:tcW w:w="390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374"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6" w:lineRule="exact"/>
        <w:rPr>
          <w:sz w:val="24"/>
          <w:szCs w:val="24"/>
          <w:color w:val="auto"/>
        </w:rPr>
      </w:pPr>
    </w:p>
    <w:tbl>
      <w:tblPr>
        <w:tblLayout w:type="fixed"/>
        <w:tblInd w:w="21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90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90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160" w:type="dxa"/>
            <w:vAlign w:val="bottom"/>
          </w:tcPr>
          <w:p>
            <w:pPr>
              <w:ind w:left="90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23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2020, the registrant had 468,618,237 shares of its $0.01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MARCH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860" w:type="dxa"/>
            <w:vAlign w:val="bottom"/>
            <w:vMerge w:val="restart"/>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w:t>
              </w:r>
            </w:hyperlink>
          </w:p>
        </w:tc>
        <w:tc>
          <w:tcPr>
            <w:tcW w:w="9800" w:type="dxa"/>
            <w:vAlign w:val="bottom"/>
            <w:vMerge w:val="restart"/>
          </w:tcPr>
          <w:p>
            <w:pPr>
              <w:ind w:left="2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FINANCIAL INFORMATION</w:t>
              </w:r>
            </w:hyperlink>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60" w:type="dxa"/>
            <w:vAlign w:val="bottom"/>
            <w:vMerge w:val="continue"/>
          </w:tcPr>
          <w:p>
            <w:pPr>
              <w:spacing w:after="0"/>
              <w:rPr>
                <w:sz w:val="18"/>
                <w:szCs w:val="18"/>
                <w:color w:val="auto"/>
              </w:rPr>
            </w:pPr>
          </w:p>
        </w:tc>
        <w:tc>
          <w:tcPr>
            <w:tcW w:w="98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800" w:type="dxa"/>
            <w:vAlign w:val="bottom"/>
            <w:shd w:val="clear" w:color="auto" w:fill="CCEEFF"/>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of VICI Properties Inc. (Unaudited)</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tcPr>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 as of March 31, 2020 and December 31,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176"/>
        </w:trPr>
        <w:tc>
          <w:tcPr>
            <w:tcW w:w="860" w:type="dxa"/>
            <w:vAlign w:val="bottom"/>
            <w:shd w:val="clear" w:color="auto" w:fill="CCEEFF"/>
          </w:tcPr>
          <w:p>
            <w:pPr>
              <w:spacing w:after="0"/>
              <w:rPr>
                <w:sz w:val="15"/>
                <w:szCs w:val="15"/>
                <w:color w:val="auto"/>
              </w:rPr>
            </w:pPr>
          </w:p>
        </w:tc>
        <w:tc>
          <w:tcPr>
            <w:tcW w:w="9800" w:type="dxa"/>
            <w:vAlign w:val="bottom"/>
            <w:shd w:val="clear" w:color="auto" w:fill="CCEEFF"/>
          </w:tcPr>
          <w:p>
            <w:pPr>
              <w:ind w:left="420"/>
              <w:spacing w:after="0" w:line="176"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Operations and Comprehensive Income for the Three Months Ended</w:t>
              </w:r>
            </w:hyperlink>
          </w:p>
        </w:tc>
        <w:tc>
          <w:tcPr>
            <w:tcW w:w="580" w:type="dxa"/>
            <w:vAlign w:val="bottom"/>
            <w:vMerge w:val="restart"/>
            <w:shd w:val="clear" w:color="auto" w:fill="CCEEFF"/>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9800" w:type="dxa"/>
            <w:vAlign w:val="bottom"/>
            <w:shd w:val="clear" w:color="auto" w:fill="CCEEFF"/>
          </w:tcPr>
          <w:p>
            <w:pPr>
              <w:ind w:left="4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March 31, 2020 and 2019</w:t>
              </w:r>
            </w:hyperlink>
          </w:p>
        </w:tc>
        <w:tc>
          <w:tcPr>
            <w:tcW w:w="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9800" w:type="dxa"/>
            <w:vAlign w:val="bottom"/>
          </w:tcPr>
          <w:p>
            <w:pPr>
              <w:ind w:left="4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Statements of Stockholders’ Equity for the Three Months Ended March 31, 2020 and 2019</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spacing w:after="0"/>
              <w:rPr>
                <w:sz w:val="19"/>
                <w:szCs w:val="19"/>
                <w:color w:val="auto"/>
              </w:rPr>
            </w:pPr>
          </w:p>
        </w:tc>
        <w:tc>
          <w:tcPr>
            <w:tcW w:w="9800" w:type="dxa"/>
            <w:vAlign w:val="bottom"/>
            <w:shd w:val="clear" w:color="auto" w:fill="CCEEFF"/>
          </w:tcPr>
          <w:p>
            <w:pPr>
              <w:ind w:left="4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Statements of Cash Flows for the Three Months Ended March 31, 2020 and 2019</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6</w:t>
              </w:r>
            </w:hyperlink>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9800" w:type="dxa"/>
            <w:vAlign w:val="bottom"/>
          </w:tcPr>
          <w:p>
            <w:pPr>
              <w:ind w:left="4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58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8</w:t>
              </w:r>
            </w:hyperlink>
          </w:p>
        </w:tc>
        <w:tc>
          <w:tcPr>
            <w:tcW w:w="0" w:type="dxa"/>
            <w:vAlign w:val="bottom"/>
          </w:tcPr>
          <w:p>
            <w:pPr>
              <w:spacing w:after="0"/>
              <w:rPr>
                <w:sz w:val="1"/>
                <w:szCs w:val="1"/>
                <w:color w:val="auto"/>
              </w:rPr>
            </w:pPr>
          </w:p>
        </w:tc>
      </w:tr>
      <w:tr>
        <w:trPr>
          <w:trHeight w:val="230"/>
        </w:trPr>
        <w:tc>
          <w:tcPr>
            <w:tcW w:w="860" w:type="dxa"/>
            <w:vAlign w:val="bottom"/>
            <w:shd w:val="clear" w:color="auto" w:fill="CCEEFF"/>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Item 2.</w:t>
              </w:r>
            </w:hyperlink>
          </w:p>
        </w:tc>
        <w:tc>
          <w:tcPr>
            <w:tcW w:w="9800" w:type="dxa"/>
            <w:vAlign w:val="bottom"/>
            <w:shd w:val="clear" w:color="auto" w:fill="CCEEFF"/>
          </w:tcPr>
          <w:p>
            <w:pPr>
              <w:ind w:left="2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Management’s Discussion and Analysis of Financial Condition and Results of Operations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46</w:t>
              </w:r>
            </w:hyperlink>
          </w:p>
        </w:tc>
        <w:tc>
          <w:tcPr>
            <w:tcW w:w="0" w:type="dxa"/>
            <w:vAlign w:val="bottom"/>
          </w:tcPr>
          <w:p>
            <w:pPr>
              <w:spacing w:after="0"/>
              <w:rPr>
                <w:sz w:val="1"/>
                <w:szCs w:val="1"/>
                <w:color w:val="auto"/>
              </w:rPr>
            </w:pPr>
          </w:p>
        </w:tc>
      </w:tr>
      <w:tr>
        <w:trPr>
          <w:trHeight w:val="229"/>
        </w:trPr>
        <w:tc>
          <w:tcPr>
            <w:tcW w:w="860" w:type="dxa"/>
            <w:vAlign w:val="bottom"/>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w:t>
              </w:r>
            </w:hyperlink>
          </w:p>
        </w:tc>
        <w:tc>
          <w:tcPr>
            <w:tcW w:w="9800" w:type="dxa"/>
            <w:vAlign w:val="bottom"/>
          </w:tcPr>
          <w:p>
            <w:pPr>
              <w:ind w:left="2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Quantitative and Qualitative Disclosures About Market Risk</w:t>
              </w:r>
            </w:hyperlink>
          </w:p>
        </w:tc>
        <w:tc>
          <w:tcPr>
            <w:tcW w:w="580" w:type="dxa"/>
            <w:vAlign w:val="bottom"/>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0" w:type="dxa"/>
            <w:vAlign w:val="bottom"/>
          </w:tcPr>
          <w:p>
            <w:pPr>
              <w:spacing w:after="0"/>
              <w:rPr>
                <w:sz w:val="1"/>
                <w:szCs w:val="1"/>
                <w:color w:val="auto"/>
              </w:rPr>
            </w:pPr>
          </w:p>
        </w:tc>
      </w:tr>
      <w:tr>
        <w:trPr>
          <w:trHeight w:val="229"/>
        </w:trPr>
        <w:tc>
          <w:tcPr>
            <w:tcW w:w="860" w:type="dxa"/>
            <w:vAlign w:val="bottom"/>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4.</w:t>
              </w:r>
            </w:hyperlink>
          </w:p>
        </w:tc>
        <w:tc>
          <w:tcPr>
            <w:tcW w:w="9800" w:type="dxa"/>
            <w:vAlign w:val="bottom"/>
            <w:shd w:val="clear" w:color="auto" w:fill="CCEEFF"/>
          </w:tcPr>
          <w:p>
            <w:pPr>
              <w:ind w:left="2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Controls and Procedures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shd w:val="clear" w:color="auto" w:fill="CCEEFF"/>
          </w:tcPr>
          <w:p>
            <w:pPr>
              <w:ind w:left="20"/>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PART II.</w:t>
              </w:r>
            </w:hyperlink>
          </w:p>
        </w:tc>
        <w:tc>
          <w:tcPr>
            <w:tcW w:w="7180" w:type="dxa"/>
            <w:vAlign w:val="bottom"/>
            <w:shd w:val="clear" w:color="auto" w:fill="CCEEFF"/>
          </w:tcPr>
          <w:p>
            <w:pPr>
              <w:ind w:left="120"/>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OTHER INFORMATION</w:t>
              </w:r>
            </w:hyperlink>
          </w:p>
        </w:tc>
        <w:tc>
          <w:tcPr>
            <w:tcW w:w="3100" w:type="dxa"/>
            <w:vAlign w:val="bottom"/>
            <w:shd w:val="clear" w:color="auto" w:fill="CCEEFF"/>
          </w:tcPr>
          <w:p>
            <w:pPr>
              <w:spacing w:after="0"/>
              <w:rPr>
                <w:sz w:val="19"/>
                <w:szCs w:val="19"/>
                <w:color w:val="auto"/>
              </w:rPr>
            </w:pPr>
          </w:p>
        </w:tc>
      </w:tr>
      <w:tr>
        <w:trPr>
          <w:trHeight w:val="229"/>
        </w:trPr>
        <w:tc>
          <w:tcPr>
            <w:tcW w:w="96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w:t>
              </w:r>
            </w:hyperlink>
          </w:p>
        </w:tc>
        <w:tc>
          <w:tcPr>
            <w:tcW w:w="7180" w:type="dxa"/>
            <w:vAlign w:val="bottom"/>
          </w:tcPr>
          <w:p>
            <w:pPr>
              <w:ind w:left="1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Legal Proceedings</w:t>
              </w:r>
            </w:hyperlink>
          </w:p>
        </w:tc>
        <w:tc>
          <w:tcPr>
            <w:tcW w:w="3100" w:type="dxa"/>
            <w:vAlign w:val="bottom"/>
          </w:tcPr>
          <w:p>
            <w:pPr>
              <w:jc w:val="right"/>
              <w:ind w:right="11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960" w:type="dxa"/>
            <w:vAlign w:val="bottom"/>
            <w:shd w:val="clear" w:color="auto" w:fill="CCEEFF"/>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1A.</w:t>
              </w:r>
            </w:hyperlink>
          </w:p>
        </w:tc>
        <w:tc>
          <w:tcPr>
            <w:tcW w:w="7180" w:type="dxa"/>
            <w:vAlign w:val="bottom"/>
            <w:shd w:val="clear" w:color="auto" w:fill="CCEEFF"/>
          </w:tcPr>
          <w:p>
            <w:pPr>
              <w:ind w:left="1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Risk Factors</w:t>
              </w:r>
            </w:hyperlink>
          </w:p>
        </w:tc>
        <w:tc>
          <w:tcPr>
            <w:tcW w:w="310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r>
        <w:trPr>
          <w:trHeight w:val="230"/>
        </w:trPr>
        <w:tc>
          <w:tcPr>
            <w:tcW w:w="960" w:type="dxa"/>
            <w:vAlign w:val="bottom"/>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2.</w:t>
              </w:r>
            </w:hyperlink>
          </w:p>
        </w:tc>
        <w:tc>
          <w:tcPr>
            <w:tcW w:w="7180" w:type="dxa"/>
            <w:vAlign w:val="bottom"/>
          </w:tcPr>
          <w:p>
            <w:pPr>
              <w:ind w:left="1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Unregistered Sales of Equity Securities and Use of Proceeds</w:t>
              </w:r>
            </w:hyperlink>
          </w:p>
        </w:tc>
        <w:tc>
          <w:tcPr>
            <w:tcW w:w="3100" w:type="dxa"/>
            <w:vAlign w:val="bottom"/>
          </w:tcPr>
          <w:p>
            <w:pPr>
              <w:jc w:val="right"/>
              <w:ind w:right="11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230"/>
        </w:trPr>
        <w:tc>
          <w:tcPr>
            <w:tcW w:w="960" w:type="dxa"/>
            <w:vAlign w:val="bottom"/>
            <w:shd w:val="clear" w:color="auto" w:fill="CCEEFF"/>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3.</w:t>
              </w:r>
            </w:hyperlink>
          </w:p>
        </w:tc>
        <w:tc>
          <w:tcPr>
            <w:tcW w:w="7180" w:type="dxa"/>
            <w:vAlign w:val="bottom"/>
            <w:shd w:val="clear" w:color="auto" w:fill="CCEEFF"/>
          </w:tcPr>
          <w:p>
            <w:pPr>
              <w:ind w:left="1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Defaults Upon Senior Securities</w:t>
              </w:r>
            </w:hyperlink>
          </w:p>
        </w:tc>
        <w:tc>
          <w:tcPr>
            <w:tcW w:w="310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29"/>
        </w:trPr>
        <w:tc>
          <w:tcPr>
            <w:tcW w:w="960" w:type="dxa"/>
            <w:vAlign w:val="bottom"/>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4.</w:t>
              </w:r>
            </w:hyperlink>
          </w:p>
        </w:tc>
        <w:tc>
          <w:tcPr>
            <w:tcW w:w="7180" w:type="dxa"/>
            <w:vAlign w:val="bottom"/>
          </w:tcPr>
          <w:p>
            <w:pPr>
              <w:ind w:left="1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Mine Safety Disclosures</w:t>
              </w:r>
            </w:hyperlink>
          </w:p>
        </w:tc>
        <w:tc>
          <w:tcPr>
            <w:tcW w:w="3100" w:type="dxa"/>
            <w:vAlign w:val="bottom"/>
          </w:tcPr>
          <w:p>
            <w:pPr>
              <w:jc w:val="right"/>
              <w:ind w:right="11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960" w:type="dxa"/>
            <w:vAlign w:val="bottom"/>
            <w:shd w:val="clear" w:color="auto" w:fill="CCEEFF"/>
          </w:tcPr>
          <w:p>
            <w:pPr>
              <w:ind w:left="20"/>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Item 5</w:t>
              </w:r>
            </w:hyperlink>
            <w:r>
              <w:rPr>
                <w:rFonts w:ascii="Arial" w:cs="Arial" w:eastAsia="Arial" w:hAnsi="Arial"/>
                <w:sz w:val="18"/>
                <w:szCs w:val="18"/>
                <w:color w:val="000000"/>
              </w:rPr>
              <w:t>.</w:t>
            </w:r>
          </w:p>
        </w:tc>
        <w:tc>
          <w:tcPr>
            <w:tcW w:w="7180" w:type="dxa"/>
            <w:vAlign w:val="bottom"/>
            <w:shd w:val="clear" w:color="auto" w:fill="CCEEFF"/>
          </w:tcPr>
          <w:p>
            <w:pPr>
              <w:ind w:left="1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Other Information</w:t>
              </w:r>
            </w:hyperlink>
          </w:p>
        </w:tc>
        <w:tc>
          <w:tcPr>
            <w:tcW w:w="3100" w:type="dxa"/>
            <w:vAlign w:val="bottom"/>
            <w:shd w:val="clear" w:color="auto" w:fill="CCEEFF"/>
          </w:tcPr>
          <w:p>
            <w:pPr>
              <w:jc w:val="right"/>
              <w:ind w:right="11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960" w:type="dxa"/>
            <w:vAlign w:val="bottom"/>
          </w:tcPr>
          <w:p>
            <w:pPr>
              <w:ind w:left="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6.</w:t>
              </w:r>
            </w:hyperlink>
          </w:p>
        </w:tc>
        <w:tc>
          <w:tcPr>
            <w:tcW w:w="7180" w:type="dxa"/>
            <w:vAlign w:val="bottom"/>
          </w:tcPr>
          <w:p>
            <w:pPr>
              <w:ind w:left="12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Exhibits</w:t>
              </w:r>
            </w:hyperlink>
          </w:p>
        </w:tc>
        <w:tc>
          <w:tcPr>
            <w:tcW w:w="3100" w:type="dxa"/>
            <w:vAlign w:val="bottom"/>
          </w:tcPr>
          <w:p>
            <w:pPr>
              <w:jc w:val="right"/>
              <w:ind w:right="11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70"/>
        </w:trPr>
        <w:tc>
          <w:tcPr>
            <w:tcW w:w="960" w:type="dxa"/>
            <w:vAlign w:val="bottom"/>
            <w:shd w:val="clear" w:color="auto" w:fill="CCEEFF"/>
          </w:tcPr>
          <w:p>
            <w:pPr>
              <w:spacing w:after="0"/>
              <w:rPr>
                <w:sz w:val="23"/>
                <w:szCs w:val="23"/>
                <w:color w:val="auto"/>
              </w:rPr>
            </w:pPr>
          </w:p>
        </w:tc>
        <w:tc>
          <w:tcPr>
            <w:tcW w:w="7180" w:type="dxa"/>
            <w:vAlign w:val="bottom"/>
            <w:shd w:val="clear" w:color="auto" w:fill="CCEEFF"/>
          </w:tcPr>
          <w:p>
            <w:pPr>
              <w:spacing w:after="0"/>
              <w:rPr>
                <w:sz w:val="23"/>
                <w:szCs w:val="23"/>
                <w:color w:val="auto"/>
              </w:rPr>
            </w:pPr>
          </w:p>
        </w:tc>
        <w:tc>
          <w:tcPr>
            <w:tcW w:w="3100" w:type="dxa"/>
            <w:vAlign w:val="bottom"/>
            <w:shd w:val="clear" w:color="auto" w:fill="CCEEFF"/>
          </w:tcPr>
          <w:p>
            <w:pPr>
              <w:spacing w:after="0"/>
              <w:rPr>
                <w:sz w:val="23"/>
                <w:szCs w:val="23"/>
                <w:color w:val="auto"/>
              </w:rPr>
            </w:pPr>
          </w:p>
        </w:tc>
      </w:tr>
      <w:tr>
        <w:trPr>
          <w:trHeight w:val="234"/>
        </w:trPr>
        <w:tc>
          <w:tcPr>
            <w:tcW w:w="960" w:type="dxa"/>
            <w:vAlign w:val="bottom"/>
          </w:tcPr>
          <w:p>
            <w:pPr>
              <w:ind w:left="20"/>
              <w:spacing w:after="0"/>
              <w:rPr>
                <w:rFonts w:ascii="Arial" w:cs="Arial" w:eastAsia="Arial" w:hAnsi="Arial"/>
                <w:sz w:val="18"/>
                <w:szCs w:val="18"/>
                <w:b w:val="1"/>
                <w:bCs w:val="1"/>
                <w:u w:val="single" w:color="auto"/>
                <w:color w:val="0000FF"/>
                <w:w w:val="98"/>
              </w:rPr>
            </w:pPr>
            <w:hyperlink w:anchor="page71">
              <w:r>
                <w:rPr>
                  <w:rFonts w:ascii="Arial" w:cs="Arial" w:eastAsia="Arial" w:hAnsi="Arial"/>
                  <w:sz w:val="18"/>
                  <w:szCs w:val="18"/>
                  <w:b w:val="1"/>
                  <w:bCs w:val="1"/>
                  <w:u w:val="single" w:color="auto"/>
                  <w:color w:val="0000FF"/>
                  <w:w w:val="98"/>
                </w:rPr>
                <w:t>Signatures</w:t>
              </w:r>
            </w:hyperlink>
          </w:p>
        </w:tc>
        <w:tc>
          <w:tcPr>
            <w:tcW w:w="7180" w:type="dxa"/>
            <w:vAlign w:val="bottom"/>
          </w:tcPr>
          <w:p>
            <w:pPr>
              <w:spacing w:after="0"/>
              <w:rPr>
                <w:sz w:val="20"/>
                <w:szCs w:val="20"/>
                <w:color w:val="auto"/>
              </w:rPr>
            </w:pPr>
          </w:p>
        </w:tc>
        <w:tc>
          <w:tcPr>
            <w:tcW w:w="3100" w:type="dxa"/>
            <w:vAlign w:val="bottom"/>
          </w:tcPr>
          <w:p>
            <w:pPr>
              <w:jc w:val="right"/>
              <w:ind w:right="11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jc w:val="center"/>
        <w:ind w:right="-19"/>
        <w:spacing w:after="0"/>
        <w:rPr>
          <w:sz w:val="20"/>
          <w:szCs w:val="20"/>
          <w:color w:val="auto"/>
        </w:rPr>
      </w:pPr>
      <w:r>
        <w:rPr>
          <w:rFonts w:ascii="Arial" w:cs="Arial" w:eastAsia="Arial" w:hAnsi="Arial"/>
          <w:sz w:val="20"/>
          <w:szCs w:val="20"/>
          <w:b w:val="1"/>
          <w:bCs w:val="1"/>
          <w:color w:val="auto"/>
        </w:rPr>
        <w:t>(UNAUDITED)</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2019</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Investments in leases - direct financing and sales-type,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10,330,728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10,734,245</w:t>
            </w:r>
          </w:p>
        </w:tc>
        <w:tc>
          <w:tcPr>
            <w:tcW w:w="0" w:type="dxa"/>
            <w:vAlign w:val="bottom"/>
          </w:tcPr>
          <w:p>
            <w:pPr>
              <w:spacing w:after="0"/>
              <w:rPr>
                <w:sz w:val="1"/>
                <w:szCs w:val="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Investments in leases - operating</w:t>
            </w: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1,086,658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Investments in leases - financing receivables,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794,055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Investments in loans, net</w:t>
            </w: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48,470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94,711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94,711</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369,052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2,002,032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59,474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181,507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188,638</w:t>
            </w:r>
          </w:p>
        </w:tc>
        <w:tc>
          <w:tcPr>
            <w:tcW w:w="0" w:type="dxa"/>
            <w:vAlign w:val="bottom"/>
          </w:tcPr>
          <w:p>
            <w:pPr>
              <w:spacing w:after="0"/>
              <w:rPr>
                <w:sz w:val="1"/>
                <w:szCs w:val="1"/>
                <w:color w:val="auto"/>
              </w:rPr>
            </w:pPr>
          </w:p>
        </w:tc>
      </w:tr>
      <w:tr>
        <w:trPr>
          <w:trHeight w:val="263"/>
        </w:trPr>
        <w:tc>
          <w:tcPr>
            <w:tcW w:w="6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14,907,213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Debt,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6,754,485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Deferred financing liability</w:t>
            </w: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73,600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70,340</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300" w:type="dxa"/>
            <w:vAlign w:val="bottom"/>
          </w:tcPr>
          <w:p>
            <w:pPr>
              <w:spacing w:after="0"/>
              <w:rPr>
                <w:sz w:val="21"/>
                <w:szCs w:val="21"/>
                <w:color w:val="auto"/>
              </w:rPr>
            </w:pP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139,304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137,056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164,155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123,918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7,183,182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5,216,630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Commitments and contingent liabilities (Note 11)</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Common stock, $0.01 par value, 700,000,000 shares authorized and 468,616,540 and</w:t>
            </w: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461,004,742 shares issued and outstanding at March 31, 2020 and December 31, 2019,</w:t>
            </w:r>
          </w:p>
        </w:tc>
        <w:tc>
          <w:tcPr>
            <w:tcW w:w="30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4,686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80" w:type="dxa"/>
            <w:vAlign w:val="bottom"/>
          </w:tcPr>
          <w:p>
            <w:pPr>
              <w:ind w:left="220"/>
              <w:spacing w:after="0" w:line="176" w:lineRule="exact"/>
              <w:rPr>
                <w:sz w:val="20"/>
                <w:szCs w:val="20"/>
                <w:color w:val="auto"/>
              </w:rPr>
            </w:pPr>
            <w:r>
              <w:rPr>
                <w:rFonts w:ascii="Arial" w:cs="Arial" w:eastAsia="Arial" w:hAnsi="Arial"/>
                <w:sz w:val="18"/>
                <w:szCs w:val="18"/>
                <w:color w:val="auto"/>
                <w:w w:val="90"/>
              </w:rPr>
              <w:t>Preferred stock, $0.01 par value, 50,000,000 shares authorized and no shares outstanding at</w:t>
            </w:r>
          </w:p>
        </w:tc>
        <w:tc>
          <w:tcPr>
            <w:tcW w:w="300" w:type="dxa"/>
            <w:vAlign w:val="bottom"/>
          </w:tcPr>
          <w:p>
            <w:pPr>
              <w:spacing w:after="0"/>
              <w:rPr>
                <w:sz w:val="15"/>
                <w:szCs w:val="15"/>
                <w:color w:val="auto"/>
              </w:rPr>
            </w:pPr>
          </w:p>
        </w:tc>
        <w:tc>
          <w:tcPr>
            <w:tcW w:w="18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8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March 31, 2020 and December 31, 2019</w:t>
            </w:r>
          </w:p>
        </w:tc>
        <w:tc>
          <w:tcPr>
            <w:tcW w:w="30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8,018,568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7,817,582</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(118,216)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(65,078)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(deficit) earnings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208,069</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8"/>
                <w:szCs w:val="18"/>
                <w:color w:val="auto"/>
              </w:rPr>
              <w:t>Total VICI stockholders’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7,642,568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7,965,183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81,463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83,806</w:t>
            </w:r>
          </w:p>
        </w:tc>
        <w:tc>
          <w:tcPr>
            <w:tcW w:w="0" w:type="dxa"/>
            <w:vAlign w:val="bottom"/>
          </w:tcPr>
          <w:p>
            <w:pPr>
              <w:spacing w:after="0"/>
              <w:rPr>
                <w:sz w:val="1"/>
                <w:szCs w:val="1"/>
                <w:color w:val="auto"/>
              </w:rPr>
            </w:pPr>
          </w:p>
        </w:tc>
      </w:tr>
      <w:tr>
        <w:trPr>
          <w:trHeight w:val="236"/>
        </w:trPr>
        <w:tc>
          <w:tcPr>
            <w:tcW w:w="698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7,724,031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8,048,989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14,907,213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13,265,619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March 31, 2020 our Investments in leases - direct financing and sales-type, Investments in leases - financing receivables and Investments in loans are net of $400.4 million, $56.6 million and $1.9 million of Allowance for credit losses, respectively. The credit loss standard does not require retrospective application and as such there is no corresponding allowance as of December 31, 2019. Refer to </w:t>
      </w:r>
      <w:hyperlink w:anchor="page28">
        <w:r>
          <w:rPr>
            <w:rFonts w:ascii="Arial" w:cs="Arial" w:eastAsia="Arial" w:hAnsi="Arial"/>
            <w:sz w:val="14"/>
            <w:szCs w:val="14"/>
            <w:i w:val="1"/>
            <w:iCs w:val="1"/>
            <w:u w:val="single" w:color="auto"/>
            <w:color w:val="0000FF"/>
          </w:rPr>
          <w:t>Note 6 -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gridSpan w:val="4"/>
          </w:tcPr>
          <w:p>
            <w:pPr>
              <w:jc w:val="right"/>
              <w:ind w:right="91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0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7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7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770"/>
              <w:spacing w:after="0"/>
              <w:rPr>
                <w:sz w:val="20"/>
                <w:szCs w:val="20"/>
                <w:color w:val="auto"/>
              </w:rPr>
            </w:pPr>
            <w:r>
              <w:rPr>
                <w:rFonts w:ascii="Arial" w:cs="Arial" w:eastAsia="Arial" w:hAnsi="Arial"/>
                <w:sz w:val="16"/>
                <w:szCs w:val="16"/>
                <w:b w:val="1"/>
                <w:bCs w:val="1"/>
                <w:color w:val="auto"/>
              </w:rPr>
              <w:t>2019</w:t>
            </w:r>
          </w:p>
        </w:tc>
      </w:tr>
      <w:tr>
        <w:trPr>
          <w:trHeight w:val="33"/>
        </w:trPr>
        <w:tc>
          <w:tcPr>
            <w:tcW w:w="7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Income from direct financing and sales-type leases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224,252</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195,750</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10,913</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Tenant reimbursements and other income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operations</w:t>
            </w:r>
          </w:p>
        </w:tc>
        <w:tc>
          <w:tcPr>
            <w:tcW w:w="5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7,339</w:t>
            </w:r>
          </w:p>
        </w:tc>
      </w:tr>
      <w:tr>
        <w:trPr>
          <w:trHeight w:val="264"/>
        </w:trPr>
        <w:tc>
          <w:tcPr>
            <w:tcW w:w="7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Revenues</w:t>
            </w: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255,001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214,002</w:t>
            </w:r>
          </w:p>
        </w:tc>
      </w:tr>
      <w:tr>
        <w:trPr>
          <w:trHeight w:val="250"/>
        </w:trPr>
        <w:tc>
          <w:tcPr>
            <w:tcW w:w="70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6,225</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Tenant reimbursements and other expenses</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Golf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4,092</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149,508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889</w:t>
            </w:r>
          </w:p>
        </w:tc>
      </w:tr>
      <w:tr>
        <w:trPr>
          <w:trHeight w:val="237"/>
        </w:trPr>
        <w:tc>
          <w:tcPr>
            <w:tcW w:w="70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166,980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12,136</w:t>
            </w:r>
          </w:p>
        </w:tc>
      </w:tr>
      <w:tr>
        <w:trPr>
          <w:trHeight w:val="27"/>
        </w:trPr>
        <w:tc>
          <w:tcPr>
            <w:tcW w:w="7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88,021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201,866</w:t>
            </w:r>
          </w:p>
        </w:tc>
      </w:tr>
      <w:tr>
        <w:trPr>
          <w:trHeight w:val="270"/>
        </w:trPr>
        <w:tc>
          <w:tcPr>
            <w:tcW w:w="7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(53,586)</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5,167</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from extinguishment of debt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(21,611)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153,447</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(22,065)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152,926</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(2,077)</w:t>
            </w:r>
          </w:p>
        </w:tc>
      </w:tr>
      <w:tr>
        <w:trPr>
          <w:trHeight w:val="263"/>
        </w:trPr>
        <w:tc>
          <w:tcPr>
            <w:tcW w:w="702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(24,012)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150,849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(loss) income per common share</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0.37</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6"/>
        </w:trPr>
        <w:tc>
          <w:tcPr>
            <w:tcW w:w="70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Weighted average number of shares of common stock outstanding</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465,177,425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405,733,656</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465,177,425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406,035,025</w:t>
            </w: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0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150,849</w:t>
            </w:r>
          </w:p>
        </w:tc>
      </w:tr>
      <w:tr>
        <w:trPr>
          <w:trHeight w:val="243"/>
        </w:trPr>
        <w:tc>
          <w:tcPr>
            <w:tcW w:w="7020" w:type="dxa"/>
            <w:vAlign w:val="bottom"/>
          </w:tcPr>
          <w:p>
            <w:pPr>
              <w:ind w:left="220"/>
              <w:spacing w:after="0"/>
              <w:rPr>
                <w:sz w:val="20"/>
                <w:szCs w:val="20"/>
                <w:color w:val="auto"/>
              </w:rPr>
            </w:pPr>
            <w:r>
              <w:rPr>
                <w:rFonts w:ascii="Arial" w:cs="Arial" w:eastAsia="Arial" w:hAnsi="Arial"/>
                <w:sz w:val="18"/>
                <w:szCs w:val="18"/>
                <w:color w:val="auto"/>
              </w:rPr>
              <w:t>Unrealized loss on cash flow hedges</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(53,138)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(17,191)</w:t>
            </w:r>
          </w:p>
        </w:tc>
      </w:tr>
      <w:tr>
        <w:trPr>
          <w:trHeight w:val="27"/>
        </w:trPr>
        <w:tc>
          <w:tcPr>
            <w:tcW w:w="7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 attributable to common stockholders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(77,150)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133,658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Additional Paid-</w:t>
            </w: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 VICI</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10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(Deficit)</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 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Interest</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6,648,430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187,096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6,817,449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83,573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150,849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150,849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152,926</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128,203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128,265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128,265</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Dividends declared ($0.2875 per common</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9"/>
              </w:rPr>
              <w:t>(118,154)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(118,154)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(118,154)</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1,050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22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4,110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6,777,683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(39,315)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219,791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6,962,269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83,619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7,045,888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7,817,582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(65,078)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208,069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7,965,183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83,806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Cumulative effect of adoption of ASC 326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(307,114)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(307,114)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24"/>
        </w:trPr>
        <w:tc>
          <w:tcPr>
            <w:tcW w:w="29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(24,012)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(24,012)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(22,065)</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199,802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199,877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199,877</w:t>
            </w: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w:t>
            </w:r>
          </w:p>
        </w:tc>
        <w:tc>
          <w:tcPr>
            <w:tcW w:w="1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9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Dividends declared ($0.2975 per common</w:t>
            </w:r>
          </w:p>
        </w:tc>
        <w:tc>
          <w:tcPr>
            <w:tcW w:w="12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99"/>
              </w:rPr>
              <w:t>(139,413)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(139,413)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(139,413)</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w:t>
            </w:r>
          </w:p>
        </w:tc>
        <w:tc>
          <w:tcPr>
            <w:tcW w:w="12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6"/>
                <w:szCs w:val="16"/>
                <w:color w:val="auto"/>
                <w:w w:val="91"/>
              </w:rPr>
              <w:t>Stock-based compensation, net of forfeitures</w:t>
            </w:r>
          </w:p>
        </w:tc>
        <w:tc>
          <w:tcPr>
            <w:tcW w:w="120" w:type="dxa"/>
            <w:vAlign w:val="bottom"/>
          </w:tcPr>
          <w:p>
            <w:pPr>
              <w:spacing w:after="0"/>
              <w:rPr>
                <w:sz w:val="19"/>
                <w:szCs w:val="19"/>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loss on cash flow hedges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(53,138)</w:t>
            </w:r>
          </w:p>
        </w:tc>
        <w:tc>
          <w:tcPr>
            <w:tcW w:w="0" w:type="dxa"/>
            <w:vAlign w:val="bottom"/>
          </w:tcPr>
          <w:p>
            <w:pPr>
              <w:spacing w:after="0"/>
              <w:rPr>
                <w:sz w:val="1"/>
                <w:szCs w:val="1"/>
                <w:color w:val="auto"/>
              </w:rPr>
            </w:pPr>
          </w:p>
        </w:tc>
      </w:tr>
      <w:tr>
        <w:trPr>
          <w:trHeight w:val="247"/>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8,018,568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(118,216)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(262,470)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7,642,568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81,463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7,724,031</w:t>
            </w: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gridSpan w:val="4"/>
          </w:tcPr>
          <w:p>
            <w:pPr>
              <w:jc w:val="right"/>
              <w:ind w:right="85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ind w:right="7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jc w:val="right"/>
              <w:ind w:right="750"/>
              <w:spacing w:after="0"/>
              <w:rPr>
                <w:sz w:val="20"/>
                <w:szCs w:val="20"/>
                <w:color w:val="auto"/>
              </w:rPr>
            </w:pPr>
            <w:r>
              <w:rPr>
                <w:rFonts w:ascii="Arial" w:cs="Arial" w:eastAsia="Arial" w:hAnsi="Arial"/>
                <w:sz w:val="16"/>
                <w:szCs w:val="16"/>
                <w:b w:val="1"/>
                <w:bCs w:val="1"/>
                <w:color w:val="auto"/>
              </w:rPr>
              <w:t>2019</w:t>
            </w:r>
          </w:p>
        </w:tc>
      </w:tr>
      <w:tr>
        <w:trPr>
          <w:trHeight w:val="33"/>
        </w:trPr>
        <w:tc>
          <w:tcPr>
            <w:tcW w:w="7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(22,065)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152,926</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(loss) income to cash flows provided by operating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20"/>
              <w:spacing w:after="0"/>
              <w:rPr>
                <w:sz w:val="20"/>
                <w:szCs w:val="20"/>
                <w:color w:val="auto"/>
              </w:rPr>
            </w:pPr>
            <w:r>
              <w:rPr>
                <w:rFonts w:ascii="Arial" w:cs="Arial" w:eastAsia="Arial" w:hAnsi="Arial"/>
                <w:sz w:val="18"/>
                <w:szCs w:val="18"/>
                <w:color w:val="auto"/>
              </w:rPr>
              <w:t>Non-cash leasing and financing adjustments</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1,051</w:t>
            </w:r>
          </w:p>
        </w:tc>
      </w:tr>
      <w:tr>
        <w:trPr>
          <w:trHeight w:val="243"/>
        </w:trPr>
        <w:tc>
          <w:tcPr>
            <w:tcW w:w="70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930</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 and original issue discount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1,465</w:t>
            </w:r>
          </w:p>
        </w:tc>
      </w:tr>
      <w:tr>
        <w:trPr>
          <w:trHeight w:val="243"/>
        </w:trPr>
        <w:tc>
          <w:tcPr>
            <w:tcW w:w="7080" w:type="dxa"/>
            <w:vAlign w:val="bottom"/>
          </w:tcPr>
          <w:p>
            <w:pPr>
              <w:ind w:left="420"/>
              <w:spacing w:after="0"/>
              <w:rPr>
                <w:sz w:val="20"/>
                <w:szCs w:val="20"/>
                <w:color w:val="auto"/>
              </w:rPr>
            </w:pPr>
            <w:r>
              <w:rPr>
                <w:rFonts w:ascii="Arial" w:cs="Arial" w:eastAsia="Arial" w:hAnsi="Arial"/>
                <w:sz w:val="18"/>
                <w:szCs w:val="18"/>
                <w:color w:val="auto"/>
              </w:rPr>
              <w:t>Change in allowance for credit losses</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149,508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43"/>
        </w:trPr>
        <w:tc>
          <w:tcPr>
            <w:tcW w:w="7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31,009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10,518</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(43,250)</w:t>
            </w:r>
          </w:p>
        </w:tc>
      </w:tr>
      <w:tr>
        <w:trPr>
          <w:trHeight w:val="243"/>
        </w:trPr>
        <w:tc>
          <w:tcPr>
            <w:tcW w:w="708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(2,271)</w:t>
            </w:r>
          </w:p>
        </w:tc>
      </w:tr>
      <w:tr>
        <w:trPr>
          <w:trHeight w:val="27"/>
        </w:trPr>
        <w:tc>
          <w:tcPr>
            <w:tcW w:w="7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137,446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115,642</w:t>
            </w:r>
          </w:p>
        </w:tc>
      </w:tr>
      <w:tr>
        <w:trPr>
          <w:trHeight w:val="250"/>
        </w:trPr>
        <w:tc>
          <w:tcPr>
            <w:tcW w:w="70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Investments in leases - financing receivables</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(847,035)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 in loans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Investments in leases - direct financing and sales-type</w:t>
            </w:r>
          </w:p>
        </w:tc>
        <w:tc>
          <w:tcPr>
            <w:tcW w:w="46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(264,527)</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Principal repayments of lease financing receivables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Capitalized transaction costs</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 in short-term investments</w:t>
            </w: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(24,783)</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188,782</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sale of land</w:t>
            </w: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Acquisition of property and equipment</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
        </w:trPr>
        <w:tc>
          <w:tcPr>
            <w:tcW w:w="7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(839,579)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(101,160)</w:t>
            </w:r>
          </w:p>
        </w:tc>
      </w:tr>
      <w:tr>
        <w:trPr>
          <w:trHeight w:val="250"/>
        </w:trPr>
        <w:tc>
          <w:tcPr>
            <w:tcW w:w="708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Proceeds from offering of common stock, net</w:t>
            </w:r>
          </w:p>
        </w:tc>
        <w:tc>
          <w:tcPr>
            <w:tcW w:w="460" w:type="dxa"/>
            <w:vAlign w:val="bottom"/>
          </w:tcPr>
          <w:p>
            <w:pPr>
              <w:spacing w:after="0"/>
              <w:rPr>
                <w:sz w:val="21"/>
                <w:szCs w:val="21"/>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199,877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128,085</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February 2020 Senior Unsecured Notes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Redemption of Second Lien Notes</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(537,538)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Repurchase of stock for tax withholding</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(51,675)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46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(137,133)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(116,341)</w:t>
            </w:r>
          </w:p>
        </w:tc>
      </w:tr>
      <w:tr>
        <w:trPr>
          <w:trHeight w:val="27"/>
        </w:trPr>
        <w:tc>
          <w:tcPr>
            <w:tcW w:w="7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1,971,324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9,713</w:t>
            </w:r>
          </w:p>
        </w:tc>
      </w:tr>
      <w:tr>
        <w:trPr>
          <w:trHeight w:val="20"/>
        </w:trPr>
        <w:tc>
          <w:tcPr>
            <w:tcW w:w="70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 (Continued)</w:t>
      </w:r>
    </w:p>
    <w:p>
      <w:pPr>
        <w:ind w:left="4960"/>
        <w:spacing w:after="0"/>
        <w:rPr>
          <w:sz w:val="20"/>
          <w:szCs w:val="20"/>
          <w:color w:val="auto"/>
        </w:rPr>
      </w:pPr>
      <w:r>
        <w:rPr>
          <w:rFonts w:ascii="Arial" w:cs="Arial" w:eastAsia="Arial" w:hAnsi="Arial"/>
          <w:sz w:val="20"/>
          <w:szCs w:val="20"/>
          <w:b w:val="1"/>
          <w:bCs w:val="1"/>
          <w:color w:val="auto"/>
        </w:rPr>
        <w:t>(UNAUDITED)</w:t>
      </w:r>
    </w:p>
    <w:p>
      <w:pPr>
        <w:ind w:left="502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1,269,191</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24,195</w:t>
            </w:r>
          </w:p>
        </w:tc>
      </w:tr>
      <w:tr>
        <w:trPr>
          <w:trHeight w:val="243"/>
        </w:trPr>
        <w:tc>
          <w:tcPr>
            <w:tcW w:w="70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2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598,447</w:t>
            </w:r>
          </w:p>
        </w:tc>
      </w:tr>
      <w:tr>
        <w:trPr>
          <w:trHeight w:val="27"/>
        </w:trPr>
        <w:tc>
          <w:tcPr>
            <w:tcW w:w="7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2,371,084</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622,642</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5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38,784</w:t>
            </w:r>
          </w:p>
        </w:tc>
        <w:tc>
          <w:tcPr>
            <w:tcW w:w="100" w:type="dxa"/>
            <w:vAlign w:val="bottom"/>
          </w:tcPr>
          <w:p>
            <w:pPr>
              <w:spacing w:after="0"/>
              <w:rPr>
                <w:sz w:val="21"/>
                <w:szCs w:val="21"/>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41,601</w:t>
            </w:r>
          </w:p>
        </w:tc>
      </w:tr>
      <w:tr>
        <w:trPr>
          <w:trHeight w:val="27"/>
        </w:trPr>
        <w:tc>
          <w:tcPr>
            <w:tcW w:w="7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w:t>
            </w:r>
          </w:p>
        </w:tc>
      </w:tr>
      <w:tr>
        <w:trPr>
          <w:trHeight w:val="243"/>
        </w:trPr>
        <w:tc>
          <w:tcPr>
            <w:tcW w:w="7080" w:type="dxa"/>
            <w:vAlign w:val="bottom"/>
          </w:tcPr>
          <w:p>
            <w:pPr>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6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Dividends declared, not paid</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139,413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118,154</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Deferred transaction costs payable</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as the context requires,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as the context requires, its subsidiaries. CEOC is a subsidiary of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will be combined with the HLV Lease Agreement into a single Las Vegas master lease upon the closing of the pending Eldorado/Caesars Merger.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refers to Eldorado Resorts, Inc., a Nevada corporation, and, as the context requires, its subsidiaries.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New Orleans, Harrah’s Atlantic City and Harrah’s Laughlin properties, modifications to the Caesars Lease Agreements, and rights of first refusal.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“Eldorado/Caesars Merger” refers to the merger contemplated under an Agreement and Plan of Merger pursuant to which a subsidiary of Eldorado will merge with and into Caesars, with Caesars surviving as a wholly owned subsidiary of Eldorado.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as the context requires, its subsidiary and affiliate entities.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“Hard Rock Cincinnati” refers to the casino-entitled land and real estate and related assets associated with the Hard Rock Cincinnati Casino, located in Cincinnati, Ohio, which we purchased on September 20, 2019 (and previously referred to in certain prior filings as JACK Cincinnati).</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 which will be combined with the CPLV Lease Agreement into a single Las Vegas master lease upon the closing of the Eldorado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“Lease Agreements” refer collectively to the Caesars Lease Agreements, the Penn National Lease Agreements, the Hard Rock Cincinnati Lease Agreement, the Century Portfolio Lease Agreement and the JACK Cleveland/Thistledown Lease Agreement, unless the context otherwise requires.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Transaction Agreement” or “MTA” refers to the master transaction agreement with Eldorado relating to the Eldorado Transaction.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regional properties leased to Caesars other than the facilities in Joliet, Illinois,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Our national, geographically diverse portfolio consists of 28 market-leading properties, including Caesars Palace Las Vegas and Harrah’s Las Vegas. As of March 31, 2020, our properties are leased to, and our tenants are, subsidiaries of Caesars, Penn National, Hard Rock, Century Casinos and JACK Entertainment. We also own and operate four championship golf courses located near certain of our properties.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11, 2020, the World Health Organization declared the outbreak of a novel strain of coronavirus (“COVID-19”) a pandemic, and on March 13, 2020, the United States declared a national emergency. Among the broader public health, societal and global impact, the COVID-19 pandemic resulted in state governments and/or regulatory authorities issuing various directives, mandates, orders or similar actions, resulting in the closure of substantially all of our tenants’ operations at our properties. The full extent to which the COVID-19 pandemic ultimately impacts us and our tenants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on our tenants, including the length of time our tenants’ operations at our properties remain closed and our tenants’ financial performance during the closure and following reopening. We will continue to closely monitor the impact of the COVID-19 pandemic on us, our tenants and our pending transactions. All of our tenants made their April 2020 rent payments in full.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and Exchange Commission (“SEC”). The consolidated financial statements, including the notes thereto, are unaudited and exclude some of the disclosures and information normally required in audited financial statements.</w:t>
      </w:r>
    </w:p>
    <w:p>
      <w:pPr>
        <w:spacing w:after="0" w:line="11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w:t>
      </w:r>
      <w:hyperlink r:id="rId18">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as updated from time to time in our other filings with the SEC.</w:t>
      </w:r>
    </w:p>
    <w:p>
      <w:pPr>
        <w:spacing w:after="0" w:line="130"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2020 are not necessarily indicative of the results that may be expected for the year ending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restricted cash was solely related to funds held in escrow from the February 2020 Senior Unsecured Notes offering to be used to consummate the Eldorado Transaction. As of March 31, 2019, restricted cash was primarily comprised of funds paid by us into a restricted account for a lender required furniture, fixtures and equipment (“FF&amp;E”) replacement reserve for the CPLV CMBS Debt.</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2020</w:t>
            </w:r>
          </w:p>
        </w:tc>
        <w:tc>
          <w:tcPr>
            <w:tcW w:w="240" w:type="dxa"/>
            <w:vAlign w:val="bottom"/>
          </w:tcPr>
          <w:p>
            <w:pPr>
              <w:spacing w:after="0"/>
              <w:rPr>
                <w:sz w:val="17"/>
                <w:szCs w:val="17"/>
                <w:color w:val="auto"/>
              </w:rPr>
            </w:pPr>
          </w:p>
        </w:tc>
        <w:tc>
          <w:tcPr>
            <w:tcW w:w="1480" w:type="dxa"/>
            <w:vAlign w:val="bottom"/>
          </w:tcPr>
          <w:p>
            <w:pPr>
              <w:jc w:val="right"/>
              <w:ind w:right="273"/>
              <w:spacing w:after="0"/>
              <w:rPr>
                <w:sz w:val="20"/>
                <w:szCs w:val="20"/>
                <w:color w:val="auto"/>
              </w:rPr>
            </w:pPr>
            <w:r>
              <w:rPr>
                <w:rFonts w:ascii="Arial" w:cs="Arial" w:eastAsia="Arial" w:hAnsi="Arial"/>
                <w:sz w:val="15"/>
                <w:szCs w:val="15"/>
                <w:b w:val="1"/>
                <w:bCs w:val="1"/>
                <w:color w:val="auto"/>
              </w:rPr>
              <w:t>March 31, 2019</w:t>
            </w:r>
          </w:p>
        </w:tc>
      </w:tr>
      <w:tr>
        <w:trPr>
          <w:trHeight w:val="48"/>
        </w:trPr>
        <w:tc>
          <w:tcPr>
            <w:tcW w:w="2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44"/>
        </w:trPr>
        <w:tc>
          <w:tcPr>
            <w:tcW w:w="7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369,052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598,276</w:t>
            </w:r>
          </w:p>
        </w:tc>
      </w:tr>
      <w:tr>
        <w:trPr>
          <w:trHeight w:val="243"/>
        </w:trPr>
        <w:tc>
          <w:tcPr>
            <w:tcW w:w="7660" w:type="dxa"/>
            <w:vAlign w:val="bottom"/>
            <w:gridSpan w:val="3"/>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2,002,032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24,366</w:t>
            </w: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2,371,084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622,642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sale securities. The related income is recognized as interest income in our Statement of Operations. We had $59.5 million of short-term investments as of December 31, 2019. We did not have any short-term investments as of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Direct Financing and Sales-Type,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adoption of ASC 842 on January 1, 2019,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Caesars Lease Agreements continue to be accounted for as direct financing leases and are included within Investments in leases - direct financing and sales-type, net on the Balance Sheet, with the exception of the land component of Caesars Palace Las Vegas which was determined to be an operating lease and is included in Investments in leases - operating on the Balance Sheet. The income recognition for our direct financing leases recognized under ASC 840 is consistent with the income recognition for our sales-type lease under ASC 842.</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that the land and building components of the Margaritaville Lease Agreement, the Greektown Lease Agreement, the Hard Rock Cincinnati Lease Agreement and the Century Portfolio Lease Agreement meet the definition of a sales-type 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leases determined to be sales-type leases, we further assess to determine whether the transaction is considered a sale leaseback transaction. If we determine that the lease meets the definition for a sale leaseback transaction, the lease is considered a lease financing receivable and is accounted for in accordance with ASC 310 “Receivables” (“ASC 310”). The accounting for a lease as an investment in leases - financing receivable under ASC 310 is materially consistent with the accounting for our investments in leases - direct financing and sales-type under ASC 842. We determined that the land and building components of the JACK Cleveland/Thistledown Lease Agreement meets the definition of a sales-type lease and further meets the definition for a sale leaseback transaction. As such, the JACK Cleveland/Thistledown Lease Agreement is accounted for in accordance with ASC 310 and presented as Investments in leases - financing receivables on our Balance Sheet, net of allowance for credit losses.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Investments in loans, representing our investment in the ROV Loan (as further defined in </w:t>
      </w:r>
      <w:hyperlink w:anchor="page15">
        <w:r>
          <w:rPr>
            <w:rFonts w:ascii="Arial" w:cs="Arial" w:eastAsia="Arial" w:hAnsi="Arial"/>
            <w:sz w:val="18"/>
            <w:szCs w:val="18"/>
            <w:u w:val="single" w:color="auto"/>
            <w:color w:val="0000FF"/>
          </w:rPr>
          <w:t>Note 4 - Property Transactions</w:t>
        </w:r>
      </w:hyperlink>
      <w:r>
        <w:rPr>
          <w:rFonts w:ascii="Arial" w:cs="Arial" w:eastAsia="Arial" w:hAnsi="Arial"/>
          <w:sz w:val="18"/>
          <w:szCs w:val="18"/>
          <w:color w:val="auto"/>
        </w:rPr>
        <w:t>), are held-for-investment and are carried at historical cost, net of unamortized loan origination costs and fees and allowances for credit losses. Income is recognized on an effective interest basis at a constant rate of return over the life of the related loan.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direct financing leases, sales-type leases and lease financing receivables on an effective interest basis at a constant rate of return over the terms of the applicable leases. As a result, the cash payments accounted for under direct financing leases, sales-type leases and lease financing receivables will not equal income from our Lease Agreements. Rather, a portion of the cash rent we receive is recorded as Income from direct financing and sales-type leases or Income from lease financing receivables and loans, as applicable, in our Statement of Operations and a portion is recorded as a change to Investments in leases - direct financing and sales-type, net or Investments in leases - financing receivables, net, as applicable.</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direct costs incurred in connection with entering into investments classified as direct financing or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current quarter, we adopted ASC 326 - “Credit Losses” (“ASC 326”) which requires that we measure and record current expected credit losses (“CECL”) for the majority of our investments, the scope of which includes our investments in leases - direct financing and sales-type, investment in leases - financing receivables and investments in loans.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elected to use a discounted cash flow model to estimate the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cash flows.</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and their parent guarantors. We were unable to use our historical data to estimate losses as we have no loss history to date.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CECL allowance is recorded as a reduction to our net investments in leases - direct financing and sales 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in the Statement of Operations for the relevant period.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Write-offs are deducted from the allowance in the period in which they are deemed uncollectible. Recoveries previously written off are recorded when received. For the three months ended March 31, 2020 there were no write-offs or recoveries.</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28">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investments in operating leases, land and property and equipment used in operations for impairment under ASC 360 -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Tenant reimbursements represent expenses that we incur as lessor that are the responsibility of our tenants pursuant to the applicable Lease Agreements.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These expenses, and the related reimbursement revenue, are recorded on a gross basis in our Statement of Operations as required under GAAP.</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recorded tenant reimbursements as a component of General and administrative expenses on a net basis. In the current period, we have re-classified these amounts to be presented gross in Tenant reimbursements and other income with an offsetting amount in Tenant reimbursement and other expenses within the Statement of Operations. For the three months ended March 31, 2019 such amounts, included net in General and administrative expenses, were $0.7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8">
        <w:r>
          <w:rPr>
            <w:rFonts w:ascii="Arial" w:cs="Arial" w:eastAsia="Arial" w:hAnsi="Arial"/>
            <w:sz w:val="18"/>
            <w:szCs w:val="18"/>
            <w:u w:val="single" w:color="auto"/>
            <w:color w:val="0000FF"/>
          </w:rPr>
          <w:t>Note 10 -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Sheets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loss on our consolidated financial statements.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Caesars is the guarantor of all the lease payment obligations of the tenants under the respective leases of the properties that it leases from us, with the exception of Harrah’s Las Vegas which is guaranteed by a subsidiary of Caesars. Revenue from the Caesars Lease Agreements represented 82% and 97% of our lease revenues for the three months ended March 31, 2020 and 2019, respectively. Additionally, our properties on the Las Vegas Strip generated approximately 29% and 34% of our lease revenue for the three months ended March 31, 2020 and 2019, respectively. Other than having a single tenant from which we derive and will continue to derive most of our revenue and our concentration in the Las Vegas market, we do not believe there are any other significant concentrations of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Accounting Standard Update (“ASU”) No. 2016-13 -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Financial Instruments-Credit Losses (Topic 326) - June 2016 (as amended through February 2020)</w:t>
      </w:r>
      <w:r>
        <w:rPr>
          <w:rFonts w:ascii="Arial" w:cs="Arial" w:eastAsia="Arial" w:hAnsi="Arial"/>
          <w:sz w:val="18"/>
          <w:szCs w:val="18"/>
          <w:i w:val="1"/>
          <w:iCs w:val="1"/>
          <w:color w:val="auto"/>
        </w:rPr>
        <w:t>:</w:t>
      </w:r>
      <w:r>
        <w:rPr>
          <w:rFonts w:ascii="Arial" w:cs="Arial" w:eastAsia="Arial" w:hAnsi="Arial"/>
          <w:sz w:val="18"/>
          <w:szCs w:val="18"/>
          <w:color w:val="auto"/>
        </w:rPr>
        <w:t xml:space="preserve"> This amended guidance changes how entities measure credit losses for most financial assets and certain other instruments, including direct financing and sales-type leases, that are not measured at fair value through net income. The guidance replaces the current “incurred loss” model with an “expected loss” approach, which will generally result in earlier recognition of allowance for credit losses.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guidance, we are required to estimate and record non-cash credit losses related to our investments in leases - direct financing and sales-type, investments in lease - financing receivables and loans and expand our credit quality disclosures. The new standard did not materially impact any of our other financial assets or instruments that we currently have on our balance sheet.</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adopted the guidance on January 1, 2020 using the modified retrospective approach method of adoption. Under this method we recorded a cumulative-effect adjustment to our opening Balance Sheet as a reduction in our Investments in leases - direct financing and sales-type and a corresponding charge to retained (deficit) earnings. Such amount was determined by applying our methodology for estimating allowances for credit losses to our existing investments in leases - direct financing and sales-type as of January 1, 2020, which resulted in a $309.4 million cumulative adjustment, representing a 2.88% credit allowance upon adoption. Periods prior to the adoption date that are presented for comparative purposes are not adjusted.</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time we enter into a new direct financing or sales-type lease, lease financing receivable or loan, we will be required to estimate a credit allowance which will result in a non-cash charge to the Statement of Operations and a corresponding reduction in our net investment in the asset. Finally, each reporting period we are required to update the estimated allowance for any estimated changes in the credit loss, with the resulting change being recorded on the Statement of Operations and a corresponding change in our net investment in the asset.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ASU No. 2020-04 -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Reference Rate Reform (Topic 848) - March 2020</w:t>
      </w:r>
      <w:r>
        <w:rPr>
          <w:rFonts w:ascii="Arial" w:cs="Arial" w:eastAsia="Arial" w:hAnsi="Arial"/>
          <w:sz w:val="17"/>
          <w:szCs w:val="17"/>
          <w:i w:val="1"/>
          <w:iCs w:val="1"/>
          <w:color w:val="auto"/>
        </w:rPr>
        <w:t>:</w:t>
      </w:r>
      <w:r>
        <w:rPr>
          <w:rFonts w:ascii="Arial" w:cs="Arial" w:eastAsia="Arial" w:hAnsi="Arial"/>
          <w:sz w:val="17"/>
          <w:szCs w:val="17"/>
          <w:color w:val="auto"/>
        </w:rPr>
        <w:t xml:space="preserve"> This amended guidance contains practical expedients for reference rate reform related activities that impact debt, leases, derivatives and other contracts. Specifically, the amendment provides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guidance in ASU 2020-04 is optional and may be elected over time as reference rate reform activities occur. We will evaluate the impact of the guidance and may apply the elections as and when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Subsequent to March 31, 2020, on April 24, 2020, we and Caesars entered into definitive agreements to sell the Bally’s Atlantic City Hotel &amp; Casino for $25.0 million to a subsidiary of Twin River Worldwide Holdings, Inc. We are entitled to receive approximately $19.0 million of the proceeds from the sale and Caesars is entitled to approximately $6.0 million of the proceeds. The annual rent payments under the Non-CPLV Lease Agreement will remain unchanged following completion of the disposition. The Bally’s Atlantic City transaction is subject to regulatory approvals and other closing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24, 2020, we completed the previously announced transaction to acquire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LLC (“Rock Ohio Ventures”). Additionally, we made a $50 million loan (the “ROV Loan”) to affiliates of Rock Ohio Ventures secured by, among other things, certain non-gaming real estate assets owned by such affiliates and guaranteed by Rock Ohio Ventures. The ROV Loan bears interest at 9.0% per annum for a period of five years with two one-year extension options. We determined that the land and building components of the JACK Cleveland/Thistledown Acquisition meet the definition of a sales-type lease and further meet the definition of a sale leaseback transaction as defined in ASC 842. Accordingly, we have classified these assets as Investments in leases - financing receivables on our Balance Sheet as a sale leaseback transaction that is accounted for as a lease financing receivable under ASC 310.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2019, we and Caesars entered into a definitive agreement to sell the Harrah’s Reno asset for $50.0 million to a third party. We are entitled to receive 75% of the proceeds of the sale and Caesars is entitled to receive 25% of the proceeds. The annual rent payments under the Non-CPLV Lease Agreement will remain unchanged following completion of the disposition, which remains conditioned upon the closing of the Eldorado/Caesars Merger and customary closing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Century Portfolio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December 6, 2019, we completed the previously announced transaction to acquire the Century Portfolio, comprised of the land and real estate assets of</w:t>
      </w:r>
    </w:p>
    <w:p>
      <w:pPr>
        <w:spacing w:after="0" w:line="46" w:lineRule="exact"/>
        <w:rPr>
          <w:sz w:val="20"/>
          <w:szCs w:val="20"/>
          <w:color w:val="auto"/>
        </w:rPr>
      </w:pPr>
    </w:p>
    <w:p>
      <w:pPr>
        <w:jc w:val="both"/>
        <w:ind w:firstLine="65"/>
        <w:spacing w:after="0" w:line="268" w:lineRule="auto"/>
        <w:tabs>
          <w:tab w:leader="none" w:pos="284" w:val="left"/>
        </w:tabs>
        <w:numPr>
          <w:ilvl w:val="0"/>
          <w:numId w:val="3"/>
        </w:numPr>
        <w:rPr>
          <w:rFonts w:ascii="Arial" w:cs="Arial" w:eastAsia="Arial" w:hAnsi="Arial"/>
          <w:sz w:val="17"/>
          <w:szCs w:val="17"/>
          <w:color w:val="auto"/>
        </w:rPr>
      </w:pPr>
      <w:r>
        <w:rPr>
          <w:rFonts w:ascii="Arial" w:cs="Arial" w:eastAsia="Arial" w:hAnsi="Arial"/>
          <w:sz w:val="17"/>
          <w:szCs w:val="17"/>
          <w:color w:val="auto"/>
        </w:rPr>
        <w:t>Mountaineer Casino, Racetrack &amp; Resort located in New Cumberland, West Virginia, (ii) Lady Luck Casino Caruthersville located in Caruthersville, Missouri and (iii) Isle Casino Cape Girardeau located in Cape Girardeau, Missouri from affiliates of Eldorado, for approximately $277.8 million, and a subsidiary of Century Casinos acquired the operating assets of the Century Portfolio for approximately $107.2 million (together, the “Century Portfolio Acquisition”). Simultaneous with the closing of the Century Portfolio Acquisition, we entered into a master triple-net lease agreement for the Century Portfolio with a subsidiary of Century Casinos. The Century Portfolio Lease Agreement has an aggregate initial total annual rent of $25.0 million and an initial term of 15 years, with four five-year tenant renewal options. The tenants’ obligations under the Century Portfolio Lease Agreement are guaranteed by Century Casinos. We determined that the land and building components of the Century Portfolio Lease Agreement meet the definition of a sales-type lease and have recorded the corresponding asset, including related transaction and acquisition costs, in Investments in leases - direct financing and sales-type on our Balance Sheet.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Hard Rock Cincinnati</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20, 2019, we completed the previously announced transaction to acquire the casino-entitled land and real estate and related assets of Hard Rock Cincinnati, located in Cincinnati, Ohio from affiliates of JACK Entertainment LLC, for approximately $558.3 million, and a subsidiary of Hard Rock acquired the operating assets of the Hard Rock Cincinnati Casino for $186.5 million (together, the “Hard Rock Cincinnati Acquisition”). Simultaneous with the closing of the Hard Rock Cincinnati Acquisition, we entered into a triple-net lease agreement for Hard Rock Cincinnati with a subsidiary of Hard Rock. The Hard Rock Cincinnati Lease Agreement has an initial total annual rent of $42.8 million and an initial term of 15 years, with four five-year tenant renewal options. The tenant’s obligations under the Hard Rock Cincinnati Lease Agreement are guaranteed by Seminole Hard Rock Entertainment, Inc. We determined that the land and building components of the Hard Rock Cincinnati Lease Agreement meet the definition of a sales-type lease and have recorded the corresponding asset, including related acquisition and transaction costs, in Investments in leases - direct financing and sales-type on our Balance Sheet.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24, 2019, we entered into the Master Transaction Agreement with Eldorado relating to the Eldorado Transaction, as described below, which is conditioned upon consummation of the closing of the merger contemplated under an Agreement and Plan of Merger (the “Eldorado/Caesars Merger Agreement”) pursuant to which a subsidiary of Eldorado will merge with and into Caesars, with Caesars surviving as a wholly owned subsidiary of Eldorado. Upon closing of the merger, Eldorado will be renamed Caesars. Any references to Eldorado in the subsequent transaction discussion refer to the combined Eldorado/Caesars subsequent to the closing of the Eldorado/Caesars Merger, as applicable.</w:t>
      </w:r>
    </w:p>
    <w:p>
      <w:pPr>
        <w:spacing w:after="0" w:line="122"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The Eldorado Transaction and the Eldorado/Caesars Merger are both subject to regulatory approvals and customary closing conditions. Eldorado has publicly disclosed that it expects the Eldorado/Caesars Merger to be completed in the first half of 2020. However, we can provide no assurances that the Eldorado/Caesars Merger or the Eldorado Transaction described herein will close in the anticipated timeframe, on the contemplated terms or at all. We intend to fund the Eldorado Transaction with a combination of cash on hand, proceeds from the physical settlement of the Forward Sales Agreements, as described in </w:t>
      </w:r>
      <w:hyperlink w:anchor="page41">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and proceeds held in escrow from our February 2020 Senior Unsecured Notes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40" w:hanging="368"/>
        <w:spacing w:after="0" w:line="269" w:lineRule="auto"/>
        <w:tabs>
          <w:tab w:leader="none" w:pos="73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w:t>
      </w:r>
      <w:r>
        <w:rPr>
          <w:rFonts w:ascii="Arial" w:cs="Arial" w:eastAsia="Arial" w:hAnsi="Arial"/>
          <w:sz w:val="17"/>
          <w:szCs w:val="17"/>
          <w:i w:val="1"/>
          <w:iCs w:val="1"/>
          <w:color w:val="auto"/>
        </w:rPr>
        <w:t xml:space="preserve"> </w:t>
      </w:r>
      <w:r>
        <w:rPr>
          <w:rFonts w:ascii="Arial" w:cs="Arial" w:eastAsia="Arial" w:hAnsi="Arial"/>
          <w:sz w:val="17"/>
          <w:szCs w:val="17"/>
          <w:color w:val="auto"/>
        </w:rPr>
        <w:t>Harrah’s Laughlin and Harrah’s Atlantic City (or, if necessary, certain replacement properties designated in the Master Transaction Agreement) (collectively, the “MTA Properties” and each, an “MTA Property”) for an aggregate purchase price of $1,823.5 million (which reflects a purchase price adjustment of $14.0 million related to Harrah’s New Orleans) (the “MTA Properties Acquisitions” and each, an “MTA Property Acquisition”). Simultaneous with the closing of each MTA Property Acquisition the Non-CPLV Lease Agreement will be amended to include such MTA Property, with (i) initial aggregate total annual rent payable to us and attributable to the MTA Properties of $154.0 million, (ii) so long as the MTA Property Acquisitions are consummated concurrent with the closing of the Eldorado/Caesars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31" w:lineRule="exact"/>
        <w:rPr>
          <w:rFonts w:ascii="Arial" w:cs="Arial" w:eastAsia="Arial" w:hAnsi="Arial"/>
          <w:sz w:val="17"/>
          <w:szCs w:val="17"/>
          <w:color w:val="auto"/>
        </w:rPr>
      </w:pPr>
    </w:p>
    <w:p>
      <w:pPr>
        <w:jc w:val="both"/>
        <w:ind w:left="740"/>
        <w:spacing w:after="0" w:line="269" w:lineRule="auto"/>
        <w:rPr>
          <w:rFonts w:ascii="Arial" w:cs="Arial" w:eastAsia="Arial" w:hAnsi="Arial"/>
          <w:sz w:val="17"/>
          <w:szCs w:val="17"/>
          <w:color w:val="auto"/>
        </w:rPr>
      </w:pPr>
      <w:r>
        <w:rPr>
          <w:rFonts w:ascii="Arial" w:cs="Arial" w:eastAsia="Arial" w:hAnsi="Arial"/>
          <w:sz w:val="17"/>
          <w:szCs w:val="17"/>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for a cash purchase price of $789.5 million (which reflects a purchase price adjustment of $14.0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$599.25 million; and (iii) a Purchase and Sale Agreement (the “Harrah’s Laughlin Purchase Agreement” and, collectively with the Harrah’s New Orleans Purchase Agreement and the Harrah’s Atlantic City Purchase Agreement, the “MTA Property Purchase Agreements” and each, a “MTA Property Purchase Agreement”) pursuant to which we agreed to acquire, and Eldorado agreed to cause to be sold, all of the equity interests in a newly formed entity that will acquire the land and real property improvements associated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with Harrah’s Laughlin Hotel &amp; Casino in Laughlin, Nevada for a cash purchase price of $434.75 million.</w:t>
      </w:r>
    </w:p>
    <w:p>
      <w:pPr>
        <w:spacing w:after="0" w:line="171"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Eldorado/Caesars Merger,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38" w:lineRule="exact"/>
        <w:rPr>
          <w:sz w:val="20"/>
          <w:szCs w:val="20"/>
          <w:color w:val="auto"/>
        </w:rPr>
      </w:pPr>
    </w:p>
    <w:p>
      <w:pPr>
        <w:jc w:val="both"/>
        <w:ind w:left="740" w:hanging="368"/>
        <w:spacing w:after="0" w:line="263" w:lineRule="auto"/>
        <w:tabs>
          <w:tab w:leader="none" w:pos="7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Eldorado of $1,189.9 million, we and Eldorado will amend the</w:t>
      </w:r>
      <w:r>
        <w:rPr>
          <w:rFonts w:ascii="Arial" w:cs="Arial" w:eastAsia="Arial" w:hAnsi="Arial"/>
          <w:sz w:val="18"/>
          <w:szCs w:val="18"/>
          <w:i w:val="1"/>
          <w:iCs w:val="1"/>
          <w:color w:val="auto"/>
        </w:rPr>
        <w:t xml:space="preserve"> </w:t>
      </w:r>
      <w:r>
        <w:rPr>
          <w:rFonts w:ascii="Arial" w:cs="Arial" w:eastAsia="Arial" w:hAnsi="Arial"/>
          <w:sz w:val="18"/>
          <w:szCs w:val="18"/>
          <w:color w:val="auto"/>
        </w:rPr>
        <w:t>CPLV Lease Agreement to (i) increase the annual rent payable to us under the CPLV Lease Agreement by $83.5 million (the “CPLV Additional Rent Acquisition”) and (ii) provide for the amended terms described below.</w:t>
      </w:r>
    </w:p>
    <w:p>
      <w:pPr>
        <w:spacing w:after="0" w:line="129" w:lineRule="exact"/>
        <w:rPr>
          <w:rFonts w:ascii="Arial" w:cs="Arial" w:eastAsia="Arial" w:hAnsi="Arial"/>
          <w:sz w:val="18"/>
          <w:szCs w:val="18"/>
          <w:color w:val="auto"/>
        </w:rPr>
      </w:pPr>
    </w:p>
    <w:p>
      <w:pPr>
        <w:jc w:val="both"/>
        <w:ind w:left="740" w:hanging="368"/>
        <w:spacing w:after="0" w:line="291"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Eldorado of $213.8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we and Eldorado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2" w:lineRule="exact"/>
        <w:rPr>
          <w:rFonts w:ascii="Arial" w:cs="Arial" w:eastAsia="Arial" w:hAnsi="Arial"/>
          <w:sz w:val="16"/>
          <w:szCs w:val="16"/>
          <w:color w:val="auto"/>
        </w:rPr>
      </w:pPr>
    </w:p>
    <w:p>
      <w:pPr>
        <w:jc w:val="both"/>
        <w:ind w:left="740" w:hanging="368"/>
        <w:spacing w:after="0" w:line="269" w:lineRule="auto"/>
        <w:tabs>
          <w:tab w:leader="none" w:pos="7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Affiliates of Caesars currently own two gaming facilities in Indiana - Harrah’s Hoosier Park and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Grand (together the “Centaur Properties”). At the closing of the Eldorado/Caesars Merger, a right of first refusal that we have with respect to the Centaur Properties will terminate and we will enter into a put/call agreement with Eldorado,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Eldorado for initial annual rent equal to the property’s trailing four quarters EBITDA at the time of acquisition divided by 1.3 (i.e., the initial annual rent will be set at 1.3x rent coverage) and (ii) Eldorado will have the right to require us to acquire the Centaur Properties at a price equal to 12.5x the initial annual rent of each facility, and to simultaneously lease back each such Centaur Property to a subsidiary of Eldorado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24" w:lineRule="exact"/>
        <w:rPr>
          <w:rFonts w:ascii="Arial" w:cs="Arial" w:eastAsia="Arial" w:hAnsi="Arial"/>
          <w:sz w:val="17"/>
          <w:szCs w:val="17"/>
          <w:color w:val="auto"/>
        </w:rPr>
      </w:pPr>
    </w:p>
    <w:p>
      <w:pPr>
        <w:jc w:val="both"/>
        <w:ind w:left="740" w:hanging="368"/>
        <w:spacing w:after="0" w:line="290"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Eldorado (the “Las Vegas ROFR”) whereby we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right, with respect to the first two of certain specified Las Vegas Strip assets that Eldorado proposes to sell, whether pursuant to a sale leaseback or a WholeCo sale, to a third party, to acquire any such asset (it being understood that we will have the opportunity to find an operating company should Eldorado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Eldorado on any of these facilities, the leaseback will be implemented through the addition of such properties to the CPLV Lease Agreement.</w:t>
      </w:r>
    </w:p>
    <w:p>
      <w:pPr>
        <w:spacing w:after="0" w:line="111" w:lineRule="exact"/>
        <w:rPr>
          <w:rFonts w:ascii="Arial" w:cs="Arial" w:eastAsia="Arial" w:hAnsi="Arial"/>
          <w:sz w:val="16"/>
          <w:szCs w:val="16"/>
          <w:color w:val="auto"/>
        </w:rPr>
      </w:pPr>
    </w:p>
    <w:p>
      <w:pPr>
        <w:jc w:val="both"/>
        <w:ind w:left="740" w:hanging="368"/>
        <w:spacing w:after="0" w:line="311" w:lineRule="auto"/>
        <w:tabs>
          <w:tab w:leader="none" w:pos="73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We and Eldorado agreed to enter into a right of first refusal agreement pursuant to which we will have the first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enter into a sale leaseback transaction with respect to the land and real estate assets associated with the Horseshoe Baltimore gaming facility (subject to any consent required from Caesars’ joint venture partners with respect to this asset) (the “Horseshoe Baltimore ROFR”).</w:t>
      </w:r>
    </w:p>
    <w:p>
      <w:pPr>
        <w:spacing w:after="0" w:line="94"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Lease Guaranties and MLSA Terminations</w:t>
      </w:r>
      <w:r>
        <w:rPr>
          <w:rFonts w:ascii="Arial" w:cs="Arial" w:eastAsia="Arial" w:hAnsi="Arial"/>
          <w:sz w:val="18"/>
          <w:szCs w:val="18"/>
          <w:color w:val="auto"/>
        </w:rPr>
        <w:t>. Eldorado will execute new guaranties (the “Eldorado Guaranties”) of the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89" w:lineRule="auto"/>
        <w:rPr>
          <w:sz w:val="20"/>
          <w:szCs w:val="20"/>
          <w:color w:val="auto"/>
        </w:rPr>
      </w:pPr>
      <w:r>
        <w:rPr>
          <w:rFonts w:ascii="Arial" w:cs="Arial" w:eastAsia="Arial" w:hAnsi="Arial"/>
          <w:sz w:val="16"/>
          <w:szCs w:val="16"/>
          <w:color w:val="auto"/>
        </w:rPr>
        <w:t>CPLV Lease Agreement, the Non-CPLV 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Eldorado following the closing of the Eldorado/Caesars Merger). The Eldorado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Eldorado will terminate the Management and Lease Support Agreements with respect to the CPLV Lease Agreement, the Non-CPLV Lease Agreement and the Joliet Lease Agreement, and certain provisions currently set forth therein will be added to the respective leases, as amended, and the Eldorado Guaranties.</w:t>
      </w:r>
    </w:p>
    <w:p>
      <w:pPr>
        <w:spacing w:after="0" w:line="112" w:lineRule="exact"/>
        <w:rPr>
          <w:sz w:val="20"/>
          <w:szCs w:val="20"/>
          <w:color w:val="auto"/>
        </w:rPr>
      </w:pPr>
    </w:p>
    <w:p>
      <w:pPr>
        <w:jc w:val="both"/>
        <w:ind w:left="740" w:hanging="408"/>
        <w:spacing w:after="0" w:line="284" w:lineRule="auto"/>
        <w:tabs>
          <w:tab w:leader="none" w:pos="735"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Eldorado/Caesars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Eldorado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25" w:lineRule="exact"/>
        <w:rPr>
          <w:rFonts w:ascii="Arial" w:cs="Arial" w:eastAsia="Arial" w:hAnsi="Arial"/>
          <w:sz w:val="16"/>
          <w:szCs w:val="16"/>
          <w:color w:val="auto"/>
        </w:rPr>
      </w:pPr>
    </w:p>
    <w:p>
      <w:pPr>
        <w:jc w:val="both"/>
        <w:ind w:left="740" w:hanging="408"/>
        <w:spacing w:after="0" w:line="275" w:lineRule="auto"/>
        <w:tabs>
          <w:tab w:leader="none" w:pos="73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closing of the Eldorado/Caesars</w:t>
      </w:r>
      <w:r>
        <w:rPr>
          <w:rFonts w:ascii="Arial" w:cs="Arial" w:eastAsia="Arial" w:hAnsi="Arial"/>
          <w:sz w:val="17"/>
          <w:szCs w:val="17"/>
          <w:i w:val="1"/>
          <w:iCs w:val="1"/>
          <w:color w:val="auto"/>
        </w:rPr>
        <w:t xml:space="preserve"> </w:t>
      </w:r>
      <w:r>
        <w:rPr>
          <w:rFonts w:ascii="Arial" w:cs="Arial" w:eastAsia="Arial" w:hAnsi="Arial"/>
          <w:sz w:val="17"/>
          <w:szCs w:val="17"/>
          <w:color w:val="auto"/>
        </w:rPr>
        <w:t>Merger. Eldorado has agreed to reimburse us for 50% of our out-of-pocket costs in connection with the prepayment penalties associated with refinancing the CPLV CMBS Debt (which reimbursement obligations exist pursuant to the MTA regardless of whether the Eldorado/Caesars Merger is consummated). In November 2019, we repaid the CPLV CMBS Debt in full resulting in a prepayment penalty of $110.8 million, $55.4 million of which Eldorado is obligated to reimburse us for under the MTA.</w:t>
      </w:r>
    </w:p>
    <w:p>
      <w:pPr>
        <w:spacing w:after="0" w:line="122" w:lineRule="exact"/>
        <w:rPr>
          <w:rFonts w:ascii="Arial" w:cs="Arial" w:eastAsia="Arial" w:hAnsi="Arial"/>
          <w:sz w:val="17"/>
          <w:szCs w:val="17"/>
          <w:color w:val="auto"/>
        </w:rPr>
      </w:pPr>
    </w:p>
    <w:p>
      <w:pPr>
        <w:jc w:val="both"/>
        <w:ind w:left="740" w:hanging="408"/>
        <w:spacing w:after="0" w:line="254" w:lineRule="auto"/>
        <w:tabs>
          <w:tab w:leader="none" w:pos="7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Eldorado Bridge Facilities</w:t>
      </w:r>
      <w:r>
        <w:rPr>
          <w:rFonts w:ascii="Arial" w:cs="Arial" w:eastAsia="Arial" w:hAnsi="Arial"/>
          <w:sz w:val="18"/>
          <w:szCs w:val="18"/>
          <w:color w:val="auto"/>
        </w:rPr>
        <w:t>. On June 24, 2019, in connection with the Eldorado Transaction, VICI PropCo entered into a commitment letter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Following the issuance of the November 2019 Senior Unsecured Notes, the commitments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740"/>
        <w:spacing w:after="0" w:line="263" w:lineRule="auto"/>
        <w:rPr>
          <w:sz w:val="20"/>
          <w:szCs w:val="20"/>
          <w:color w:val="auto"/>
        </w:rPr>
      </w:pPr>
      <w:r>
        <w:rPr>
          <w:rFonts w:ascii="Arial" w:cs="Arial" w:eastAsia="Arial" w:hAnsi="Arial"/>
          <w:sz w:val="18"/>
          <w:szCs w:val="18"/>
          <w:color w:val="auto"/>
        </w:rPr>
        <w:t>under the Bridge Facilities were reduced by $1.6 billion, to $3.2 billion. Following the issuance of the February 2020 Senior Unsecured Notes we placed $2.0 billion of the net proceeds into escrow pending the consummation of the Eldorado Transaction and the commitments under the Bridge Facilities were further reduced by $2.0 billion to $1.2 billion.</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Master Transaction Agreement contains customary representations, warranties and covenants by the parties to the agreement and is subject to the consummation of the Eldorado/Caesars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Eldorado/Caesars Merger Agreement and a right by us to terminate the Master Transaction Agreement in the event the closing of the transactions contemplated by the Master Transaction Agreement has not occurred by the date on which the Eldorado/Caesars Merger is required to close pursuant to the Eldorado/Caesars Merger Agreement, but in no event later than December 24, 2020.</w:t>
      </w:r>
    </w:p>
    <w:p>
      <w:pPr>
        <w:spacing w:after="0" w:line="112" w:lineRule="exact"/>
        <w:rPr>
          <w:sz w:val="20"/>
          <w:szCs w:val="20"/>
          <w:color w:val="auto"/>
        </w:rPr>
      </w:pPr>
    </w:p>
    <w:p>
      <w:pPr>
        <w:jc w:val="both"/>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If the Master Transaction Agreement is terminated by Eldorado under certain circumstances where we have a financing failure, we may be obligated to pay Eldorado a reverse termination fee of $75.0 million (the “Reverse Termination Fee”). If the amendment of the CPLV Lease Agreement is not entered into on the date on which the Eldorado/Caesars Merger closes, under certain circumstances, we may be obligated to pay Eldorado a fee of $45.0 million (the “CPLV Break Payment”), provided we will not be obligated to pay both the Reverse Termination Fee and the CPLV Break Payment. If the Eldorado/Caesars Merger does not close for any reason, under certain circumstances, Eldorado may be obligated to pay us a termination fee of $75.0 </w:t>
      </w:r>
      <w:hyperlink r:id="rId28">
        <w:r>
          <w:rPr>
            <w:rFonts w:ascii="Arial" w:cs="Arial" w:eastAsia="Arial" w:hAnsi="Arial"/>
            <w:sz w:val="18"/>
            <w:szCs w:val="18"/>
            <w:color w:val="auto"/>
          </w:rPr>
          <w:t xml:space="preserve">million. For more information, refer to </w:t>
        </w:r>
      </w:hyperlink>
      <w:hyperlink w:anchor="page67">
        <w:r>
          <w:rPr>
            <w:rFonts w:ascii="Arial" w:cs="Arial" w:eastAsia="Arial" w:hAnsi="Arial"/>
            <w:sz w:val="18"/>
            <w:szCs w:val="18"/>
            <w:u w:val="single" w:color="auto"/>
            <w:color w:val="0000FF"/>
          </w:rPr>
          <w:t>Part II. Item 1A. Risk Factors</w:t>
        </w:r>
        <w:r>
          <w:rPr>
            <w:rFonts w:ascii="Arial" w:cs="Arial" w:eastAsia="Arial" w:hAnsi="Arial"/>
            <w:sz w:val="18"/>
            <w:szCs w:val="18"/>
            <w:u w:val="single" w:color="auto"/>
            <w:color w:val="auto"/>
          </w:rPr>
          <w:t xml:space="preserve"> herein and to the risk factors set forth in our </w:t>
        </w:r>
        <w:r>
          <w:rPr>
            <w:rFonts w:ascii="Arial" w:cs="Arial" w:eastAsia="Arial" w:hAnsi="Arial"/>
            <w:sz w:val="18"/>
            <w:szCs w:val="18"/>
            <w:u w:val="single" w:color="auto"/>
            <w:color w:val="0000FF"/>
          </w:rPr>
          <w:t>Annual Report on Form 10-K for the year</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ended December 31, 2019</w:t>
        </w:r>
        <w:r>
          <w:rPr>
            <w:rFonts w:ascii="Arial" w:cs="Arial" w:eastAsia="Arial" w:hAnsi="Arial"/>
            <w:sz w:val="18"/>
            <w:szCs w:val="18"/>
            <w:color w:val="000000"/>
          </w:rPr>
          <w:t>.</w:t>
        </w:r>
      </w:hyperlink>
    </w:p>
    <w:p>
      <w:pPr>
        <w:spacing w:after="0" w:line="14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rFonts w:ascii="Arial" w:cs="Arial" w:eastAsia="Arial" w:hAnsi="Arial"/>
          <w:sz w:val="18"/>
          <w:szCs w:val="18"/>
          <w:color w:val="auto"/>
        </w:rPr>
      </w:pPr>
    </w:p>
    <w:p>
      <w:pPr>
        <w:jc w:val="both"/>
        <w:spacing w:after="0" w:line="291"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 We determined that the land and building components of the Greektown Lease Agreement meet the definition of a sales-type lease and have recorded the corresponding asset, including related acquisition and transaction costs, in Investments in leases - direct financing and sales-type on our Balance Sheet.</w:t>
      </w:r>
    </w:p>
    <w:p>
      <w:pPr>
        <w:spacing w:after="0" w:line="11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rFonts w:ascii="Arial" w:cs="Arial" w:eastAsia="Arial" w:hAnsi="Arial"/>
          <w:sz w:val="18"/>
          <w:szCs w:val="18"/>
          <w:color w:val="auto"/>
        </w:rPr>
      </w:pPr>
    </w:p>
    <w:p>
      <w:pPr>
        <w:jc w:val="both"/>
        <w:spacing w:after="0" w:line="293" w:lineRule="auto"/>
        <w:rPr>
          <w:sz w:val="20"/>
          <w:szCs w:val="20"/>
          <w:color w:val="auto"/>
        </w:rPr>
      </w:pPr>
      <w:r>
        <w:rPr>
          <w:rFonts w:ascii="Arial" w:cs="Arial" w:eastAsia="Arial" w:hAnsi="Arial"/>
          <w:sz w:val="16"/>
          <w:szCs w:val="16"/>
          <w:color w:val="auto"/>
        </w:rPr>
        <w:t>On January 2, 2019, we completed the previously announced transaction to acquire the land and real estate assets of Margaritaville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acquisition and transaction costs, in Investments in leases - direct financing and sales-type on our Balance Sheet.</w:t>
      </w:r>
    </w:p>
    <w:p>
      <w:pPr>
        <w:spacing w:after="0" w:line="1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Other Agreements with Caesars</w:t>
      </w:r>
    </w:p>
    <w:p>
      <w:pPr>
        <w:spacing w:after="0" w:line="25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 Put/Call Agreement</w:t>
      </w:r>
    </w:p>
    <w:p>
      <w:pPr>
        <w:spacing w:after="0" w:line="252"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In December 2017, we sold to Caesars approximately 18.4 acres of certain parcels located in Las Vegas, Nevada, east of Harrah’s Las Vegas, known as the Eastside Property, for $73.6 million. The Caesars Forum Convention Center is currently being constructed on the Eastside Property. Accordingly, we entered into a put/call agreement with Caesars, which provides both parties with certain rights and obligations including: (i) a put right in favor of Caesars, which, if exercised, would result in</w:t>
      </w: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sale by Caesars to us and simultaneous leaseback by us to Caesars of the Caesars Forum Convention Center (the “Put Right”); (ii) if Caesars exercises 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Caesars Forum Convention Center. This agreement survives the closing of the Eldorado/Caesars Merger.</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put/call option on the land parcels, it was determined that the transaction does not meet the requirements of a completed sale for accounting purposes. As a result, at December 31, 2017, we reclassified $73.6 million from Investments in leases - operating to Land and recorded a $73.6 million Deferred financing liability on our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Properties, which were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w:t>
      </w:r>
    </w:p>
    <w:p>
      <w:pPr>
        <w:jc w:val="both"/>
        <w:ind w:firstLine="8"/>
        <w:spacing w:after="0" w:line="270" w:lineRule="auto"/>
        <w:tabs>
          <w:tab w:leader="none" w:pos="217"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 (ii) 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2018, we entered into the Second Amended and Restated Right of First Refusal Agreement, which replaced the Amended and Restated Right of First Refusal Agreement and, among other things, provides us with the right to acquire from Caesars, under certain circumstances, certain undeveloped land adjacent to the Las Vegas Strip. Upon closing of the Eldorado/Caesars Merger, the Second Amended and Restated Right of First Refusal will be terminated and we will enter into the Las Vegas ROFR and the Horseshoe Baltimore ROFR.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Formation Date, we entered into certain call right agreements, which provide us with the opportunity to acquire Harrah’s Atlantic City, Harrah’s New Orleans and Harrah’s Laughlin from Caesars. We can exercise the call rights within 5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 As described above under “Eldorado Transaction-Acquisition of the MTA Properties,” we have entered into agreements to acquire all of the land and real estate assets associated with the MTA Properties, and the existing call right agreements will terminate, upon the earlier to occur of the closing of the corresponding MTA Property Acquisition or our obtaining specific performance or liquidated damages with respect to the relevant property in accordance with the terms of the MTA.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our real estate portfolio consisted of the following:</w:t>
      </w:r>
    </w:p>
    <w:p>
      <w:pPr>
        <w:spacing w:after="0" w:line="171" w:lineRule="exact"/>
        <w:rPr>
          <w:sz w:val="20"/>
          <w:szCs w:val="20"/>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in leases - direct financing and sales-type, representing our investment in 26 casino assets leased on a triple net basis to our tenants, Caesars, Penn National, Hard Rock and Century Casinos, under eight separate lease agreements;</w:t>
      </w:r>
    </w:p>
    <w:p>
      <w:pPr>
        <w:spacing w:after="0" w:line="116"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Investments in leases - operating, representing the portion of land separately classified and accounted for under the operating lease model associated with our investment in Caesars Palace Las Vegas and certain operating land parcels contained in the Non-CPLV Lease Agreement;</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two casino assets leased on a triple net basis to our tenant JACK Entertainment;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ROV Loan;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Land, representing our investment in the Eastside Property and certain non-operating, vacant land parcels contained in the Non-CPLV Lease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March 31, 2020 and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Minimum lease payments receivable under direct financing and sales-type leases </w:t>
            </w:r>
            <w:r>
              <w:rPr>
                <w:rFonts w:ascii="Arial" w:cs="Arial" w:eastAsia="Arial" w:hAnsi="Arial"/>
                <w:sz w:val="23"/>
                <w:szCs w:val="23"/>
                <w:i w:val="1"/>
                <w:iCs w:val="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31,233,640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31,460,712</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2,525,469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2,525,469</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investment in direct financing and sales-type leases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33,759,109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33,986,181</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42,761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42,819</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(23,070,752)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(23,294,755)</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Pr>
          <w:p>
            <w:pPr>
              <w:spacing w:after="0"/>
              <w:rPr>
                <w:sz w:val="21"/>
                <w:szCs w:val="21"/>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(400,390)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direct financing and sales-type,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10,330,728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10,734,245</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Investments in leases - operating</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1,086,658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1,086,658</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leases - financing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794,055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6"/>
        </w:trPr>
        <w:tc>
          <w:tcPr>
            <w:tcW w:w="20" w:type="dxa"/>
            <w:vAlign w:val="bottom"/>
          </w:tcPr>
          <w:p>
            <w:pPr>
              <w:spacing w:after="0"/>
              <w:rPr>
                <w:sz w:val="20"/>
                <w:szCs w:val="20"/>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investments in leases, net</w:t>
            </w: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12,211,441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11,820,903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loans,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94,711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94,711</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Real estate portfolio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12,354,622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11,915,614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direct financing, sales-type and operating leases and lease financing receivables:</w:t>
      </w:r>
    </w:p>
    <w:p>
      <w:pPr>
        <w:spacing w:after="0" w:line="75"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37465</wp:posOffset>
            </wp:positionV>
            <wp:extent cx="26828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7"/>
                <w:szCs w:val="17"/>
                <w:color w:val="auto"/>
              </w:rPr>
            </w:pPr>
          </w:p>
        </w:tc>
        <w:tc>
          <w:tcPr>
            <w:tcW w:w="1560" w:type="dxa"/>
            <w:vAlign w:val="bottom"/>
          </w:tcPr>
          <w:p>
            <w:pPr>
              <w:jc w:val="right"/>
              <w:ind w:right="7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771"/>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direct financing and sales-type leases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224,252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195,750</w:t>
            </w:r>
          </w:p>
        </w:tc>
      </w:tr>
      <w:tr>
        <w:trPr>
          <w:trHeight w:val="270"/>
        </w:trPr>
        <w:tc>
          <w:tcPr>
            <w:tcW w:w="20" w:type="dxa"/>
            <w:vAlign w:val="bottom"/>
          </w:tcPr>
          <w:p>
            <w:pPr>
              <w:spacing w:after="0"/>
              <w:rPr>
                <w:sz w:val="23"/>
                <w:szCs w:val="23"/>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480" w:type="dxa"/>
            <w:vAlign w:val="bottom"/>
          </w:tcPr>
          <w:p>
            <w:pPr>
              <w:spacing w:after="0"/>
              <w:rPr>
                <w:sz w:val="23"/>
                <w:szCs w:val="23"/>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10,913</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00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480" w:type="dxa"/>
            <w:vAlign w:val="bottom"/>
          </w:tcPr>
          <w:p>
            <w:pPr>
              <w:spacing w:after="0"/>
              <w:rPr>
                <w:sz w:val="20"/>
                <w:szCs w:val="20"/>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247,185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206,663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4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(2,512)</w:t>
            </w:r>
          </w:p>
        </w:tc>
      </w:tr>
      <w:tr>
        <w:trPr>
          <w:trHeight w:val="263"/>
        </w:trPr>
        <w:tc>
          <w:tcPr>
            <w:tcW w:w="20" w:type="dxa"/>
            <w:vAlign w:val="bottom"/>
          </w:tcPr>
          <w:p>
            <w:pPr>
              <w:spacing w:after="0"/>
              <w:rPr>
                <w:sz w:val="22"/>
                <w:szCs w:val="22"/>
                <w:color w:val="auto"/>
              </w:rPr>
            </w:pPr>
          </w:p>
        </w:tc>
        <w:tc>
          <w:tcPr>
            <w:tcW w:w="7000" w:type="dxa"/>
            <w:vAlign w:val="bottom"/>
            <w:gridSpan w:val="2"/>
          </w:tcPr>
          <w:p>
            <w:pPr>
              <w:ind w:left="220"/>
              <w:spacing w:after="0"/>
              <w:rPr>
                <w:sz w:val="20"/>
                <w:szCs w:val="20"/>
                <w:color w:val="auto"/>
              </w:rPr>
            </w:pPr>
            <w:r>
              <w:rPr>
                <w:rFonts w:ascii="Arial" w:cs="Arial" w:eastAsia="Arial" w:hAnsi="Arial"/>
                <w:sz w:val="18"/>
                <w:szCs w:val="18"/>
                <w:color w:val="auto"/>
              </w:rPr>
              <w:t>Total contractual lease revenue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250,439</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204,151</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41" w:lineRule="auto"/>
        <w:tabs>
          <w:tab w:leader="none" w:pos="211"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firstLine="8"/>
        <w:spacing w:after="0" w:line="241" w:lineRule="auto"/>
        <w:tabs>
          <w:tab w:leader="none" w:pos="208"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JACK Cleveland/Thistledown Lease Agreement which, in accordance with ASC 842, was determined to meet both the definition of a sale leaseback transaction and sales-type lease and, as a result, is accounted for as a financing under ASC 310.</w:t>
      </w:r>
    </w:p>
    <w:p>
      <w:pPr>
        <w:ind w:right="20" w:firstLine="8"/>
        <w:spacing w:after="0" w:line="255" w:lineRule="auto"/>
        <w:tabs>
          <w:tab w:leader="none" w:pos="205"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2020, minimum lease payments owed to us for each of the five succeeding years under direct financing, sales-type and operating leases, as well as leases accounted for as financing receivables,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700" w:type="dxa"/>
            <w:vAlign w:val="bottom"/>
            <w:tcBorders>
              <w:bottom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 xml:space="preserve">Minimum Lease Payments </w:t>
            </w:r>
            <w:r>
              <w:rPr>
                <w:rFonts w:ascii="Arial" w:cs="Arial" w:eastAsia="Arial" w:hAnsi="Arial"/>
                <w:sz w:val="23"/>
                <w:szCs w:val="23"/>
                <w:b w:val="1"/>
                <w:bCs w:val="1"/>
                <w:i w:val="1"/>
                <w:iCs w:val="1"/>
                <w:color w:val="auto"/>
                <w:vertAlign w:val="superscript"/>
              </w:rPr>
              <w:t>(1) (2)</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Investments in Leases</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Direct Financing and</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9"/>
                <w:szCs w:val="19"/>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Sales-Type</w:t>
            </w:r>
          </w:p>
        </w:tc>
        <w:tc>
          <w:tcPr>
            <w:tcW w:w="300" w:type="dxa"/>
            <w:vAlign w:val="bottom"/>
          </w:tcPr>
          <w:p>
            <w:pPr>
              <w:spacing w:after="0"/>
              <w:rPr>
                <w:sz w:val="19"/>
                <w:szCs w:val="19"/>
                <w:color w:val="auto"/>
              </w:rPr>
            </w:pPr>
          </w:p>
        </w:tc>
        <w:tc>
          <w:tcPr>
            <w:tcW w:w="1660" w:type="dxa"/>
            <w:vAlign w:val="bottom"/>
            <w:gridSpan w:val="2"/>
          </w:tcPr>
          <w:p>
            <w:pPr>
              <w:ind w:left="220"/>
              <w:spacing w:after="0"/>
              <w:rPr>
                <w:sz w:val="20"/>
                <w:szCs w:val="20"/>
                <w:color w:val="auto"/>
              </w:rPr>
            </w:pPr>
            <w:r>
              <w:rPr>
                <w:rFonts w:ascii="Arial" w:cs="Arial" w:eastAsia="Arial" w:hAnsi="Arial"/>
                <w:sz w:val="18"/>
                <w:szCs w:val="18"/>
                <w:b w:val="1"/>
                <w:bCs w:val="1"/>
                <w:color w:val="auto"/>
              </w:rPr>
              <w:t>Operating</w:t>
            </w:r>
          </w:p>
        </w:tc>
        <w:tc>
          <w:tcPr>
            <w:tcW w:w="304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Financing Receivables</w:t>
            </w:r>
          </w:p>
        </w:tc>
        <w:tc>
          <w:tcPr>
            <w:tcW w:w="420" w:type="dxa"/>
            <w:vAlign w:val="bottom"/>
          </w:tcPr>
          <w:p>
            <w:pPr>
              <w:spacing w:after="0"/>
              <w:rPr>
                <w:sz w:val="19"/>
                <w:szCs w:val="19"/>
                <w:color w:val="auto"/>
              </w:rPr>
            </w:pPr>
          </w:p>
        </w:tc>
        <w:tc>
          <w:tcPr>
            <w:tcW w:w="142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683,223</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32,740</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49,410</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765,373</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916,720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43,653</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66,484</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1,026,857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927,351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43,653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67,149</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1,038,153</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942,285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43,653</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68,128</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1,054,066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954,569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43,653</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68,212</w:t>
            </w:r>
          </w:p>
        </w:tc>
        <w:tc>
          <w:tcPr>
            <w:tcW w:w="1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1,066,434</w:t>
            </w:r>
          </w:p>
        </w:tc>
        <w:tc>
          <w:tcPr>
            <w:tcW w:w="0" w:type="dxa"/>
            <w:vAlign w:val="bottom"/>
          </w:tcPr>
          <w:p>
            <w:pPr>
              <w:spacing w:after="0"/>
              <w:rPr>
                <w:sz w:val="1"/>
                <w:szCs w:val="1"/>
                <w:color w:val="auto"/>
              </w:rPr>
            </w:pP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954,765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43,653</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68,212</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1,066,630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25,854,727</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1,171,362</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1,983,840</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29,009,929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31,233,640</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1,422,367</w:t>
            </w:r>
          </w:p>
        </w:tc>
        <w:tc>
          <w:tcPr>
            <w:tcW w:w="14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2,371,435</w:t>
            </w:r>
          </w:p>
        </w:tc>
        <w:tc>
          <w:tcPr>
            <w:tcW w:w="1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35,027,442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Weighted Average Lease</w:t>
            </w:r>
          </w:p>
        </w:tc>
        <w:tc>
          <w:tcPr>
            <w:tcW w:w="120" w:type="dxa"/>
            <w:vAlign w:val="bottom"/>
          </w:tcPr>
          <w:p>
            <w:pPr>
              <w:spacing w:after="0"/>
              <w:rPr>
                <w:sz w:val="15"/>
                <w:szCs w:val="15"/>
                <w:color w:val="auto"/>
              </w:rPr>
            </w:pPr>
          </w:p>
        </w:tc>
        <w:tc>
          <w:tcPr>
            <w:tcW w:w="1780" w:type="dxa"/>
            <w:vAlign w:val="bottom"/>
            <w:vMerge w:val="restart"/>
          </w:tcPr>
          <w:p>
            <w:pPr>
              <w:jc w:val="right"/>
              <w:ind w:right="1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vMerge w:val="restart"/>
          </w:tcPr>
          <w:p>
            <w:pPr>
              <w:jc w:val="right"/>
              <w:ind w:right="1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34.8</w:t>
            </w: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320" w:type="dxa"/>
            <w:vAlign w:val="bottom"/>
            <w:gridSpan w:val="2"/>
          </w:tcPr>
          <w:p>
            <w:pPr>
              <w:spacing w:after="0" w:line="231" w:lineRule="exact"/>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23"/>
                <w:szCs w:val="23"/>
                <w:b w:val="1"/>
                <w:bCs w:val="1"/>
                <w:i w:val="1"/>
                <w:iCs w:val="1"/>
                <w:color w:val="auto"/>
                <w:vertAlign w:val="superscript"/>
              </w:rPr>
              <w:t>(2)</w:t>
            </w:r>
          </w:p>
        </w:tc>
        <w:tc>
          <w:tcPr>
            <w:tcW w:w="120" w:type="dxa"/>
            <w:vAlign w:val="bottom"/>
          </w:tcPr>
          <w:p>
            <w:pPr>
              <w:spacing w:after="0"/>
              <w:rPr>
                <w:sz w:val="20"/>
                <w:szCs w:val="20"/>
                <w:color w:val="auto"/>
              </w:rPr>
            </w:pPr>
          </w:p>
        </w:tc>
        <w:tc>
          <w:tcPr>
            <w:tcW w:w="1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1"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Caesars Lease Agreements (which does not reflect the modifications to the Caesars Lease Agreements contemplated in connection with the closing of the Eldorado Transaction):</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2"/>
          </w:tcPr>
          <w:p>
            <w:pPr>
              <w:ind w:left="60"/>
              <w:spacing w:after="0"/>
              <w:rPr>
                <w:sz w:val="20"/>
                <w:szCs w:val="20"/>
                <w:color w:val="auto"/>
              </w:rPr>
            </w:pPr>
            <w:r>
              <w:rPr>
                <w:rFonts w:ascii="Arial" w:cs="Arial" w:eastAsia="Arial" w:hAnsi="Arial"/>
                <w:sz w:val="16"/>
                <w:szCs w:val="16"/>
                <w:b w:val="1"/>
                <w:bCs w:val="1"/>
                <w:color w:val="auto"/>
              </w:rPr>
              <w:t>Non-CPLV Lease Agreement and</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24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Joliet Lease Agreement</w:t>
            </w:r>
          </w:p>
        </w:tc>
        <w:tc>
          <w:tcPr>
            <w:tcW w:w="160" w:type="dxa"/>
            <w:vAlign w:val="bottom"/>
            <w:tcBorders>
              <w:bottom w:val="single" w:sz="8" w:color="CCEEFF"/>
            </w:tcBorders>
          </w:tcPr>
          <w:p>
            <w:pPr>
              <w:spacing w:after="0"/>
              <w:rPr>
                <w:sz w:val="21"/>
                <w:szCs w:val="21"/>
                <w:color w:val="auto"/>
              </w:rPr>
            </w:pPr>
          </w:p>
        </w:tc>
        <w:tc>
          <w:tcPr>
            <w:tcW w:w="24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CPLV Lease Agreement</w:t>
            </w:r>
          </w:p>
        </w:tc>
        <w:tc>
          <w:tcPr>
            <w:tcW w:w="160" w:type="dxa"/>
            <w:vAlign w:val="bottom"/>
            <w:tcBorders>
              <w:bottom w:val="single" w:sz="8" w:color="CCEEFF"/>
            </w:tcBorders>
          </w:tcPr>
          <w:p>
            <w:pPr>
              <w:spacing w:after="0"/>
              <w:rPr>
                <w:sz w:val="21"/>
                <w:szCs w:val="21"/>
                <w:color w:val="auto"/>
              </w:rPr>
            </w:pPr>
          </w:p>
        </w:tc>
        <w:tc>
          <w:tcPr>
            <w:tcW w:w="24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HLV Lease Agreement</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Initial Term</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Renewal Terms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420" w:type="dxa"/>
            <w:vAlign w:val="bottom"/>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(2)</w:t>
            </w: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$508,534</w:t>
            </w:r>
          </w:p>
        </w:tc>
        <w:tc>
          <w:tcPr>
            <w:tcW w:w="160" w:type="dxa"/>
            <w:vAlign w:val="bottom"/>
            <w:shd w:val="clear" w:color="auto" w:fill="CCEEFF"/>
          </w:tcPr>
          <w:p>
            <w:pPr>
              <w:spacing w:after="0"/>
              <w:rPr>
                <w:sz w:val="23"/>
                <w:szCs w:val="2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$207,745</w:t>
            </w:r>
          </w:p>
        </w:tc>
        <w:tc>
          <w:tcPr>
            <w:tcW w:w="160" w:type="dxa"/>
            <w:vAlign w:val="bottom"/>
            <w:shd w:val="clear" w:color="auto" w:fill="CCEEFF"/>
          </w:tcPr>
          <w:p>
            <w:pPr>
              <w:spacing w:after="0"/>
              <w:rPr>
                <w:sz w:val="23"/>
                <w:szCs w:val="23"/>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$89,157</w:t>
            </w:r>
          </w:p>
        </w:tc>
        <w:tc>
          <w:tcPr>
            <w:tcW w:w="0" w:type="dxa"/>
            <w:vAlign w:val="bottom"/>
          </w:tcPr>
          <w:p>
            <w:pPr>
              <w:spacing w:after="0"/>
              <w:rPr>
                <w:sz w:val="1"/>
                <w:szCs w:val="1"/>
                <w:color w:val="auto"/>
              </w:rPr>
            </w:pP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Escalator commencement</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420" w:type="dxa"/>
            <w:vAlign w:val="bottom"/>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2-5 - 1.5%</w:t>
            </w:r>
          </w:p>
        </w:tc>
        <w:tc>
          <w:tcPr>
            <w:tcW w:w="2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81"/>
        </w:trPr>
        <w:tc>
          <w:tcPr>
            <w:tcW w:w="3620" w:type="dxa"/>
            <w:vAlign w:val="bottom"/>
            <w:gridSpan w:val="2"/>
            <w:vMerge w:val="restart"/>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(3)</w:t>
            </w:r>
          </w:p>
        </w:tc>
        <w:tc>
          <w:tcPr>
            <w:tcW w:w="2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Lease years 6-15 - Consumer</w:t>
            </w:r>
          </w:p>
        </w:tc>
        <w:tc>
          <w:tcPr>
            <w:tcW w:w="2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CPI subject to 2% floor</w:t>
            </w:r>
          </w:p>
        </w:tc>
        <w:tc>
          <w:tcPr>
            <w:tcW w:w="24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620" w:type="dxa"/>
            <w:vAlign w:val="bottom"/>
            <w:gridSpan w:val="2"/>
            <w:vMerge w:val="continue"/>
            <w:shd w:val="clear" w:color="auto" w:fill="CCEEFF"/>
          </w:tcPr>
          <w:p>
            <w:pPr>
              <w:spacing w:after="0"/>
              <w:rPr>
                <w:sz w:val="15"/>
                <w:szCs w:val="15"/>
                <w:color w:val="auto"/>
              </w:rPr>
            </w:pPr>
          </w:p>
        </w:tc>
        <w:tc>
          <w:tcPr>
            <w:tcW w:w="2580" w:type="dxa"/>
            <w:vAlign w:val="bottom"/>
            <w:gridSpan w:val="2"/>
            <w:vMerge w:val="continue"/>
            <w:shd w:val="clear" w:color="auto" w:fill="CCEEFF"/>
          </w:tcPr>
          <w:p>
            <w:pPr>
              <w:spacing w:after="0"/>
              <w:rPr>
                <w:sz w:val="15"/>
                <w:szCs w:val="15"/>
                <w:color w:val="auto"/>
              </w:rPr>
            </w:pPr>
          </w:p>
        </w:tc>
        <w:tc>
          <w:tcPr>
            <w:tcW w:w="2580" w:type="dxa"/>
            <w:vAlign w:val="bottom"/>
            <w:gridSpan w:val="2"/>
            <w:vMerge w:val="continue"/>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Lease years 6-15 - CPI subject to</w:t>
            </w:r>
          </w:p>
        </w:tc>
        <w:tc>
          <w:tcPr>
            <w:tcW w:w="0" w:type="dxa"/>
            <w:vAlign w:val="bottom"/>
          </w:tcPr>
          <w:p>
            <w:pPr>
              <w:spacing w:after="0"/>
              <w:rPr>
                <w:sz w:val="1"/>
                <w:szCs w:val="1"/>
                <w:color w:val="auto"/>
              </w:rPr>
            </w:pPr>
          </w:p>
        </w:tc>
      </w:tr>
      <w:tr>
        <w:trPr>
          <w:trHeight w:val="94"/>
        </w:trPr>
        <w:tc>
          <w:tcPr>
            <w:tcW w:w="3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580" w:type="dxa"/>
            <w:vAlign w:val="bottom"/>
            <w:gridSpan w:val="2"/>
            <w:shd w:val="clear" w:color="auto" w:fill="CCEEFF"/>
          </w:tcPr>
          <w:p>
            <w:pPr>
              <w:ind w:left="20"/>
              <w:spacing w:after="0" w:line="95" w:lineRule="exact"/>
              <w:rPr>
                <w:sz w:val="20"/>
                <w:szCs w:val="20"/>
                <w:color w:val="auto"/>
              </w:rPr>
            </w:pPr>
            <w:r>
              <w:rPr>
                <w:rFonts w:ascii="Arial" w:cs="Arial" w:eastAsia="Arial" w:hAnsi="Arial"/>
                <w:sz w:val="10"/>
                <w:szCs w:val="10"/>
                <w:color w:val="auto"/>
              </w:rPr>
              <w:t>price index (“CPI) subject to 2%</w:t>
            </w:r>
          </w:p>
        </w:tc>
        <w:tc>
          <w:tcPr>
            <w:tcW w:w="2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 floor</w:t>
            </w:r>
          </w:p>
        </w:tc>
        <w:tc>
          <w:tcPr>
            <w:tcW w:w="0" w:type="dxa"/>
            <w:vAlign w:val="bottom"/>
          </w:tcPr>
          <w:p>
            <w:pPr>
              <w:spacing w:after="0"/>
              <w:rPr>
                <w:sz w:val="1"/>
                <w:szCs w:val="1"/>
                <w:color w:val="auto"/>
              </w:rPr>
            </w:pPr>
          </w:p>
        </w:tc>
      </w:tr>
      <w:tr>
        <w:trPr>
          <w:trHeight w:val="136"/>
        </w:trPr>
        <w:tc>
          <w:tcPr>
            <w:tcW w:w="3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floor</w:t>
            </w:r>
          </w:p>
        </w:tc>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4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580" w:type="dxa"/>
            <w:vAlign w:val="bottom"/>
            <w:gridSpan w:val="2"/>
            <w:vMerge w:val="continue"/>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7" w:right="339" w:bottom="1440" w:gutter="0" w:footer="0" w:header="0"/>
        </w:sectPr>
      </w:pPr>
    </w:p>
    <w:p>
      <w:pPr>
        <w:ind w:left="40" w:right="340"/>
        <w:spacing w:after="0" w:line="316" w:lineRule="auto"/>
        <w:rPr>
          <w:sz w:val="20"/>
          <w:szCs w:val="20"/>
          <w:color w:val="auto"/>
        </w:rPr>
      </w:pPr>
      <w:r>
        <w:rPr>
          <w:rFonts w:ascii="Arial" w:cs="Arial" w:eastAsia="Arial" w:hAnsi="Arial"/>
          <w:sz w:val="16"/>
          <w:szCs w:val="16"/>
          <w:color w:val="auto"/>
        </w:rPr>
        <w:t xml:space="preserve">EBITDAR to Rent Ratio floor </w:t>
      </w:r>
      <w:r>
        <w:rPr>
          <w:rFonts w:ascii="Arial" w:cs="Arial" w:eastAsia="Arial" w:hAnsi="Arial"/>
          <w:sz w:val="20"/>
          <w:szCs w:val="20"/>
          <w:i w:val="1"/>
          <w:iCs w:val="1"/>
          <w:color w:val="auto"/>
          <w:vertAlign w:val="superscript"/>
        </w:rPr>
        <w:t>(4)</w:t>
      </w:r>
      <w:r>
        <w:rPr>
          <w:rFonts w:ascii="Arial" w:cs="Arial" w:eastAsia="Arial" w:hAnsi="Arial"/>
          <w:sz w:val="16"/>
          <w:szCs w:val="16"/>
          <w:color w:val="auto"/>
        </w:rPr>
        <w:t xml:space="preserve"> Variable Rent commencement/reset</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w w:val="96"/>
              </w:rPr>
              <w:t>1.2x commencing lease year 8</w:t>
            </w:r>
          </w:p>
        </w:tc>
        <w:tc>
          <w:tcPr>
            <w:tcW w:w="2580" w:type="dxa"/>
            <w:vAlign w:val="bottom"/>
          </w:tcPr>
          <w:p>
            <w:pPr>
              <w:ind w:left="200"/>
              <w:spacing w:after="0"/>
              <w:rPr>
                <w:sz w:val="20"/>
                <w:szCs w:val="20"/>
                <w:color w:val="auto"/>
              </w:rPr>
            </w:pPr>
            <w:r>
              <w:rPr>
                <w:rFonts w:ascii="Arial" w:cs="Arial" w:eastAsia="Arial" w:hAnsi="Arial"/>
                <w:sz w:val="18"/>
                <w:szCs w:val="18"/>
                <w:color w:val="auto"/>
                <w:w w:val="96"/>
              </w:rPr>
              <w:t>1.7x commencing lease year 8</w:t>
            </w:r>
          </w:p>
        </w:tc>
        <w:tc>
          <w:tcPr>
            <w:tcW w:w="2380" w:type="dxa"/>
            <w:vAlign w:val="bottom"/>
          </w:tcPr>
          <w:p>
            <w:pPr>
              <w:ind w:left="200"/>
              <w:spacing w:after="0"/>
              <w:rPr>
                <w:sz w:val="20"/>
                <w:szCs w:val="20"/>
                <w:color w:val="auto"/>
              </w:rPr>
            </w:pPr>
            <w:r>
              <w:rPr>
                <w:rFonts w:ascii="Arial" w:cs="Arial" w:eastAsia="Arial" w:hAnsi="Arial"/>
                <w:sz w:val="18"/>
                <w:szCs w:val="18"/>
                <w:color w:val="auto"/>
                <w:w w:val="88"/>
              </w:rPr>
              <w:t>1.6x commencing lease year 6</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0"/>
                <w:szCs w:val="20"/>
                <w:color w:val="auto"/>
              </w:rPr>
            </w:pPr>
            <w:r>
              <w:rPr>
                <w:rFonts w:ascii="Arial" w:cs="Arial" w:eastAsia="Arial" w:hAnsi="Arial"/>
                <w:sz w:val="18"/>
                <w:szCs w:val="18"/>
                <w:color w:val="auto"/>
              </w:rPr>
              <w:t>Lease years 8 and 11</w:t>
            </w:r>
          </w:p>
        </w:tc>
        <w:tc>
          <w:tcPr>
            <w:tcW w:w="2580" w:type="dxa"/>
            <w:vAlign w:val="bottom"/>
          </w:tcPr>
          <w:p>
            <w:pPr>
              <w:ind w:left="200"/>
              <w:spacing w:after="0"/>
              <w:rPr>
                <w:sz w:val="20"/>
                <w:szCs w:val="20"/>
                <w:color w:val="auto"/>
              </w:rPr>
            </w:pPr>
            <w:r>
              <w:rPr>
                <w:rFonts w:ascii="Arial" w:cs="Arial" w:eastAsia="Arial" w:hAnsi="Arial"/>
                <w:sz w:val="18"/>
                <w:szCs w:val="18"/>
                <w:color w:val="auto"/>
              </w:rPr>
              <w:t>Lease years 8 and 11</w:t>
            </w:r>
          </w:p>
        </w:tc>
        <w:tc>
          <w:tcPr>
            <w:tcW w:w="2380" w:type="dxa"/>
            <w:vAlign w:val="bottom"/>
          </w:tcPr>
          <w:p>
            <w:pPr>
              <w:ind w:left="200"/>
              <w:spacing w:after="0"/>
              <w:rPr>
                <w:sz w:val="20"/>
                <w:szCs w:val="20"/>
                <w:color w:val="auto"/>
              </w:rPr>
            </w:pPr>
            <w:r>
              <w:rPr>
                <w:rFonts w:ascii="Arial" w:cs="Arial" w:eastAsia="Arial" w:hAnsi="Arial"/>
                <w:sz w:val="18"/>
                <w:szCs w:val="18"/>
                <w:color w:val="auto"/>
              </w:rPr>
              <w:t>Lease years 8 and 11</w:t>
            </w: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w w:val="99"/>
              </w:rPr>
              <w:t>Lease years 8-10 - 70% Base</w:t>
            </w:r>
          </w:p>
        </w:tc>
        <w:tc>
          <w:tcPr>
            <w:tcW w:w="2580" w:type="dxa"/>
            <w:vAlign w:val="bottom"/>
            <w:vMerge w:val="restart"/>
          </w:tcPr>
          <w:p>
            <w:pPr>
              <w:ind w:left="200"/>
              <w:spacing w:after="0"/>
              <w:rPr>
                <w:sz w:val="20"/>
                <w:szCs w:val="20"/>
                <w:color w:val="auto"/>
              </w:rPr>
            </w:pPr>
            <w:r>
              <w:rPr>
                <w:rFonts w:ascii="Arial" w:cs="Arial" w:eastAsia="Arial" w:hAnsi="Arial"/>
                <w:sz w:val="18"/>
                <w:szCs w:val="18"/>
                <w:color w:val="auto"/>
              </w:rPr>
              <w:t>80% Base Rent and 20%</w:t>
            </w:r>
          </w:p>
        </w:tc>
        <w:tc>
          <w:tcPr>
            <w:tcW w:w="2380" w:type="dxa"/>
            <w:vAlign w:val="bottom"/>
            <w:vMerge w:val="restart"/>
          </w:tcPr>
          <w:p>
            <w:pPr>
              <w:ind w:left="200"/>
              <w:spacing w:after="0"/>
              <w:rPr>
                <w:sz w:val="20"/>
                <w:szCs w:val="20"/>
                <w:color w:val="auto"/>
              </w:rPr>
            </w:pPr>
            <w:r>
              <w:rPr>
                <w:rFonts w:ascii="Arial" w:cs="Arial" w:eastAsia="Arial" w:hAnsi="Arial"/>
                <w:sz w:val="18"/>
                <w:szCs w:val="18"/>
                <w:color w:val="auto"/>
              </w:rPr>
              <w:t>80% Base Rent and 20%</w:t>
            </w:r>
          </w:p>
        </w:tc>
        <w:tc>
          <w:tcPr>
            <w:tcW w:w="0" w:type="dxa"/>
            <w:vAlign w:val="bottom"/>
          </w:tcPr>
          <w:p>
            <w:pPr>
              <w:spacing w:after="0"/>
              <w:rPr>
                <w:sz w:val="1"/>
                <w:szCs w:val="1"/>
                <w:color w:val="auto"/>
              </w:rPr>
            </w:pPr>
          </w:p>
        </w:tc>
      </w:tr>
      <w:tr>
        <w:trPr>
          <w:trHeight w:val="176"/>
        </w:trPr>
        <w:tc>
          <w:tcPr>
            <w:tcW w:w="2380" w:type="dxa"/>
            <w:vAlign w:val="bottom"/>
          </w:tcPr>
          <w:p>
            <w:pPr>
              <w:spacing w:after="0" w:line="176" w:lineRule="exact"/>
              <w:rPr>
                <w:sz w:val="20"/>
                <w:szCs w:val="20"/>
                <w:color w:val="auto"/>
              </w:rPr>
            </w:pPr>
            <w:r>
              <w:rPr>
                <w:rFonts w:ascii="Arial" w:cs="Arial" w:eastAsia="Arial" w:hAnsi="Arial"/>
                <w:sz w:val="18"/>
                <w:szCs w:val="18"/>
                <w:color w:val="auto"/>
              </w:rPr>
              <w:t>Rent and 30% Variable Rent</w:t>
            </w:r>
          </w:p>
        </w:tc>
        <w:tc>
          <w:tcPr>
            <w:tcW w:w="258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line="176" w:lineRule="exact"/>
              <w:rPr>
                <w:sz w:val="20"/>
                <w:szCs w:val="20"/>
                <w:color w:val="auto"/>
              </w:rPr>
            </w:pPr>
            <w:r>
              <w:rPr>
                <w:rFonts w:ascii="Arial" w:cs="Arial" w:eastAsia="Arial" w:hAnsi="Arial"/>
                <w:sz w:val="18"/>
                <w:szCs w:val="18"/>
                <w:color w:val="auto"/>
                <w:w w:val="97"/>
              </w:rPr>
              <w:t>Lease years 11-15- 80% Base</w:t>
            </w:r>
          </w:p>
        </w:tc>
        <w:tc>
          <w:tcPr>
            <w:tcW w:w="2580" w:type="dxa"/>
            <w:vAlign w:val="bottom"/>
          </w:tcPr>
          <w:p>
            <w:pPr>
              <w:ind w:left="200"/>
              <w:spacing w:after="0" w:line="176" w:lineRule="exact"/>
              <w:rPr>
                <w:sz w:val="20"/>
                <w:szCs w:val="20"/>
                <w:color w:val="auto"/>
              </w:rPr>
            </w:pPr>
            <w:r>
              <w:rPr>
                <w:rFonts w:ascii="Arial" w:cs="Arial" w:eastAsia="Arial" w:hAnsi="Arial"/>
                <w:sz w:val="18"/>
                <w:szCs w:val="18"/>
                <w:color w:val="auto"/>
              </w:rPr>
              <w:t>Variable Rent</w:t>
            </w:r>
          </w:p>
        </w:tc>
        <w:tc>
          <w:tcPr>
            <w:tcW w:w="2380" w:type="dxa"/>
            <w:vAlign w:val="bottom"/>
          </w:tcPr>
          <w:p>
            <w:pPr>
              <w:ind w:left="200"/>
              <w:spacing w:after="0" w:line="176" w:lineRule="exact"/>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Rent and 20% Variable Rent</w:t>
            </w:r>
          </w:p>
        </w:tc>
        <w:tc>
          <w:tcPr>
            <w:tcW w:w="2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-2310130</wp:posOffset>
            </wp:positionH>
            <wp:positionV relativeFrom="paragraph">
              <wp:posOffset>-650875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940" w:space="720"/>
            <w:col w:w="758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28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86"/>
              </w:rPr>
              <w:t xml:space="preserve">Variable Rent percentage </w:t>
            </w:r>
            <w:r>
              <w:rPr>
                <w:rFonts w:ascii="Arial" w:cs="Arial" w:eastAsia="Arial" w:hAnsi="Arial"/>
                <w:sz w:val="23"/>
                <w:szCs w:val="23"/>
                <w:i w:val="1"/>
                <w:iCs w:val="1"/>
                <w:color w:val="auto"/>
                <w:w w:val="86"/>
                <w:vertAlign w:val="superscript"/>
              </w:rPr>
              <w:t>(5)</w:t>
            </w:r>
          </w:p>
        </w:tc>
        <w:tc>
          <w:tcPr>
            <w:tcW w:w="222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4%</w:t>
            </w:r>
          </w:p>
        </w:tc>
        <w:tc>
          <w:tcPr>
            <w:tcW w:w="25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4%</w:t>
            </w:r>
          </w:p>
        </w:tc>
        <w:tc>
          <w:tcPr>
            <w:tcW w:w="3580" w:type="dxa"/>
            <w:vAlign w:val="bottom"/>
            <w:shd w:val="clear" w:color="auto" w:fill="CCEEFF"/>
          </w:tcPr>
          <w:p>
            <w:pPr>
              <w:jc w:val="right"/>
              <w:ind w:right="2070"/>
              <w:spacing w:after="0"/>
              <w:rPr>
                <w:sz w:val="20"/>
                <w:szCs w:val="20"/>
                <w:color w:val="auto"/>
              </w:rPr>
            </w:pPr>
            <w:r>
              <w:rPr>
                <w:rFonts w:ascii="Arial" w:cs="Arial" w:eastAsia="Arial" w:hAnsi="Arial"/>
                <w:sz w:val="18"/>
                <w:szCs w:val="18"/>
                <w:color w:val="auto"/>
              </w:rPr>
              <w:t>4%</w:t>
            </w:r>
          </w:p>
        </w:tc>
      </w:tr>
      <w:tr>
        <w:trPr>
          <w:trHeight w:val="317"/>
        </w:trPr>
        <w:tc>
          <w:tcPr>
            <w:tcW w:w="2840" w:type="dxa"/>
            <w:vAlign w:val="bottom"/>
            <w:gridSpan w:val="2"/>
          </w:tcPr>
          <w:p>
            <w:pPr>
              <w:jc w:val="right"/>
              <w:ind w:right="950"/>
              <w:spacing w:after="0"/>
              <w:rPr>
                <w:sz w:val="20"/>
                <w:szCs w:val="20"/>
                <w:color w:val="auto"/>
              </w:rPr>
            </w:pPr>
            <w:r>
              <w:rPr>
                <w:rFonts w:ascii="Arial" w:cs="Arial" w:eastAsia="Arial" w:hAnsi="Arial"/>
                <w:sz w:val="18"/>
                <w:szCs w:val="18"/>
                <w:color w:val="auto"/>
                <w:w w:val="88"/>
              </w:rPr>
              <w:t>____________________</w:t>
            </w:r>
          </w:p>
        </w:tc>
        <w:tc>
          <w:tcPr>
            <w:tcW w:w="2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4"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Non-CPLV Lease Agreement, Joliet Lease Agreement and CPLV Lease Agreement, the amount represents the current annual base rent payable for the current lease year which is the period from November 1, 2019 through October 31, 2020. In relation to the HLV Lease Agreement the amount represents current annual base rent payable for the current lease year which is the period from January 1, 2020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2020 and 2019.</w:t>
      </w:r>
    </w:p>
    <w:p>
      <w:pPr>
        <w:jc w:val="both"/>
        <w:ind w:firstLine="8"/>
        <w:spacing w:after="0" w:line="241" w:lineRule="auto"/>
        <w:tabs>
          <w:tab w:leader="none" w:pos="205"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 The coverage floors, which coverage floors serve to reduce the rent escalators under the Caesars Lease Agreements in the event that the “EBITDAR to Rent Ratio” coverage is below the stated floor, will be removed upon execution of the amendments to the Caesars Lease Agreements in connection with the closing of the Eldorado Transaction.</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19"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Net Revenues, as defined in the Caesars Lease Agreements, multiplied by the Variable Rent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46" w:lineRule="exact"/>
        <w:rPr>
          <w:sz w:val="20"/>
          <w:szCs w:val="20"/>
          <w:color w:val="auto"/>
        </w:rPr>
      </w:pPr>
    </w:p>
    <w:p>
      <w:pPr>
        <w:ind w:left="20"/>
        <w:spacing w:after="0"/>
        <w:tabs>
          <w:tab w:leader="none" w:pos="4360" w:val="left"/>
          <w:tab w:leader="none" w:pos="83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90" w:lineRule="exact"/>
        <w:rPr>
          <w:sz w:val="20"/>
          <w:szCs w:val="20"/>
          <w:color w:val="auto"/>
        </w:rPr>
      </w:pPr>
    </w:p>
    <w:p>
      <w:pPr>
        <w:ind w:left="120" w:right="900" w:hanging="89"/>
        <w:spacing w:after="0" w:line="354" w:lineRule="auto"/>
        <w:rPr>
          <w:sz w:val="20"/>
          <w:szCs w:val="20"/>
          <w:color w:val="auto"/>
        </w:rPr>
      </w:pPr>
      <w:r>
        <w:rPr>
          <w:rFonts w:ascii="Arial" w:cs="Arial" w:eastAsia="Arial" w:hAnsi="Arial"/>
          <w:sz w:val="15"/>
          <w:szCs w:val="15"/>
          <w:color w:val="auto"/>
        </w:rPr>
        <w:t xml:space="preserve">Current annual rent </w:t>
      </w:r>
      <w:r>
        <w:rPr>
          <w:rFonts w:ascii="Arial" w:cs="Arial" w:eastAsia="Arial" w:hAnsi="Arial"/>
          <w:sz w:val="19"/>
          <w:szCs w:val="19"/>
          <w:i w:val="1"/>
          <w:iCs w:val="1"/>
          <w:color w:val="auto"/>
          <w:vertAlign w:val="superscript"/>
        </w:rPr>
        <w:t>(1)</w:t>
      </w:r>
      <w:r>
        <w:rPr>
          <w:rFonts w:ascii="Arial" w:cs="Arial" w:eastAsia="Arial" w:hAnsi="Arial"/>
          <w:sz w:val="15"/>
          <w:szCs w:val="15"/>
          <w:color w:val="auto"/>
        </w:rPr>
        <w:t xml:space="preserve"> Escalation commencement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Escalation</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Performance to rent ratio floor </w:t>
      </w:r>
      <w:r>
        <w:rPr>
          <w:rFonts w:ascii="Arial" w:cs="Arial" w:eastAsia="Arial" w:hAnsi="Arial"/>
          <w:sz w:val="20"/>
          <w:szCs w:val="20"/>
          <w:i w:val="1"/>
          <w:iCs w:val="1"/>
          <w:color w:val="auto"/>
          <w:vertAlign w:val="superscript"/>
        </w:rPr>
        <w:t>(2)</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Percentage rent reset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15 years</w:t>
            </w:r>
          </w:p>
        </w:tc>
        <w:tc>
          <w:tcPr>
            <w:tcW w:w="3900" w:type="dxa"/>
            <w:vAlign w:val="bottom"/>
          </w:tcPr>
          <w:p>
            <w:pPr>
              <w:ind w:left="220"/>
              <w:spacing w:after="0"/>
              <w:rPr>
                <w:sz w:val="20"/>
                <w:szCs w:val="20"/>
                <w:color w:val="auto"/>
              </w:rPr>
            </w:pPr>
            <w:r>
              <w:rPr>
                <w:rFonts w:ascii="Arial" w:cs="Arial" w:eastAsia="Arial" w:hAnsi="Arial"/>
                <w:sz w:val="18"/>
                <w:szCs w:val="18"/>
                <w:color w:val="auto"/>
              </w:rPr>
              <w:t>15 years</w:t>
            </w:r>
          </w:p>
        </w:tc>
      </w:tr>
      <w:tr>
        <w:trPr>
          <w:trHeight w:val="297"/>
        </w:trPr>
        <w:tc>
          <w:tcPr>
            <w:tcW w:w="3640" w:type="dxa"/>
            <w:vAlign w:val="bottom"/>
          </w:tcPr>
          <w:p>
            <w:pPr>
              <w:spacing w:after="0"/>
              <w:rPr>
                <w:sz w:val="20"/>
                <w:szCs w:val="20"/>
                <w:color w:val="auto"/>
              </w:rPr>
            </w:pPr>
            <w:r>
              <w:rPr>
                <w:rFonts w:ascii="Arial" w:cs="Arial" w:eastAsia="Arial" w:hAnsi="Arial"/>
                <w:sz w:val="18"/>
                <w:szCs w:val="18"/>
                <w:color w:val="auto"/>
              </w:rPr>
              <w:t>Four, five-year terms</w:t>
            </w:r>
          </w:p>
        </w:tc>
        <w:tc>
          <w:tcPr>
            <w:tcW w:w="3900" w:type="dxa"/>
            <w:vAlign w:val="bottom"/>
          </w:tcPr>
          <w:p>
            <w:pPr>
              <w:ind w:left="220"/>
              <w:spacing w:after="0"/>
              <w:rPr>
                <w:sz w:val="20"/>
                <w:szCs w:val="20"/>
                <w:color w:val="auto"/>
              </w:rPr>
            </w:pPr>
            <w:r>
              <w:rPr>
                <w:rFonts w:ascii="Arial" w:cs="Arial" w:eastAsia="Arial" w:hAnsi="Arial"/>
                <w:sz w:val="18"/>
                <w:szCs w:val="18"/>
                <w:color w:val="auto"/>
              </w:rPr>
              <w:t>Four, five-year terms</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$23,544</w:t>
            </w:r>
          </w:p>
        </w:tc>
        <w:tc>
          <w:tcPr>
            <w:tcW w:w="3900" w:type="dxa"/>
            <w:vAlign w:val="bottom"/>
          </w:tcPr>
          <w:p>
            <w:pPr>
              <w:ind w:left="220"/>
              <w:spacing w:after="0"/>
              <w:rPr>
                <w:sz w:val="20"/>
                <w:szCs w:val="20"/>
                <w:color w:val="auto"/>
              </w:rPr>
            </w:pPr>
            <w:r>
              <w:rPr>
                <w:rFonts w:ascii="Arial" w:cs="Arial" w:eastAsia="Arial" w:hAnsi="Arial"/>
                <w:sz w:val="18"/>
                <w:szCs w:val="18"/>
                <w:color w:val="auto"/>
              </w:rPr>
              <w:t>$55,600</w:t>
            </w:r>
          </w:p>
        </w:tc>
      </w:tr>
      <w:tr>
        <w:trPr>
          <w:trHeight w:val="270"/>
        </w:trPr>
        <w:tc>
          <w:tcPr>
            <w:tcW w:w="3640" w:type="dxa"/>
            <w:vAlign w:val="bottom"/>
          </w:tcPr>
          <w:p>
            <w:pPr>
              <w:spacing w:after="0"/>
              <w:rPr>
                <w:sz w:val="20"/>
                <w:szCs w:val="20"/>
                <w:color w:val="auto"/>
              </w:rPr>
            </w:pPr>
            <w:r>
              <w:rPr>
                <w:rFonts w:ascii="Arial" w:cs="Arial" w:eastAsia="Arial" w:hAnsi="Arial"/>
                <w:sz w:val="18"/>
                <w:szCs w:val="18"/>
                <w:color w:val="auto"/>
              </w:rPr>
              <w:t>Lease year two</w:t>
            </w:r>
          </w:p>
        </w:tc>
        <w:tc>
          <w:tcPr>
            <w:tcW w:w="3900" w:type="dxa"/>
            <w:vAlign w:val="bottom"/>
          </w:tcPr>
          <w:p>
            <w:pPr>
              <w:ind w:left="220"/>
              <w:spacing w:after="0"/>
              <w:rPr>
                <w:sz w:val="20"/>
                <w:szCs w:val="20"/>
                <w:color w:val="auto"/>
              </w:rPr>
            </w:pPr>
            <w:r>
              <w:rPr>
                <w:rFonts w:ascii="Arial" w:cs="Arial" w:eastAsia="Arial" w:hAnsi="Arial"/>
                <w:sz w:val="18"/>
                <w:szCs w:val="18"/>
                <w:color w:val="auto"/>
              </w:rPr>
              <w:t>Lease year two</w:t>
            </w: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2% of Building base rent, subject to the net</w:t>
            </w:r>
          </w:p>
        </w:tc>
        <w:tc>
          <w:tcPr>
            <w:tcW w:w="3900" w:type="dxa"/>
            <w:vAlign w:val="bottom"/>
          </w:tcPr>
          <w:p>
            <w:pPr>
              <w:ind w:left="220"/>
              <w:spacing w:after="0" w:line="202" w:lineRule="exact"/>
              <w:rPr>
                <w:sz w:val="20"/>
                <w:szCs w:val="20"/>
                <w:color w:val="auto"/>
              </w:rPr>
            </w:pPr>
            <w:r>
              <w:rPr>
                <w:rFonts w:ascii="Arial" w:cs="Arial" w:eastAsia="Arial" w:hAnsi="Arial"/>
                <w:sz w:val="18"/>
                <w:szCs w:val="18"/>
                <w:color w:val="auto"/>
                <w:w w:val="92"/>
              </w:rPr>
              <w:t>2% of Building base rent, subject to the EBITDAR</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revenue to rent ratio floor</w:t>
            </w:r>
          </w:p>
        </w:tc>
        <w:tc>
          <w:tcPr>
            <w:tcW w:w="3900" w:type="dxa"/>
            <w:vAlign w:val="bottom"/>
          </w:tcPr>
          <w:p>
            <w:pPr>
              <w:ind w:left="220"/>
              <w:spacing w:after="0"/>
              <w:rPr>
                <w:sz w:val="20"/>
                <w:szCs w:val="20"/>
                <w:color w:val="auto"/>
              </w:rPr>
            </w:pPr>
            <w:r>
              <w:rPr>
                <w:rFonts w:ascii="Arial" w:cs="Arial" w:eastAsia="Arial" w:hAnsi="Arial"/>
                <w:sz w:val="18"/>
                <w:szCs w:val="18"/>
                <w:color w:val="auto"/>
              </w:rPr>
              <w:t>to rent ratio floor</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w w:val="99"/>
              </w:rPr>
              <w:t>6.1x net revenue commencing lease year two</w:t>
            </w:r>
          </w:p>
        </w:tc>
        <w:tc>
          <w:tcPr>
            <w:tcW w:w="3900" w:type="dxa"/>
            <w:vAlign w:val="bottom"/>
          </w:tcPr>
          <w:p>
            <w:pPr>
              <w:ind w:left="220"/>
              <w:spacing w:after="0"/>
              <w:rPr>
                <w:sz w:val="20"/>
                <w:szCs w:val="20"/>
                <w:color w:val="auto"/>
              </w:rPr>
            </w:pPr>
            <w:r>
              <w:rPr>
                <w:rFonts w:ascii="Arial" w:cs="Arial" w:eastAsia="Arial" w:hAnsi="Arial"/>
                <w:sz w:val="18"/>
                <w:szCs w:val="18"/>
                <w:color w:val="auto"/>
              </w:rPr>
              <w:t>1.85x EBITDAR commencing lease year two</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$3,000 (fixed for lease year one and two)</w:t>
            </w:r>
          </w:p>
        </w:tc>
        <w:tc>
          <w:tcPr>
            <w:tcW w:w="3900" w:type="dxa"/>
            <w:vAlign w:val="bottom"/>
          </w:tcPr>
          <w:p>
            <w:pPr>
              <w:ind w:left="220"/>
              <w:spacing w:after="0"/>
              <w:rPr>
                <w:sz w:val="20"/>
                <w:szCs w:val="20"/>
                <w:color w:val="auto"/>
              </w:rPr>
            </w:pPr>
            <w:r>
              <w:rPr>
                <w:rFonts w:ascii="Arial" w:cs="Arial" w:eastAsia="Arial" w:hAnsi="Arial"/>
                <w:sz w:val="18"/>
                <w:szCs w:val="18"/>
                <w:color w:val="auto"/>
              </w:rPr>
              <w:t>$6,400 (fixed for lease year one and two)</w:t>
            </w: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w w:val="92"/>
              </w:rPr>
              <w:t>Lease year three and each and every other lease</w:t>
            </w:r>
          </w:p>
        </w:tc>
        <w:tc>
          <w:tcPr>
            <w:tcW w:w="3900" w:type="dxa"/>
            <w:vAlign w:val="bottom"/>
          </w:tcPr>
          <w:p>
            <w:pPr>
              <w:ind w:left="220"/>
              <w:spacing w:after="0" w:line="176" w:lineRule="exact"/>
              <w:rPr>
                <w:sz w:val="20"/>
                <w:szCs w:val="20"/>
                <w:color w:val="auto"/>
              </w:rPr>
            </w:pPr>
            <w:r>
              <w:rPr>
                <w:rFonts w:ascii="Arial" w:cs="Arial" w:eastAsia="Arial" w:hAnsi="Arial"/>
                <w:sz w:val="18"/>
                <w:szCs w:val="18"/>
                <w:color w:val="auto"/>
                <w:w w:val="93"/>
              </w:rPr>
              <w:t>Lease year three and each and every other lease</w:t>
            </w:r>
          </w:p>
        </w:tc>
      </w:tr>
      <w:tr>
        <w:trPr>
          <w:trHeight w:val="228"/>
        </w:trPr>
        <w:tc>
          <w:tcPr>
            <w:tcW w:w="3640" w:type="dxa"/>
            <w:vAlign w:val="bottom"/>
          </w:tcPr>
          <w:p>
            <w:pPr>
              <w:spacing w:after="0"/>
              <w:rPr>
                <w:sz w:val="20"/>
                <w:szCs w:val="20"/>
                <w:color w:val="auto"/>
              </w:rPr>
            </w:pPr>
            <w:r>
              <w:rPr>
                <w:rFonts w:ascii="Arial" w:cs="Arial" w:eastAsia="Arial" w:hAnsi="Arial"/>
                <w:sz w:val="18"/>
                <w:szCs w:val="18"/>
                <w:color w:val="auto"/>
              </w:rPr>
              <w:t>year thereafter</w:t>
            </w:r>
          </w:p>
        </w:tc>
        <w:tc>
          <w:tcPr>
            <w:tcW w:w="3900" w:type="dxa"/>
            <w:vAlign w:val="bottom"/>
          </w:tcPr>
          <w:p>
            <w:pPr>
              <w:ind w:left="220"/>
              <w:spacing w:after="0"/>
              <w:rPr>
                <w:sz w:val="20"/>
                <w:szCs w:val="20"/>
                <w:color w:val="auto"/>
              </w:rPr>
            </w:pPr>
            <w:r>
              <w:rPr>
                <w:rFonts w:ascii="Arial" w:cs="Arial" w:eastAsia="Arial" w:hAnsi="Arial"/>
                <w:sz w:val="18"/>
                <w:szCs w:val="18"/>
                <w:color w:val="auto"/>
              </w:rPr>
              <w:t>year thereafter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-1146810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-803910</wp:posOffset>
            </wp:positionV>
            <wp:extent cx="713232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-401320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40" w:space="720"/>
            <w:col w:w="758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2820" w:type="dxa"/>
            <w:vAlign w:val="bottom"/>
            <w:shd w:val="clear" w:color="auto" w:fill="CCEEFF"/>
          </w:tcPr>
          <w:p>
            <w:pPr>
              <w:spacing w:after="0"/>
              <w:rPr>
                <w:sz w:val="15"/>
                <w:szCs w:val="15"/>
                <w:color w:val="auto"/>
              </w:rPr>
            </w:pPr>
          </w:p>
        </w:tc>
        <w:tc>
          <w:tcPr>
            <w:tcW w:w="4620" w:type="dxa"/>
            <w:vAlign w:val="bottom"/>
            <w:shd w:val="clear" w:color="auto" w:fill="CCEEFF"/>
          </w:tcPr>
          <w:p>
            <w:pPr>
              <w:ind w:left="840"/>
              <w:spacing w:after="0" w:line="177" w:lineRule="exact"/>
              <w:rPr>
                <w:sz w:val="20"/>
                <w:szCs w:val="20"/>
                <w:color w:val="auto"/>
              </w:rPr>
            </w:pPr>
            <w:r>
              <w:rPr>
                <w:rFonts w:ascii="Arial" w:cs="Arial" w:eastAsia="Arial" w:hAnsi="Arial"/>
                <w:sz w:val="18"/>
                <w:szCs w:val="18"/>
                <w:color w:val="auto"/>
                <w:w w:val="94"/>
              </w:rPr>
              <w:t>The product of (i) 4% and (ii) the excess (if any) of</w:t>
            </w:r>
          </w:p>
        </w:tc>
        <w:tc>
          <w:tcPr>
            <w:tcW w:w="3800" w:type="dxa"/>
            <w:vAlign w:val="bottom"/>
            <w:shd w:val="clear" w:color="auto" w:fill="CCEEFF"/>
          </w:tcPr>
          <w:p>
            <w:pPr>
              <w:ind w:left="80"/>
              <w:spacing w:after="0" w:line="177" w:lineRule="exact"/>
              <w:rPr>
                <w:sz w:val="20"/>
                <w:szCs w:val="20"/>
                <w:color w:val="auto"/>
              </w:rPr>
            </w:pPr>
            <w:r>
              <w:rPr>
                <w:rFonts w:ascii="Arial" w:cs="Arial" w:eastAsia="Arial" w:hAnsi="Arial"/>
                <w:sz w:val="18"/>
                <w:szCs w:val="18"/>
                <w:color w:val="auto"/>
                <w:w w:val="92"/>
              </w:rPr>
              <w:t>The product of (i) 4% and (ii) the excess (if any) of</w:t>
            </w:r>
          </w:p>
        </w:tc>
        <w:tc>
          <w:tcPr>
            <w:tcW w:w="0" w:type="dxa"/>
            <w:vAlign w:val="bottom"/>
          </w:tcPr>
          <w:p>
            <w:pPr>
              <w:spacing w:after="0"/>
              <w:rPr>
                <w:sz w:val="1"/>
                <w:szCs w:val="1"/>
                <w:color w:val="auto"/>
              </w:rPr>
            </w:pPr>
          </w:p>
        </w:tc>
      </w:tr>
      <w:tr>
        <w:trPr>
          <w:trHeight w:val="175"/>
        </w:trPr>
        <w:tc>
          <w:tcPr>
            <w:tcW w:w="2820" w:type="dxa"/>
            <w:vAlign w:val="bottom"/>
            <w:vMerge w:val="restart"/>
            <w:shd w:val="clear" w:color="auto" w:fill="CCEEFF"/>
          </w:tcPr>
          <w:p>
            <w:pPr>
              <w:jc w:val="right"/>
              <w:ind w:right="730"/>
              <w:spacing w:after="0"/>
              <w:rPr>
                <w:sz w:val="20"/>
                <w:szCs w:val="20"/>
                <w:color w:val="auto"/>
              </w:rPr>
            </w:pPr>
            <w:r>
              <w:rPr>
                <w:rFonts w:ascii="Arial" w:cs="Arial" w:eastAsia="Arial" w:hAnsi="Arial"/>
                <w:sz w:val="18"/>
                <w:szCs w:val="18"/>
                <w:color w:val="auto"/>
                <w:w w:val="96"/>
              </w:rPr>
              <w:t>Percentage rent multiplier</w:t>
            </w:r>
          </w:p>
        </w:tc>
        <w:tc>
          <w:tcPr>
            <w:tcW w:w="4620" w:type="dxa"/>
            <w:vAlign w:val="bottom"/>
            <w:shd w:val="clear" w:color="auto" w:fill="CCEEFF"/>
          </w:tcPr>
          <w:p>
            <w:pPr>
              <w:ind w:left="840"/>
              <w:spacing w:after="0" w:line="176" w:lineRule="exact"/>
              <w:rPr>
                <w:sz w:val="20"/>
                <w:szCs w:val="20"/>
                <w:color w:val="auto"/>
              </w:rPr>
            </w:pPr>
            <w:r>
              <w:rPr>
                <w:rFonts w:ascii="Arial" w:cs="Arial" w:eastAsia="Arial" w:hAnsi="Arial"/>
                <w:sz w:val="18"/>
                <w:szCs w:val="18"/>
                <w:color w:val="auto"/>
              </w:rPr>
              <w:t>(a) the average annual net revenue of a trailing</w:t>
            </w:r>
          </w:p>
        </w:tc>
        <w:tc>
          <w:tcPr>
            <w:tcW w:w="38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8"/>
              </w:rPr>
              <w:t>(a) the average annual net revenue of a trailing</w:t>
            </w:r>
          </w:p>
        </w:tc>
        <w:tc>
          <w:tcPr>
            <w:tcW w:w="0" w:type="dxa"/>
            <w:vAlign w:val="bottom"/>
          </w:tcPr>
          <w:p>
            <w:pPr>
              <w:spacing w:after="0"/>
              <w:rPr>
                <w:sz w:val="1"/>
                <w:szCs w:val="1"/>
                <w:color w:val="auto"/>
              </w:rPr>
            </w:pPr>
          </w:p>
        </w:tc>
      </w:tr>
      <w:tr>
        <w:trPr>
          <w:trHeight w:val="176"/>
        </w:trPr>
        <w:tc>
          <w:tcPr>
            <w:tcW w:w="2820" w:type="dxa"/>
            <w:vAlign w:val="bottom"/>
            <w:vMerge w:val="continue"/>
            <w:shd w:val="clear" w:color="auto" w:fill="CCEEFF"/>
          </w:tcPr>
          <w:p>
            <w:pPr>
              <w:spacing w:after="0"/>
              <w:rPr>
                <w:sz w:val="15"/>
                <w:szCs w:val="15"/>
                <w:color w:val="auto"/>
              </w:rPr>
            </w:pPr>
          </w:p>
        </w:tc>
        <w:tc>
          <w:tcPr>
            <w:tcW w:w="4620" w:type="dxa"/>
            <w:vAlign w:val="bottom"/>
            <w:shd w:val="clear" w:color="auto" w:fill="CCEEFF"/>
          </w:tcPr>
          <w:p>
            <w:pPr>
              <w:ind w:left="840"/>
              <w:spacing w:after="0" w:line="176" w:lineRule="exact"/>
              <w:rPr>
                <w:sz w:val="20"/>
                <w:szCs w:val="20"/>
                <w:color w:val="auto"/>
              </w:rPr>
            </w:pPr>
            <w:r>
              <w:rPr>
                <w:rFonts w:ascii="Arial" w:cs="Arial" w:eastAsia="Arial" w:hAnsi="Arial"/>
                <w:sz w:val="18"/>
                <w:szCs w:val="18"/>
                <w:color w:val="auto"/>
                <w:w w:val="93"/>
              </w:rPr>
              <w:t>two-year period preceding such reset year over (b)</w:t>
            </w:r>
          </w:p>
        </w:tc>
        <w:tc>
          <w:tcPr>
            <w:tcW w:w="38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1"/>
              </w:rPr>
              <w:t>two-year period preceding such reset year over (b)</w:t>
            </w:r>
          </w:p>
        </w:tc>
        <w:tc>
          <w:tcPr>
            <w:tcW w:w="0" w:type="dxa"/>
            <w:vAlign w:val="bottom"/>
          </w:tcPr>
          <w:p>
            <w:pPr>
              <w:spacing w:after="0"/>
              <w:rPr>
                <w:sz w:val="1"/>
                <w:szCs w:val="1"/>
                <w:color w:val="auto"/>
              </w:rPr>
            </w:pPr>
          </w:p>
        </w:tc>
      </w:tr>
      <w:tr>
        <w:trPr>
          <w:trHeight w:val="175"/>
        </w:trPr>
        <w:tc>
          <w:tcPr>
            <w:tcW w:w="2820" w:type="dxa"/>
            <w:vAlign w:val="bottom"/>
            <w:shd w:val="clear" w:color="auto" w:fill="CCEEFF"/>
          </w:tcPr>
          <w:p>
            <w:pPr>
              <w:spacing w:after="0"/>
              <w:rPr>
                <w:sz w:val="15"/>
                <w:szCs w:val="15"/>
                <w:color w:val="auto"/>
              </w:rPr>
            </w:pPr>
          </w:p>
        </w:tc>
        <w:tc>
          <w:tcPr>
            <w:tcW w:w="4620" w:type="dxa"/>
            <w:vAlign w:val="bottom"/>
            <w:shd w:val="clear" w:color="auto" w:fill="CCEEFF"/>
          </w:tcPr>
          <w:p>
            <w:pPr>
              <w:ind w:left="840"/>
              <w:spacing w:after="0" w:line="176" w:lineRule="exact"/>
              <w:rPr>
                <w:sz w:val="20"/>
                <w:szCs w:val="20"/>
                <w:color w:val="auto"/>
              </w:rPr>
            </w:pPr>
            <w:r>
              <w:rPr>
                <w:rFonts w:ascii="Arial" w:cs="Arial" w:eastAsia="Arial" w:hAnsi="Arial"/>
                <w:sz w:val="18"/>
                <w:szCs w:val="18"/>
                <w:color w:val="auto"/>
                <w:w w:val="98"/>
              </w:rPr>
              <w:t>a threshold amount (defined as 50% of LTM net</w:t>
            </w:r>
          </w:p>
        </w:tc>
        <w:tc>
          <w:tcPr>
            <w:tcW w:w="380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7"/>
              </w:rPr>
              <w:t>a threshold amount (defined as 50% of LTM net</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19"/>
                <w:szCs w:val="19"/>
                <w:color w:val="auto"/>
              </w:rPr>
            </w:pPr>
          </w:p>
        </w:tc>
        <w:tc>
          <w:tcPr>
            <w:tcW w:w="46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revenues prior to acquisition)</w:t>
            </w:r>
          </w:p>
        </w:tc>
        <w:tc>
          <w:tcPr>
            <w:tcW w:w="3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revenues prior to acquisition)</w:t>
            </w:r>
          </w:p>
        </w:tc>
        <w:tc>
          <w:tcPr>
            <w:tcW w:w="0" w:type="dxa"/>
            <w:vAlign w:val="bottom"/>
          </w:tcPr>
          <w:p>
            <w:pPr>
              <w:spacing w:after="0"/>
              <w:rPr>
                <w:sz w:val="1"/>
                <w:szCs w:val="1"/>
                <w:color w:val="auto"/>
              </w:rPr>
            </w:pPr>
          </w:p>
        </w:tc>
      </w:tr>
      <w:tr>
        <w:trPr>
          <w:trHeight w:val="317"/>
        </w:trPr>
        <w:tc>
          <w:tcPr>
            <w:tcW w:w="2820" w:type="dxa"/>
            <w:vAlign w:val="bottom"/>
          </w:tcPr>
          <w:p>
            <w:pPr>
              <w:jc w:val="right"/>
              <w:ind w:right="930"/>
              <w:spacing w:after="0"/>
              <w:rPr>
                <w:sz w:val="20"/>
                <w:szCs w:val="20"/>
                <w:color w:val="auto"/>
              </w:rPr>
            </w:pPr>
            <w:r>
              <w:rPr>
                <w:rFonts w:ascii="Arial" w:cs="Arial" w:eastAsia="Arial" w:hAnsi="Arial"/>
                <w:sz w:val="18"/>
                <w:szCs w:val="18"/>
                <w:color w:val="auto"/>
                <w:w w:val="88"/>
              </w:rPr>
              <w:t>____________________</w:t>
            </w:r>
          </w:p>
        </w:tc>
        <w:tc>
          <w:tcPr>
            <w:tcW w:w="4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8"/>
        <w:spacing w:after="0" w:line="241" w:lineRule="auto"/>
        <w:tabs>
          <w:tab w:leader="none" w:pos="218"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2020 through January 31, 2021. In relation to the Greektown Lease Agreement, the amount represents current annual base rent payable for the current lease year which is the period from May 23, 2019 through May 31, 2020.</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9"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February 2020, the performance basis of such ratio was adjusted from a 1.9x EBITDAR ratio to a 6.1x net revenue ratio. In the event that the net revenue or EBITDAR to rent ratio coverage, as applicable, is below the stated floor, the escalation will be reduced to such amount to achieve the stated net revenue or EBITDAR to rent ratio coverage, as applicable, provided that the amount shall never result in a decrease to the prior year’s rent. In relation to the Greektown Lease Agreement, the EBITDAR to rent ratio floor is conditioned upon obtaining a favorable private letter ruling from the Internal Revenue Service.</w:t>
      </w:r>
    </w:p>
    <w:p>
      <w:pPr>
        <w:spacing w:after="0" w:line="1" w:lineRule="exact"/>
        <w:rPr>
          <w:rFonts w:ascii="Arial" w:cs="Arial" w:eastAsia="Arial" w:hAnsi="Arial"/>
          <w:sz w:val="14"/>
          <w:szCs w:val="14"/>
          <w:i w:val="1"/>
          <w:iCs w:val="1"/>
          <w:color w:val="auto"/>
        </w:rPr>
      </w:pPr>
    </w:p>
    <w:p>
      <w:pPr>
        <w:jc w:val="both"/>
        <w:ind w:firstLine="8"/>
        <w:spacing w:after="0" w:line="246" w:lineRule="auto"/>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 After the percentage rent reset in lease year three, any amounts related to percentage rent are considered contingent rent in accordance with GAAP. During the three months ended March 31, 2020 we recognized approximately $60 in contingent rent in relation to the Margaritaville Lease Agreement escalation. No such rent has been recognized for the three months ended March 31, 2019. In relation to the Greektown Lease Agreement, no such rent has been recognized for the three months ended March 31, 2020 and 2019.</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Hard Rock Cincinnati Lease Agreement: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7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580" w:type="dxa"/>
            <w:vAlign w:val="bottom"/>
          </w:tcPr>
          <w:p>
            <w:pPr>
              <w:ind w:left="360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7580" w:type="dxa"/>
            <w:vAlign w:val="bottom"/>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3"/>
                <w:szCs w:val="23"/>
                <w:i w:val="1"/>
                <w:iCs w:val="1"/>
                <w:color w:val="auto"/>
                <w:vertAlign w:val="superscript"/>
              </w:rPr>
              <w:t>(1)</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Escalator commencement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6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640" w:type="dxa"/>
            <w:vAlign w:val="bottom"/>
            <w:gridSpan w:val="3"/>
            <w:vMerge w:val="continue"/>
            <w:shd w:val="clear" w:color="auto" w:fill="CCEEFF"/>
          </w:tcPr>
          <w:p>
            <w:pPr>
              <w:spacing w:after="0"/>
              <w:rPr>
                <w:sz w:val="15"/>
                <w:szCs w:val="15"/>
                <w:color w:val="auto"/>
              </w:rPr>
            </w:pPr>
          </w:p>
        </w:tc>
        <w:tc>
          <w:tcPr>
            <w:tcW w:w="7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Variable rent commencement/reset</w:t>
            </w:r>
          </w:p>
        </w:tc>
        <w:tc>
          <w:tcPr>
            <w:tcW w:w="7580" w:type="dxa"/>
            <w:vAlign w:val="bottom"/>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40" w:type="dxa"/>
            <w:vAlign w:val="bottom"/>
            <w:gridSpan w:val="3"/>
          </w:tcPr>
          <w:p>
            <w:pPr>
              <w:spacing w:after="0" w:line="255"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580" w:type="dxa"/>
            <w:vAlign w:val="bottom"/>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September 20, 2019 through September 30,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2020 and 2019.</w:t>
      </w:r>
    </w:p>
    <w:p>
      <w:pPr>
        <w:ind w:right="20" w:firstLine="8"/>
        <w:spacing w:after="0" w:line="255" w:lineRule="auto"/>
        <w:tabs>
          <w:tab w:leader="none" w:pos="211"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Century Portfolio Lease Agreement: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46"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Escalator commencement</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 to rent ratio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14605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$25,000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14605</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years 2-3 - 1.0%</w:t>
      </w:r>
    </w:p>
    <w:p>
      <w:pPr>
        <w:spacing w:after="0"/>
        <w:rPr>
          <w:sz w:val="20"/>
          <w:szCs w:val="20"/>
          <w:color w:val="auto"/>
        </w:rPr>
      </w:pPr>
      <w:r>
        <w:rPr>
          <w:rFonts w:ascii="Arial" w:cs="Arial" w:eastAsia="Arial" w:hAnsi="Arial"/>
          <w:sz w:val="18"/>
          <w:szCs w:val="18"/>
          <w:color w:val="auto"/>
        </w:rPr>
        <w:t>Lease years 4-15 - The greater of 1.25% or the change in CPI</w:t>
      </w:r>
    </w:p>
    <w:p>
      <w:pPr>
        <w:spacing w:after="0" w:line="7"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21" w:lineRule="exact"/>
        <w:rPr>
          <w:sz w:val="20"/>
          <w:szCs w:val="20"/>
          <w:color w:val="auto"/>
        </w:rPr>
      </w:pPr>
    </w:p>
    <w:p>
      <w:pPr>
        <w:sectPr>
          <w:pgSz w:w="11900" w:h="16838" w:orient="portrait"/>
          <w:cols w:equalWidth="0" w:num="2">
            <w:col w:w="2960" w:space="720"/>
            <w:col w:w="756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rent commencement/reset</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Lease year 8 and 11</w:t>
            </w:r>
          </w:p>
        </w:tc>
      </w:tr>
      <w:tr>
        <w:trPr>
          <w:trHeight w:val="229"/>
        </w:trPr>
        <w:tc>
          <w:tcPr>
            <w:tcW w:w="3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8140" w:type="dxa"/>
            <w:vAlign w:val="bottom"/>
          </w:tcPr>
          <w:p>
            <w:pPr>
              <w:ind w:left="580"/>
              <w:spacing w:after="0"/>
              <w:rPr>
                <w:sz w:val="20"/>
                <w:szCs w:val="20"/>
                <w:color w:val="auto"/>
              </w:rPr>
            </w:pPr>
            <w:r>
              <w:rPr>
                <w:rFonts w:ascii="Arial" w:cs="Arial" w:eastAsia="Arial" w:hAnsi="Arial"/>
                <w:sz w:val="18"/>
                <w:szCs w:val="18"/>
                <w:color w:val="auto"/>
              </w:rPr>
              <w:t>80% Base Rent and 20% Variable Rent</w:t>
            </w: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w:t>
            </w: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____________________</w:t>
            </w:r>
          </w:p>
        </w:tc>
        <w:tc>
          <w:tcPr>
            <w:tcW w:w="8140" w:type="dxa"/>
            <w:vAlign w:val="bottom"/>
          </w:tcPr>
          <w:p>
            <w:pPr>
              <w:spacing w:after="0"/>
              <w:rPr>
                <w:sz w:val="18"/>
                <w:szCs w:val="18"/>
                <w:color w:val="auto"/>
              </w:rPr>
            </w:pPr>
          </w:p>
        </w:tc>
      </w:tr>
    </w:tbl>
    <w:p>
      <w:pPr>
        <w:ind w:left="220" w:hanging="212"/>
        <w:spacing w:after="0"/>
        <w:tabs>
          <w:tab w:leader="none" w:pos="2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December 6, 2019 through December 31, 2020.</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2020 and 2019.</w:t>
      </w:r>
    </w:p>
    <w:p>
      <w:pPr>
        <w:jc w:val="both"/>
        <w:ind w:firstLine="8"/>
        <w:spacing w:after="0" w:line="248" w:lineRule="auto"/>
        <w:tabs>
          <w:tab w:leader="none" w:pos="204"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 (Continued)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material lease provisions of our JACK Cleveland/Thistledown Lease Agreement: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46" w:lineRule="exact"/>
        <w:rPr>
          <w:sz w:val="20"/>
          <w:szCs w:val="20"/>
          <w:color w:val="auto"/>
        </w:rPr>
      </w:pPr>
    </w:p>
    <w:p>
      <w:pPr>
        <w:ind w:left="20"/>
        <w:spacing w:after="0"/>
        <w:tabs>
          <w:tab w:leader="none" w:pos="724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Escalator commencement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 to rent ratio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15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14605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$65,880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14605</wp:posOffset>
            </wp:positionV>
            <wp:extent cx="7132320" cy="368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years 2-3 - 1.0%</w:t>
      </w:r>
    </w:p>
    <w:p>
      <w:pPr>
        <w:spacing w:after="0" w:line="203" w:lineRule="auto"/>
        <w:rPr>
          <w:sz w:val="20"/>
          <w:szCs w:val="20"/>
          <w:color w:val="auto"/>
        </w:rPr>
      </w:pPr>
      <w:r>
        <w:rPr>
          <w:rFonts w:ascii="Arial" w:cs="Arial" w:eastAsia="Arial" w:hAnsi="Arial"/>
          <w:sz w:val="18"/>
          <w:szCs w:val="18"/>
          <w:color w:val="auto"/>
        </w:rPr>
        <w:t>Lease years 4-6 - 1.5%</w:t>
      </w:r>
    </w:p>
    <w:p>
      <w:pPr>
        <w:spacing w:after="0"/>
        <w:rPr>
          <w:sz w:val="20"/>
          <w:szCs w:val="20"/>
          <w:color w:val="auto"/>
        </w:rPr>
      </w:pPr>
      <w:r>
        <w:rPr>
          <w:rFonts w:ascii="Arial" w:cs="Arial" w:eastAsia="Arial" w:hAnsi="Arial"/>
          <w:sz w:val="18"/>
          <w:szCs w:val="18"/>
          <w:color w:val="auto"/>
        </w:rPr>
        <w:t>Lease Years 7-15 - The greater of 1.5% or the change in CPI capped at 2.5%</w:t>
      </w:r>
    </w:p>
    <w:p>
      <w:pPr>
        <w:spacing w:after="0" w:line="7"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4.9x in any lease year (commencing in lease year 5) - if the coverage ratio is below the stated amount, there is no escalation in rent for such lease year</w:t>
      </w:r>
    </w:p>
    <w:p>
      <w:pPr>
        <w:spacing w:after="0" w:line="21" w:lineRule="exact"/>
        <w:rPr>
          <w:sz w:val="20"/>
          <w:szCs w:val="20"/>
          <w:color w:val="auto"/>
        </w:rPr>
      </w:pPr>
    </w:p>
    <w:p>
      <w:pPr>
        <w:sectPr>
          <w:pgSz w:w="11900" w:h="16838" w:orient="portrait"/>
          <w:cols w:equalWidth="0" w:num="2">
            <w:col w:w="2960" w:space="720"/>
            <w:col w:w="7560"/>
          </w:cols>
          <w:pgMar w:left="320" w:top="28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rent commencement/reset</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Lease year 8 and 11</w:t>
            </w:r>
          </w:p>
        </w:tc>
      </w:tr>
      <w:tr>
        <w:trPr>
          <w:trHeight w:val="229"/>
        </w:trPr>
        <w:tc>
          <w:tcPr>
            <w:tcW w:w="3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8140" w:type="dxa"/>
            <w:vAlign w:val="bottom"/>
          </w:tcPr>
          <w:p>
            <w:pPr>
              <w:ind w:left="580"/>
              <w:spacing w:after="0"/>
              <w:rPr>
                <w:sz w:val="20"/>
                <w:szCs w:val="20"/>
                <w:color w:val="auto"/>
              </w:rPr>
            </w:pPr>
            <w:r>
              <w:rPr>
                <w:rFonts w:ascii="Arial" w:cs="Arial" w:eastAsia="Arial" w:hAnsi="Arial"/>
                <w:sz w:val="18"/>
                <w:szCs w:val="18"/>
                <w:color w:val="auto"/>
              </w:rPr>
              <w:t>80% Base Rent and 20% Variable Rent</w:t>
            </w:r>
          </w:p>
        </w:tc>
      </w:tr>
      <w:tr>
        <w:trPr>
          <w:trHeight w:val="27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8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w:t>
            </w:r>
          </w:p>
        </w:tc>
      </w:tr>
      <w:tr>
        <w:trPr>
          <w:trHeight w:val="317"/>
        </w:trPr>
        <w:tc>
          <w:tcPr>
            <w:tcW w:w="3100" w:type="dxa"/>
            <w:vAlign w:val="bottom"/>
          </w:tcPr>
          <w:p>
            <w:pPr>
              <w:spacing w:after="0"/>
              <w:rPr>
                <w:sz w:val="20"/>
                <w:szCs w:val="20"/>
                <w:color w:val="auto"/>
              </w:rPr>
            </w:pPr>
            <w:r>
              <w:rPr>
                <w:rFonts w:ascii="Arial" w:cs="Arial" w:eastAsia="Arial" w:hAnsi="Arial"/>
                <w:sz w:val="18"/>
                <w:szCs w:val="18"/>
                <w:color w:val="auto"/>
              </w:rPr>
              <w:t>____________________</w:t>
            </w:r>
          </w:p>
        </w:tc>
        <w:tc>
          <w:tcPr>
            <w:tcW w:w="8140" w:type="dxa"/>
            <w:vAlign w:val="bottom"/>
          </w:tcPr>
          <w:p>
            <w:pPr>
              <w:spacing w:after="0"/>
              <w:rPr>
                <w:sz w:val="24"/>
                <w:szCs w:val="24"/>
                <w:color w:val="auto"/>
              </w:rPr>
            </w:pPr>
          </w:p>
        </w:tc>
      </w:tr>
    </w:tbl>
    <w:p>
      <w:pPr>
        <w:ind w:left="220" w:hanging="212"/>
        <w:spacing w:after="0"/>
        <w:tabs>
          <w:tab w:leader="none" w:pos="2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24, 2020 through January 31, 2021.</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months ended March 31, 2020 and 2019.</w:t>
      </w:r>
    </w:p>
    <w:p>
      <w:pPr>
        <w:jc w:val="both"/>
        <w:ind w:firstLine="8"/>
        <w:spacing w:after="0" w:line="248" w:lineRule="auto"/>
        <w:tabs>
          <w:tab w:leader="none" w:pos="204"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multiplied by the Variable rent percentage.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summarizes the capital expenditure requirements of the respective tenants under the Caesars Lease Agreements (which does not reflect the modifications to the Caesars Lease Agreements contemplated in connection with the closing of the Eldorado Transaction, including the inclusion of the Harrah’s New Orleans, Harrah’s Atlantic City and Harrah’s Laughlin properties in the Non-CPLV Lease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Non-CPLV Lease Agreement</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4"/>
        </w:trPr>
        <w:tc>
          <w:tcPr>
            <w:tcW w:w="3500" w:type="dxa"/>
            <w:vAlign w:val="bottom"/>
            <w:gridSpan w:val="2"/>
          </w:tcPr>
          <w:p>
            <w:pPr>
              <w:ind w:left="1340"/>
              <w:spacing w:after="0"/>
              <w:rPr>
                <w:sz w:val="20"/>
                <w:szCs w:val="20"/>
                <w:color w:val="auto"/>
              </w:rPr>
            </w:pPr>
            <w:r>
              <w:rPr>
                <w:rFonts w:ascii="Arial" w:cs="Arial" w:eastAsia="Arial" w:hAnsi="Arial"/>
                <w:sz w:val="18"/>
                <w:szCs w:val="18"/>
                <w:b w:val="1"/>
                <w:bCs w:val="1"/>
                <w:color w:val="auto"/>
              </w:rPr>
              <w:t>Provision</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and Joliet Lease Agreement</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CPLV Lease Agreement</w:t>
            </w: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2"/>
              </w:rPr>
              <w:t>HLV Lease Agreement</w:t>
            </w:r>
          </w:p>
        </w:tc>
      </w:tr>
      <w:tr>
        <w:trPr>
          <w:trHeight w:val="27"/>
        </w:trPr>
        <w:tc>
          <w:tcPr>
            <w:tcW w:w="3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5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2600" w:type="dxa"/>
            <w:vAlign w:val="bottom"/>
            <w:gridSpan w:val="2"/>
            <w:shd w:val="clear" w:color="auto" w:fill="CCEEFF"/>
          </w:tcPr>
          <w:p>
            <w:pPr>
              <w:jc w:val="center"/>
              <w:ind w:right="120"/>
              <w:spacing w:after="0" w:line="250" w:lineRule="exact"/>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2600" w:type="dxa"/>
            <w:vAlign w:val="bottom"/>
            <w:gridSpan w:val="2"/>
            <w:shd w:val="clear" w:color="auto" w:fill="CCEEFF"/>
          </w:tcPr>
          <w:p>
            <w:pPr>
              <w:jc w:val="center"/>
              <w:ind w:right="100"/>
              <w:spacing w:after="0" w:line="250" w:lineRule="exact"/>
              <w:rPr>
                <w:sz w:val="20"/>
                <w:szCs w:val="20"/>
                <w:color w:val="auto"/>
              </w:rPr>
            </w:pPr>
            <w:r>
              <w:rPr>
                <w:rFonts w:ascii="Arial" w:cs="Arial" w:eastAsia="Arial" w:hAnsi="Arial"/>
                <w:sz w:val="18"/>
                <w:szCs w:val="18"/>
                <w:color w:val="auto"/>
                <w:w w:val="88"/>
              </w:rPr>
              <w:t xml:space="preserve">1% of net revenues </w:t>
            </w:r>
            <w:r>
              <w:rPr>
                <w:rFonts w:ascii="Arial" w:cs="Arial" w:eastAsia="Arial" w:hAnsi="Arial"/>
                <w:sz w:val="23"/>
                <w:szCs w:val="23"/>
                <w:i w:val="1"/>
                <w:iCs w:val="1"/>
                <w:color w:val="auto"/>
                <w:w w:val="88"/>
                <w:vertAlign w:val="superscript"/>
              </w:rPr>
              <w:t>(1)</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 of net revenues commencing</w:t>
            </w:r>
          </w:p>
        </w:tc>
      </w:tr>
      <w:tr>
        <w:trPr>
          <w:trHeight w:val="148"/>
        </w:trPr>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rPr>
              <w:t>in 2022</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$225 million</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$84 million</w:t>
            </w:r>
          </w:p>
        </w:tc>
        <w:tc>
          <w:tcPr>
            <w:tcW w:w="252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Initial minimum capital expenditure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$171 million (2017 - 2021)</w:t>
            </w:r>
          </w:p>
        </w:tc>
      </w:tr>
      <w:tr>
        <w:trPr>
          <w:trHeight w:val="378"/>
        </w:trPr>
        <w:tc>
          <w:tcPr>
            <w:tcW w:w="340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35" w:lineRule="exact"/>
        <w:rPr>
          <w:sz w:val="20"/>
          <w:szCs w:val="20"/>
          <w:color w:val="auto"/>
        </w:rPr>
      </w:pPr>
    </w:p>
    <w:p>
      <w:pPr>
        <w:ind w:right="20" w:firstLine="8"/>
        <w:spacing w:after="0" w:line="250" w:lineRule="auto"/>
        <w:tabs>
          <w:tab w:leader="none" w:pos="217"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annual capital expenditures for CPLV, Joliet and Non-CPLV in the aggregate. Additionally, annual building &amp; improvement capital improvements must be equal to or greater than 1% of prior year net revenues.</w:t>
      </w:r>
    </w:p>
    <w:p>
      <w:pPr>
        <w:jc w:val="both"/>
        <w:ind w:firstLine="8"/>
        <w:spacing w:after="0" w:line="276" w:lineRule="auto"/>
        <w:tabs>
          <w:tab w:leader="none" w:pos="222"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CEOC is required to spend $350 million on capital expenditures (excluding gaming equipment) over a rolling three-year period, with $255 million allocated to Non-CPLV, $84 million allocated to CPLV and the remaining balance of $11 million to facilities covered by any Formation Lease Agreement in such proportion as CEOC may elect. Additionally, CEOC is required to expend a minimum of $495 million on capital expenditures (including gaming equipment) across certain of its affiliates and other assets, together with the $350 million requirement.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capital expenditure requirements of the respective tenants under the Penn National Lease Agreements, Hard Rock Cincinnati Lease Agreement, Century Portfolio Lease Agreement and JACK Cleveland/Thistledown Lease Agreement: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JACK</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Penn National Lease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Hard Rock Cincinnati</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Century Portfolio</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Cleveland/Thistledown</w:t>
            </w:r>
          </w:p>
        </w:tc>
        <w:tc>
          <w:tcPr>
            <w:tcW w:w="0" w:type="dxa"/>
            <w:vAlign w:val="bottom"/>
          </w:tcPr>
          <w:p>
            <w:pPr>
              <w:spacing w:after="0"/>
              <w:rPr>
                <w:sz w:val="1"/>
                <w:szCs w:val="1"/>
                <w:color w:val="auto"/>
              </w:rPr>
            </w:pPr>
          </w:p>
        </w:tc>
      </w:tr>
      <w:tr>
        <w:trPr>
          <w:trHeight w:val="234"/>
        </w:trPr>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Provision</w:t>
            </w: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Agreements</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Lease Agreement</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Lease Agreement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Initial minimum of $30</w:t>
            </w:r>
          </w:p>
        </w:tc>
        <w:tc>
          <w:tcPr>
            <w:tcW w:w="0" w:type="dxa"/>
            <w:vAlign w:val="bottom"/>
          </w:tcPr>
          <w:p>
            <w:pPr>
              <w:spacing w:after="0"/>
              <w:rPr>
                <w:sz w:val="1"/>
                <w:szCs w:val="1"/>
                <w:color w:val="auto"/>
              </w:rPr>
            </w:pPr>
          </w:p>
        </w:tc>
      </w:tr>
      <w:tr>
        <w:trPr>
          <w:trHeight w:val="175"/>
        </w:trPr>
        <w:tc>
          <w:tcPr>
            <w:tcW w:w="34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Yearly minimum expenditure</w:t>
            </w:r>
          </w:p>
        </w:tc>
        <w:tc>
          <w:tcPr>
            <w:tcW w:w="1940" w:type="dxa"/>
            <w:vAlign w:val="bottom"/>
            <w:gridSpan w:val="2"/>
            <w:vMerge w:val="continue"/>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1"/>
              </w:rPr>
              <w:t>1% of net gaming</w:t>
            </w:r>
          </w:p>
        </w:tc>
        <w:tc>
          <w:tcPr>
            <w:tcW w:w="1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million (2)</w:t>
            </w:r>
          </w:p>
        </w:tc>
        <w:tc>
          <w:tcPr>
            <w:tcW w:w="0" w:type="dxa"/>
            <w:vAlign w:val="bottom"/>
          </w:tcPr>
          <w:p>
            <w:pPr>
              <w:spacing w:after="0"/>
              <w:rPr>
                <w:sz w:val="1"/>
                <w:szCs w:val="1"/>
                <w:color w:val="auto"/>
              </w:rPr>
            </w:pPr>
          </w:p>
        </w:tc>
      </w:tr>
      <w:tr>
        <w:trPr>
          <w:trHeight w:val="81"/>
        </w:trPr>
        <w:tc>
          <w:tcPr>
            <w:tcW w:w="3460" w:type="dxa"/>
            <w:vAlign w:val="bottom"/>
            <w:gridSpan w:val="2"/>
            <w:vMerge w:val="continue"/>
            <w:shd w:val="clear" w:color="auto" w:fill="CCEEFF"/>
          </w:tcPr>
          <w:p>
            <w:pPr>
              <w:spacing w:after="0"/>
              <w:rPr>
                <w:sz w:val="7"/>
                <w:szCs w:val="7"/>
                <w:color w:val="auto"/>
              </w:rPr>
            </w:pPr>
          </w:p>
        </w:tc>
        <w:tc>
          <w:tcPr>
            <w:tcW w:w="1940" w:type="dxa"/>
            <w:vAlign w:val="bottom"/>
            <w:gridSpan w:val="2"/>
            <w:vMerge w:val="restart"/>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3"/>
              </w:rPr>
              <w:t>based on rolling four-</w:t>
            </w:r>
          </w:p>
        </w:tc>
        <w:tc>
          <w:tcPr>
            <w:tcW w:w="1960" w:type="dxa"/>
            <w:vAlign w:val="bottom"/>
            <w:gridSpan w:val="2"/>
            <w:vMerge w:val="restart"/>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0"/>
              </w:rPr>
              <w:t>1% of net revenues</w:t>
            </w:r>
          </w:p>
        </w:tc>
        <w:tc>
          <w:tcPr>
            <w:tcW w:w="1960" w:type="dxa"/>
            <w:vAlign w:val="bottom"/>
            <w:gridSpan w:val="2"/>
            <w:vMerge w:val="continue"/>
            <w:shd w:val="clear" w:color="auto" w:fill="CCEEFF"/>
          </w:tcPr>
          <w:p>
            <w:pPr>
              <w:spacing w:after="0"/>
              <w:rPr>
                <w:sz w:val="7"/>
                <w:szCs w:val="7"/>
                <w:color w:val="auto"/>
              </w:rPr>
            </w:pPr>
          </w:p>
        </w:tc>
        <w:tc>
          <w:tcPr>
            <w:tcW w:w="186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Thereafter - 1% of net</w:t>
            </w:r>
          </w:p>
        </w:tc>
        <w:tc>
          <w:tcPr>
            <w:tcW w:w="0" w:type="dxa"/>
            <w:vAlign w:val="bottom"/>
          </w:tcPr>
          <w:p>
            <w:pPr>
              <w:spacing w:after="0"/>
              <w:rPr>
                <w:sz w:val="1"/>
                <w:szCs w:val="1"/>
                <w:color w:val="auto"/>
              </w:rPr>
            </w:pPr>
          </w:p>
        </w:tc>
      </w:tr>
      <w:tr>
        <w:trPr>
          <w:trHeight w:val="95"/>
        </w:trPr>
        <w:tc>
          <w:tcPr>
            <w:tcW w:w="3460" w:type="dxa"/>
            <w:vAlign w:val="bottom"/>
            <w:gridSpan w:val="2"/>
            <w:vMerge w:val="continue"/>
            <w:shd w:val="clear" w:color="auto" w:fill="CCEEFF"/>
          </w:tcPr>
          <w:p>
            <w:pPr>
              <w:spacing w:after="0"/>
              <w:rPr>
                <w:sz w:val="8"/>
                <w:szCs w:val="8"/>
                <w:color w:val="auto"/>
              </w:rPr>
            </w:pPr>
          </w:p>
        </w:tc>
        <w:tc>
          <w:tcPr>
            <w:tcW w:w="1940" w:type="dxa"/>
            <w:vAlign w:val="bottom"/>
            <w:gridSpan w:val="2"/>
            <w:vMerge w:val="continue"/>
            <w:shd w:val="clear" w:color="auto" w:fill="CCEEFF"/>
          </w:tcPr>
          <w:p>
            <w:pPr>
              <w:spacing w:after="0"/>
              <w:rPr>
                <w:sz w:val="8"/>
                <w:szCs w:val="8"/>
                <w:color w:val="auto"/>
              </w:rPr>
            </w:pPr>
          </w:p>
        </w:tc>
        <w:tc>
          <w:tcPr>
            <w:tcW w:w="1960" w:type="dxa"/>
            <w:vAlign w:val="bottom"/>
            <w:gridSpan w:val="2"/>
            <w:vMerge w:val="continue"/>
            <w:shd w:val="clear" w:color="auto" w:fill="CCEEFF"/>
          </w:tcPr>
          <w:p>
            <w:pPr>
              <w:spacing w:after="0"/>
              <w:rPr>
                <w:sz w:val="8"/>
                <w:szCs w:val="8"/>
                <w:color w:val="auto"/>
              </w:rPr>
            </w:pPr>
          </w:p>
        </w:tc>
        <w:tc>
          <w:tcPr>
            <w:tcW w:w="19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revenues (1)</w:t>
            </w:r>
          </w:p>
        </w:tc>
        <w:tc>
          <w:tcPr>
            <w:tcW w:w="1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3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gridSpan w:val="2"/>
            <w:vMerge w:val="restart"/>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5"/>
              </w:rPr>
              <w:t>year basis</w:t>
            </w: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gridSpan w:val="2"/>
            <w:vMerge w:val="continue"/>
            <w:shd w:val="clear" w:color="auto" w:fill="CCEEFF"/>
          </w:tcPr>
          <w:p>
            <w:pPr>
              <w:spacing w:after="0"/>
              <w:rPr>
                <w:sz w:val="11"/>
                <w:szCs w:val="11"/>
                <w:color w:val="auto"/>
              </w:rPr>
            </w:pPr>
          </w:p>
        </w:tc>
        <w:tc>
          <w:tcPr>
            <w:tcW w:w="1860" w:type="dxa"/>
            <w:vAlign w:val="bottom"/>
            <w:vMerge w:val="restart"/>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revenues on a rolling</w:t>
            </w:r>
          </w:p>
        </w:tc>
        <w:tc>
          <w:tcPr>
            <w:tcW w:w="0" w:type="dxa"/>
            <w:vAlign w:val="bottom"/>
          </w:tcPr>
          <w:p>
            <w:pPr>
              <w:spacing w:after="0"/>
              <w:rPr>
                <w:sz w:val="1"/>
                <w:szCs w:val="1"/>
                <w:color w:val="auto"/>
              </w:rPr>
            </w:pPr>
          </w:p>
        </w:tc>
      </w:tr>
      <w:tr>
        <w:trPr>
          <w:trHeight w:val="40"/>
        </w:trPr>
        <w:tc>
          <w:tcPr>
            <w:tcW w:w="3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40" w:type="dxa"/>
            <w:vAlign w:val="bottom"/>
            <w:gridSpan w:val="2"/>
            <w:vMerge w:val="continue"/>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6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three-year basis</w:t>
            </w:r>
          </w:p>
        </w:tc>
        <w:tc>
          <w:tcPr>
            <w:tcW w:w="0" w:type="dxa"/>
            <w:vAlign w:val="bottom"/>
          </w:tcPr>
          <w:p>
            <w:pPr>
              <w:spacing w:after="0"/>
              <w:rPr>
                <w:sz w:val="1"/>
                <w:szCs w:val="1"/>
                <w:color w:val="auto"/>
              </w:rPr>
            </w:pP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Allowance for Credit Losses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2020, we adopted ASC 326 and, as a result, we are required to estimate and record non-cash credit losses related to our historical and any future investments in direct financing and sales-type leases, lease financing receivables and loans. Upon adoption, we recorded a $309.4 million cumulative adjustment, representing a 2.88% CECL allowance. Such amount was recorded as a cumulative-effect adjustment to our opening balance sheet with a reduction in our Investments in leases - direct financing and sales-type and a corresponding charge to retained (deficit) earnings. Periods prior to the adoption date that are presented for comparative purposes are not adjusted or disclosed.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March 31, 2020 we recognized a $149.5 million increase in our allowance for credit losses. Of this amount, approximately $127.4 million related to an increase in the credit risk of our tenants given the uncertain economic conditions caused by the COVID-19 pandemic and the current closures of their operations, including at our properties. The increase in the CECL allowance was primarily driven by (i) an increase in the R&amp;S Period PD and LGD of our tenants and their parent guarantors due to decreases in the equity market capitalization of the stock of the parent public-entities of certain of our tenants as well as the utilization of forecasted scenarios that incorporate the expected negative impact of the COVID-19 pandemic on the economy and (ii) an increase in the Long-term Period PD of our tenants due to downgrades on certain of the credit ratings of our tenants’ senior secured debt. Additionally, we recognized a $22.2 million CECL allowance related to our initial investment in JACK Cleveland/Thistledown and the ROV Loan. The credit loss standard does not require retrospective application and as such there is no corresponding charge for the three months ended March 31, 2019.</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and December 31, 2019, and since our Formation Date, all of our Lease Agreements and the ROV Loan are current in payment of their obligations to us and no investments are on non-accrual status. Additionally, to the best of our knowledge, none of our tenants were in contravention of any of the Lease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detail the allowance for credit losses included as a component in our investments in leases - direct financing and sales-type,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leases - financing receivables and investments in loans as of March 31, 2020 and January 1, 2020, the date of adoption: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920"/>
              <w:spacing w:after="0"/>
              <w:rPr>
                <w:sz w:val="20"/>
                <w:szCs w:val="20"/>
                <w:color w:val="auto"/>
              </w:rPr>
            </w:pPr>
            <w:r>
              <w:rPr>
                <w:rFonts w:ascii="Arial" w:cs="Arial" w:eastAsia="Arial" w:hAnsi="Arial"/>
                <w:sz w:val="16"/>
                <w:szCs w:val="16"/>
                <w:b w:val="1"/>
                <w:bCs w:val="1"/>
                <w:color w:val="auto"/>
              </w:rPr>
              <w:t>March 31, 2020</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Allowance as a % of</w:t>
            </w:r>
          </w:p>
        </w:tc>
        <w:tc>
          <w:tcPr>
            <w:tcW w:w="2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for %)</w:t>
            </w:r>
          </w:p>
        </w:tc>
        <w:tc>
          <w:tcPr>
            <w:tcW w:w="16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Allowance</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Investment</w:t>
            </w:r>
          </w:p>
        </w:tc>
        <w:tc>
          <w:tcPr>
            <w:tcW w:w="1640" w:type="dxa"/>
            <w:vAlign w:val="bottom"/>
          </w:tcPr>
          <w:p>
            <w:pPr>
              <w:jc w:val="right"/>
              <w:ind w:right="93"/>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leases - direct financing and sales-type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10,731,118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10,330,728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850,675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794,055</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50,330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48,470</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20" w:type="dxa"/>
            <w:vAlign w:val="bottom"/>
          </w:tcPr>
          <w:p>
            <w:pPr>
              <w:spacing w:after="0"/>
              <w:rPr>
                <w:sz w:val="22"/>
                <w:szCs w:val="22"/>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11,632,123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(458,870)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11,173,253</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80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900"/>
              <w:spacing w:after="0"/>
              <w:rPr>
                <w:sz w:val="20"/>
                <w:szCs w:val="20"/>
                <w:color w:val="auto"/>
              </w:rPr>
            </w:pPr>
            <w:r>
              <w:rPr>
                <w:rFonts w:ascii="Arial" w:cs="Arial" w:eastAsia="Arial" w:hAnsi="Arial"/>
                <w:sz w:val="16"/>
                <w:szCs w:val="16"/>
                <w:b w:val="1"/>
                <w:bCs w:val="1"/>
                <w:color w:val="auto"/>
              </w:rPr>
              <w:t>January 1, 2020</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Allowance as a % of</w:t>
            </w:r>
          </w:p>
        </w:tc>
        <w:tc>
          <w:tcPr>
            <w:tcW w:w="2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for %)</w:t>
            </w:r>
          </w:p>
        </w:tc>
        <w:tc>
          <w:tcPr>
            <w:tcW w:w="14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Investment</w:t>
            </w:r>
          </w:p>
        </w:tc>
        <w:tc>
          <w:tcPr>
            <w:tcW w:w="1640" w:type="dxa"/>
            <w:vAlign w:val="bottom"/>
          </w:tcPr>
          <w:p>
            <w:pPr>
              <w:jc w:val="right"/>
              <w:ind w:right="93"/>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leases - direct financing and sales-type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10,734,245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10,424,883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4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4"/>
        </w:trPr>
        <w:tc>
          <w:tcPr>
            <w:tcW w:w="20" w:type="dxa"/>
            <w:vAlign w:val="bottom"/>
          </w:tcPr>
          <w:p>
            <w:pPr>
              <w:spacing w:after="0"/>
              <w:rPr>
                <w:sz w:val="22"/>
                <w:szCs w:val="22"/>
                <w:color w:val="auto"/>
              </w:rPr>
            </w:pPr>
          </w:p>
        </w:tc>
        <w:tc>
          <w:tcPr>
            <w:tcW w:w="4720" w:type="dxa"/>
            <w:vAlign w:val="bottom"/>
            <w:gridSpan w:val="2"/>
          </w:tcPr>
          <w:p>
            <w:pPr>
              <w:ind w:left="200"/>
              <w:spacing w:after="0"/>
              <w:rPr>
                <w:sz w:val="20"/>
                <w:szCs w:val="20"/>
                <w:color w:val="auto"/>
              </w:rPr>
            </w:pPr>
            <w:r>
              <w:rPr>
                <w:rFonts w:ascii="Arial" w:cs="Arial" w:eastAsia="Arial" w:hAnsi="Arial"/>
                <w:sz w:val="18"/>
                <w:szCs w:val="18"/>
                <w:color w:val="auto"/>
              </w:rPr>
              <w:t>Totals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10,734,245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(309,362)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10,424,883</w:t>
            </w:r>
          </w:p>
        </w:tc>
        <w:tc>
          <w:tcPr>
            <w:tcW w:w="100" w:type="dxa"/>
            <w:vAlign w:val="bottom"/>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reflects the roll-forward of the allowance for credit losses on our real estate portfolio for the three months ended March 31, 2020:</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right"/>
              <w:ind w:right="3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03"/>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7"/>
                <w:szCs w:val="17"/>
                <w:color w:val="auto"/>
              </w:rPr>
            </w:pPr>
          </w:p>
        </w:tc>
        <w:tc>
          <w:tcPr>
            <w:tcW w:w="2340" w:type="dxa"/>
            <w:vAlign w:val="bottom"/>
          </w:tcPr>
          <w:p>
            <w:pPr>
              <w:jc w:val="right"/>
              <w:ind w:right="972"/>
              <w:spacing w:after="0"/>
              <w:rPr>
                <w:sz w:val="20"/>
                <w:szCs w:val="20"/>
                <w:color w:val="auto"/>
              </w:rPr>
            </w:pPr>
            <w:r>
              <w:rPr>
                <w:rFonts w:ascii="Arial" w:cs="Arial" w:eastAsia="Arial" w:hAnsi="Arial"/>
                <w:sz w:val="16"/>
                <w:szCs w:val="16"/>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December 31, 2019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Initial allowance upon adoption</w:t>
            </w:r>
          </w:p>
        </w:tc>
        <w:tc>
          <w:tcPr>
            <w:tcW w:w="100" w:type="dxa"/>
            <w:vAlign w:val="bottom"/>
          </w:tcPr>
          <w:p>
            <w:pPr>
              <w:spacing w:after="0"/>
              <w:rPr>
                <w:sz w:val="21"/>
                <w:szCs w:val="21"/>
                <w:color w:val="auto"/>
              </w:rPr>
            </w:pP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309,362</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Initial allowance from current period acquisitions</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22,158</w:t>
            </w:r>
          </w:p>
        </w:tc>
      </w:tr>
      <w:tr>
        <w:trPr>
          <w:trHeight w:val="243"/>
        </w:trPr>
        <w:tc>
          <w:tcPr>
            <w:tcW w:w="20" w:type="dxa"/>
            <w:vAlign w:val="bottom"/>
          </w:tcPr>
          <w:p>
            <w:pPr>
              <w:spacing w:after="0"/>
              <w:rPr>
                <w:sz w:val="21"/>
                <w:szCs w:val="21"/>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Current period change in credit allowance</w:t>
            </w:r>
          </w:p>
        </w:tc>
        <w:tc>
          <w:tcPr>
            <w:tcW w:w="100" w:type="dxa"/>
            <w:vAlign w:val="bottom"/>
          </w:tcPr>
          <w:p>
            <w:pPr>
              <w:spacing w:after="0"/>
              <w:rPr>
                <w:sz w:val="21"/>
                <w:szCs w:val="21"/>
                <w:color w:val="auto"/>
              </w:rPr>
            </w:pP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127,350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21"/>
                <w:szCs w:val="21"/>
                <w:color w:val="auto"/>
              </w:rPr>
            </w:pPr>
          </w:p>
        </w:tc>
        <w:tc>
          <w:tcPr>
            <w:tcW w:w="23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6"/>
        </w:trPr>
        <w:tc>
          <w:tcPr>
            <w:tcW w:w="20" w:type="dxa"/>
            <w:vAlign w:val="bottom"/>
            <w:tcBorders>
              <w:bottom w:val="single" w:sz="8" w:color="CCEEFF"/>
            </w:tcBorders>
            <w:shd w:val="clear" w:color="auto" w:fill="CCEEFF"/>
          </w:tcPr>
          <w:p>
            <w:pPr>
              <w:spacing w:after="0"/>
              <w:rPr>
                <w:sz w:val="24"/>
                <w:szCs w:val="24"/>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March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458,870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January 1, 2020, the date of adoption:</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46" w:lineRule="exact"/>
        <w:rPr>
          <w:sz w:val="20"/>
          <w:szCs w:val="20"/>
          <w:color w:val="auto"/>
        </w:rPr>
      </w:pPr>
    </w:p>
    <w:p>
      <w:pPr>
        <w:ind w:left="20"/>
        <w:spacing w:after="0" w:line="279" w:lineRule="auto"/>
        <w:rPr>
          <w:sz w:val="20"/>
          <w:szCs w:val="20"/>
          <w:color w:val="auto"/>
        </w:rPr>
      </w:pPr>
      <w:r>
        <w:rPr>
          <w:rFonts w:ascii="Arial" w:cs="Arial" w:eastAsia="Arial" w:hAnsi="Arial"/>
          <w:sz w:val="17"/>
          <w:szCs w:val="17"/>
          <w:color w:val="auto"/>
        </w:rPr>
        <w:t>Investments in leases - direct financing, sales-type and financing receivable and investments in loans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46" w:lineRule="exact"/>
        <w:rPr>
          <w:sz w:val="20"/>
          <w:szCs w:val="20"/>
          <w:color w:val="auto"/>
        </w:rPr>
      </w:pPr>
    </w:p>
    <w:p>
      <w:pPr>
        <w:ind w:left="20"/>
        <w:spacing w:after="0" w:line="279" w:lineRule="auto"/>
        <w:rPr>
          <w:sz w:val="20"/>
          <w:szCs w:val="20"/>
          <w:color w:val="auto"/>
        </w:rPr>
      </w:pPr>
      <w:r>
        <w:rPr>
          <w:rFonts w:ascii="Arial" w:cs="Arial" w:eastAsia="Arial" w:hAnsi="Arial"/>
          <w:sz w:val="17"/>
          <w:szCs w:val="17"/>
          <w:color w:val="auto"/>
        </w:rPr>
        <w:t>Investments in leases - direct financing, sales-type and financing receivable and investments in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37465</wp:posOffset>
            </wp:positionV>
            <wp:extent cx="5734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66" w:lineRule="exact"/>
        <w:rPr>
          <w:sz w:val="20"/>
          <w:szCs w:val="20"/>
          <w:color w:val="auto"/>
        </w:rPr>
      </w:pPr>
    </w:p>
    <w:p>
      <w:pPr>
        <w:ind w:left="20"/>
        <w:spacing w:after="0"/>
        <w:tabs>
          <w:tab w:leader="none" w:pos="1540" w:val="left"/>
          <w:tab w:leader="none" w:pos="3120" w:val="left"/>
          <w:tab w:leader="none" w:pos="4580" w:val="left"/>
          <w:tab w:leader="none" w:pos="6060" w:val="left"/>
          <w:tab w:leader="none" w:pos="7540" w:val="left"/>
        </w:tabs>
        <w:rPr>
          <w:sz w:val="20"/>
          <w:szCs w:val="20"/>
          <w:color w:val="auto"/>
        </w:rPr>
      </w:pPr>
      <w:r>
        <w:rPr>
          <w:rFonts w:ascii="Arial" w:cs="Arial" w:eastAsia="Arial" w:hAnsi="Arial"/>
          <w:sz w:val="16"/>
          <w:szCs w:val="16"/>
          <w:b w:val="1"/>
          <w:bCs w:val="1"/>
          <w:color w:val="auto"/>
        </w:rPr>
        <w:t>Ba2</w:t>
      </w:r>
      <w:r>
        <w:rPr>
          <w:sz w:val="20"/>
          <w:szCs w:val="20"/>
          <w:color w:val="auto"/>
        </w:rPr>
        <w:tab/>
      </w:r>
      <w:r>
        <w:rPr>
          <w:rFonts w:ascii="Arial" w:cs="Arial" w:eastAsia="Arial" w:hAnsi="Arial"/>
          <w:sz w:val="16"/>
          <w:szCs w:val="16"/>
          <w:b w:val="1"/>
          <w:bCs w:val="1"/>
          <w:color w:val="auto"/>
        </w:rPr>
        <w:t>Ba3</w:t>
      </w:r>
      <w:r>
        <w:rPr>
          <w:sz w:val="20"/>
          <w:szCs w:val="20"/>
          <w:color w:val="auto"/>
        </w:rPr>
        <w:tab/>
      </w:r>
      <w:r>
        <w:rPr>
          <w:rFonts w:ascii="Arial" w:cs="Arial" w:eastAsia="Arial" w:hAnsi="Arial"/>
          <w:sz w:val="16"/>
          <w:szCs w:val="16"/>
          <w:b w:val="1"/>
          <w:bCs w:val="1"/>
          <w:color w:val="auto"/>
        </w:rPr>
        <w:t>B1</w:t>
      </w:r>
      <w:r>
        <w:rPr>
          <w:sz w:val="20"/>
          <w:szCs w:val="20"/>
          <w:color w:val="auto"/>
        </w:rPr>
        <w:tab/>
      </w:r>
      <w:r>
        <w:rPr>
          <w:rFonts w:ascii="Arial" w:cs="Arial" w:eastAsia="Arial" w:hAnsi="Arial"/>
          <w:sz w:val="16"/>
          <w:szCs w:val="16"/>
          <w:b w:val="1"/>
          <w:bCs w:val="1"/>
          <w:color w:val="auto"/>
        </w:rPr>
        <w:t>B2</w:t>
      </w:r>
      <w:r>
        <w:rPr>
          <w:sz w:val="20"/>
          <w:szCs w:val="20"/>
          <w:color w:val="auto"/>
        </w:rPr>
        <w:tab/>
      </w:r>
      <w:r>
        <w:rPr>
          <w:rFonts w:ascii="Arial" w:cs="Arial" w:eastAsia="Arial" w:hAnsi="Arial"/>
          <w:sz w:val="16"/>
          <w:szCs w:val="16"/>
          <w:b w:val="1"/>
          <w:bCs w:val="1"/>
          <w:color w:val="auto"/>
        </w:rPr>
        <w:t>B3</w:t>
      </w:r>
      <w:r>
        <w:rPr>
          <w:sz w:val="20"/>
          <w:szCs w:val="20"/>
          <w:color w:val="auto"/>
        </w:rPr>
        <w:tab/>
      </w: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37465</wp:posOffset>
            </wp:positionV>
            <wp:extent cx="713232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173"/>
              <w:spacing w:after="0"/>
              <w:rPr>
                <w:sz w:val="20"/>
                <w:szCs w:val="20"/>
                <w:color w:val="auto"/>
              </w:rPr>
            </w:pPr>
            <w:r>
              <w:rPr>
                <w:rFonts w:ascii="Arial" w:cs="Arial" w:eastAsia="Arial" w:hAnsi="Arial"/>
                <w:sz w:val="18"/>
                <w:szCs w:val="18"/>
                <w:color w:val="auto"/>
              </w:rPr>
              <w:t>561,349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9,889,284</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w w:val="95"/>
              </w:rPr>
              <w:t>901,005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280,485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11,632,123</w:t>
            </w:r>
          </w:p>
        </w:tc>
      </w:tr>
      <w:tr>
        <w:trPr>
          <w:trHeight w:val="574"/>
        </w:trPr>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January 1, 2020</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980" w:type="dxa"/>
            <w:vAlign w:val="bottom"/>
          </w:tcPr>
          <w:p>
            <w:pPr>
              <w:jc w:val="right"/>
              <w:ind w:right="613"/>
              <w:spacing w:after="0"/>
              <w:rPr>
                <w:sz w:val="20"/>
                <w:szCs w:val="20"/>
                <w:color w:val="auto"/>
              </w:rPr>
            </w:pPr>
            <w:r>
              <w:rPr>
                <w:rFonts w:ascii="Arial" w:cs="Arial" w:eastAsia="Arial" w:hAnsi="Arial"/>
                <w:sz w:val="16"/>
                <w:szCs w:val="16"/>
                <w:b w:val="1"/>
                <w:bCs w:val="1"/>
                <w:color w:val="auto"/>
                <w:w w:val="88"/>
              </w:rPr>
              <w:t>Ba2</w:t>
            </w:r>
          </w:p>
        </w:tc>
        <w:tc>
          <w:tcPr>
            <w:tcW w:w="340" w:type="dxa"/>
            <w:vAlign w:val="bottom"/>
          </w:tcPr>
          <w:p>
            <w:pPr>
              <w:spacing w:after="0"/>
              <w:rPr>
                <w:sz w:val="23"/>
                <w:szCs w:val="23"/>
                <w:color w:val="auto"/>
              </w:rPr>
            </w:pPr>
          </w:p>
        </w:tc>
        <w:tc>
          <w:tcPr>
            <w:tcW w:w="1180" w:type="dxa"/>
            <w:vAlign w:val="bottom"/>
            <w:gridSpan w:val="2"/>
          </w:tcPr>
          <w:p>
            <w:pPr>
              <w:ind w:left="240"/>
              <w:spacing w:after="0"/>
              <w:rPr>
                <w:sz w:val="20"/>
                <w:szCs w:val="20"/>
                <w:color w:val="auto"/>
              </w:rPr>
            </w:pPr>
            <w:r>
              <w:rPr>
                <w:rFonts w:ascii="Arial" w:cs="Arial" w:eastAsia="Arial" w:hAnsi="Arial"/>
                <w:sz w:val="16"/>
                <w:szCs w:val="16"/>
                <w:b w:val="1"/>
                <w:bCs w:val="1"/>
                <w:color w:val="auto"/>
              </w:rPr>
              <w:t>Ba3</w:t>
            </w:r>
          </w:p>
        </w:tc>
        <w:tc>
          <w:tcPr>
            <w:tcW w:w="340" w:type="dxa"/>
            <w:vAlign w:val="bottom"/>
          </w:tcPr>
          <w:p>
            <w:pPr>
              <w:spacing w:after="0"/>
              <w:rPr>
                <w:sz w:val="23"/>
                <w:szCs w:val="23"/>
                <w:color w:val="auto"/>
              </w:rPr>
            </w:pPr>
          </w:p>
        </w:tc>
        <w:tc>
          <w:tcPr>
            <w:tcW w:w="1220" w:type="dxa"/>
            <w:vAlign w:val="bottom"/>
            <w:gridSpan w:val="2"/>
          </w:tcPr>
          <w:p>
            <w:pPr>
              <w:ind w:left="300"/>
              <w:spacing w:after="0"/>
              <w:rPr>
                <w:sz w:val="20"/>
                <w:szCs w:val="20"/>
                <w:color w:val="auto"/>
              </w:rPr>
            </w:pPr>
            <w:r>
              <w:rPr>
                <w:rFonts w:ascii="Arial" w:cs="Arial" w:eastAsia="Arial" w:hAnsi="Arial"/>
                <w:sz w:val="16"/>
                <w:szCs w:val="16"/>
                <w:b w:val="1"/>
                <w:bCs w:val="1"/>
                <w:color w:val="auto"/>
              </w:rPr>
              <w:t>B1</w:t>
            </w:r>
          </w:p>
        </w:tc>
        <w:tc>
          <w:tcPr>
            <w:tcW w:w="480" w:type="dxa"/>
            <w:vAlign w:val="bottom"/>
          </w:tcPr>
          <w:p>
            <w:pPr>
              <w:spacing w:after="0"/>
              <w:rPr>
                <w:sz w:val="23"/>
                <w:szCs w:val="23"/>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B2</w:t>
            </w:r>
          </w:p>
        </w:tc>
        <w:tc>
          <w:tcPr>
            <w:tcW w:w="360" w:type="dxa"/>
            <w:vAlign w:val="bottom"/>
          </w:tcPr>
          <w:p>
            <w:pPr>
              <w:spacing w:after="0"/>
              <w:rPr>
                <w:sz w:val="23"/>
                <w:szCs w:val="23"/>
                <w:color w:val="auto"/>
              </w:rPr>
            </w:pPr>
          </w:p>
        </w:tc>
        <w:tc>
          <w:tcPr>
            <w:tcW w:w="1180" w:type="dxa"/>
            <w:vAlign w:val="bottom"/>
            <w:gridSpan w:val="2"/>
          </w:tcPr>
          <w:p>
            <w:pPr>
              <w:ind w:left="260"/>
              <w:spacing w:after="0"/>
              <w:rPr>
                <w:sz w:val="20"/>
                <w:szCs w:val="20"/>
                <w:color w:val="auto"/>
              </w:rPr>
            </w:pPr>
            <w:r>
              <w:rPr>
                <w:rFonts w:ascii="Arial" w:cs="Arial" w:eastAsia="Arial" w:hAnsi="Arial"/>
                <w:sz w:val="16"/>
                <w:szCs w:val="16"/>
                <w:b w:val="1"/>
                <w:bCs w:val="1"/>
                <w:color w:val="auto"/>
              </w:rPr>
              <w:t>B3</w:t>
            </w:r>
          </w:p>
        </w:tc>
        <w:tc>
          <w:tcPr>
            <w:tcW w:w="300" w:type="dxa"/>
            <w:vAlign w:val="bottom"/>
          </w:tcPr>
          <w:p>
            <w:pPr>
              <w:spacing w:after="0"/>
              <w:rPr>
                <w:sz w:val="23"/>
                <w:szCs w:val="23"/>
                <w:color w:val="auto"/>
              </w:rPr>
            </w:pPr>
          </w:p>
        </w:tc>
        <w:tc>
          <w:tcPr>
            <w:tcW w:w="1160" w:type="dxa"/>
            <w:vAlign w:val="bottom"/>
          </w:tcPr>
          <w:p>
            <w:pPr>
              <w:jc w:val="right"/>
              <w:ind w:right="473"/>
              <w:spacing w:after="0"/>
              <w:rPr>
                <w:sz w:val="20"/>
                <w:szCs w:val="20"/>
                <w:color w:val="auto"/>
              </w:rPr>
            </w:pPr>
            <w:r>
              <w:rPr>
                <w:rFonts w:ascii="Arial" w:cs="Arial" w:eastAsia="Arial" w:hAnsi="Arial"/>
                <w:sz w:val="16"/>
                <w:szCs w:val="16"/>
                <w:b w:val="1"/>
                <w:bCs w:val="1"/>
                <w:color w:val="auto"/>
              </w:rPr>
              <w:t>Total</w:t>
            </w:r>
          </w:p>
        </w:tc>
      </w:tr>
      <w:tr>
        <w:trPr>
          <w:trHeight w:val="33"/>
        </w:trPr>
        <w:tc>
          <w:tcPr>
            <w:tcW w:w="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871"/>
        </w:trPr>
        <w:tc>
          <w:tcPr>
            <w:tcW w:w="980" w:type="dxa"/>
            <w:vAlign w:val="bottom"/>
          </w:tcPr>
          <w:p>
            <w:pPr>
              <w:jc w:val="right"/>
              <w:ind w:right="173"/>
              <w:spacing w:after="0"/>
              <w:rPr>
                <w:sz w:val="20"/>
                <w:szCs w:val="20"/>
                <w:color w:val="auto"/>
              </w:rPr>
            </w:pPr>
            <w:r>
              <w:rPr>
                <w:rFonts w:ascii="Arial" w:cs="Arial" w:eastAsia="Arial" w:hAnsi="Arial"/>
                <w:sz w:val="18"/>
                <w:szCs w:val="18"/>
                <w:color w:val="auto"/>
                <w:w w:val="87"/>
              </w:rPr>
              <w:t>1,527,776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8,926,229</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Pr>
          <w:p>
            <w:pPr>
              <w:ind w:left="80"/>
              <w:spacing w:after="0"/>
              <w:rPr>
                <w:sz w:val="20"/>
                <w:szCs w:val="20"/>
                <w:color w:val="auto"/>
              </w:rPr>
            </w:pPr>
            <w:r>
              <w:rPr>
                <w:rFonts w:ascii="Arial" w:cs="Arial" w:eastAsia="Arial" w:hAnsi="Arial"/>
                <w:sz w:val="18"/>
                <w:szCs w:val="18"/>
                <w:color w:val="auto"/>
              </w:rPr>
              <w:t>280,240</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10,734,245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-565150</wp:posOffset>
            </wp:positionV>
            <wp:extent cx="7132320" cy="5829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-736600</wp:posOffset>
            </wp:positionV>
            <wp:extent cx="57346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734685"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3">
            <w:col w:w="2120" w:space="100"/>
            <w:col w:w="100" w:space="460"/>
            <w:col w:w="8460"/>
          </w:cols>
          <w:pgMar w:left="320" w:top="28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March 31, 2020 and December 31, 2019:</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7"/>
                <w:szCs w:val="17"/>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3"/>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70,868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70,406</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56,885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60,111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26,426</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Debt financing costs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11,352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14,575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Deferred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11,134</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Tenant receivables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3,252</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8"/>
                <w:szCs w:val="18"/>
                <w:color w:val="auto"/>
              </w:rPr>
              <w:t>1,626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1,108</w:t>
            </w:r>
          </w:p>
        </w:tc>
      </w:tr>
      <w:tr>
        <w:trPr>
          <w:trHeight w:val="263"/>
        </w:trPr>
        <w:tc>
          <w:tcPr>
            <w:tcW w:w="20" w:type="dxa"/>
            <w:vAlign w:val="bottom"/>
          </w:tcPr>
          <w:p>
            <w:pPr>
              <w:spacing w:after="0"/>
              <w:rPr>
                <w:sz w:val="22"/>
                <w:szCs w:val="22"/>
                <w:color w:val="auto"/>
              </w:rPr>
            </w:pPr>
          </w:p>
        </w:tc>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 other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181,507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188,638</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March 31, 2020 and December 31, 2019:</w:t>
      </w:r>
    </w:p>
    <w:p>
      <w:pPr>
        <w:sectPr>
          <w:pgSz w:w="11900" w:h="16838" w:orient="portrait"/>
          <w:cols w:equalWidth="0" w:num="1">
            <w:col w:w="11240"/>
          </w:cols>
          <w:pgMar w:left="320" w:top="125"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20" w:right="2580" w:firstLine="184"/>
        <w:spacing w:after="0" w:line="336" w:lineRule="auto"/>
        <w:rPr>
          <w:sz w:val="20"/>
          <w:szCs w:val="20"/>
          <w:color w:val="auto"/>
        </w:rPr>
      </w:pPr>
      <w:r>
        <w:rPr>
          <w:rFonts w:ascii="Arial" w:cs="Arial" w:eastAsia="Arial" w:hAnsi="Arial"/>
          <w:sz w:val="18"/>
          <w:szCs w:val="18"/>
          <w:color w:val="auto"/>
        </w:rPr>
        <w:t>Total property and equipment used in operations Less: accumulated depreciation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property and equipment used in operations,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3"/>
          </w:tcPr>
          <w:p>
            <w:pPr>
              <w:ind w:left="180"/>
              <w:spacing w:after="0"/>
              <w:rPr>
                <w:sz w:val="20"/>
                <w:szCs w:val="20"/>
                <w:color w:val="auto"/>
              </w:rPr>
            </w:pPr>
            <w:r>
              <w:rPr>
                <w:rFonts w:ascii="Arial" w:cs="Arial" w:eastAsia="Arial" w:hAnsi="Arial"/>
                <w:sz w:val="16"/>
                <w:szCs w:val="16"/>
                <w:b w:val="1"/>
                <w:bCs w:val="1"/>
                <w:color w:val="auto"/>
              </w:rPr>
              <w:t>March 31, 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2019</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59,346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59,346</w:t>
            </w:r>
          </w:p>
        </w:tc>
        <w:tc>
          <w:tcPr>
            <w:tcW w:w="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14,805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14,805</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5,852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4,523</w:t>
            </w:r>
          </w:p>
        </w:tc>
        <w:tc>
          <w:tcPr>
            <w:tcW w:w="20" w:type="dxa"/>
            <w:vAlign w:val="bottom"/>
          </w:tcPr>
          <w:p>
            <w:pPr>
              <w:spacing w:after="0"/>
              <w:rPr>
                <w:sz w:val="23"/>
                <w:szCs w:val="23"/>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80,003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78,674</w:t>
            </w:r>
          </w:p>
        </w:tc>
        <w:tc>
          <w:tcPr>
            <w:tcW w:w="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(9,135)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(8,268)</w:t>
            </w:r>
          </w:p>
        </w:tc>
        <w:tc>
          <w:tcPr>
            <w:tcW w:w="20" w:type="dxa"/>
            <w:vAlign w:val="bottom"/>
          </w:tcPr>
          <w:p>
            <w:pPr>
              <w:spacing w:after="0"/>
              <w:rPr>
                <w:sz w:val="23"/>
                <w:szCs w:val="23"/>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70,868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70,406</w:t>
            </w: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00" w:type="dxa"/>
            <w:vAlign w:val="bottom"/>
            <w:gridSpan w:val="6"/>
          </w:tcPr>
          <w:p>
            <w:pPr>
              <w:jc w:val="right"/>
              <w:ind w:right="892"/>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75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75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3"/>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52"/>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-1824990</wp:posOffset>
            </wp:positionV>
            <wp:extent cx="7115175" cy="1797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-1473835</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-1122045</wp:posOffset>
            </wp:positionV>
            <wp:extent cx="71151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-4439285</wp:posOffset>
            </wp:positionH>
            <wp:positionV relativeFrom="paragraph">
              <wp:posOffset>-162560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6280" w:space="720"/>
            <w:col w:w="42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 details the components of our other liabilities as of March 31, 2020 and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65,078</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26,449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26,426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21,023</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3,396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3,382</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7,369</w:t>
            </w:r>
          </w:p>
        </w:tc>
      </w:tr>
      <w:tr>
        <w:trPr>
          <w:trHeight w:val="243"/>
        </w:trPr>
        <w:tc>
          <w:tcPr>
            <w:tcW w:w="20" w:type="dxa"/>
            <w:vAlign w:val="bottom"/>
          </w:tcPr>
          <w:p>
            <w:pPr>
              <w:spacing w:after="0"/>
              <w:rPr>
                <w:sz w:val="21"/>
                <w:szCs w:val="21"/>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760" w:type="dxa"/>
            <w:vAlign w:val="bottom"/>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1"/>
              <w:spacing w:after="0"/>
              <w:rPr>
                <w:sz w:val="20"/>
                <w:szCs w:val="20"/>
                <w:color w:val="auto"/>
              </w:rPr>
            </w:pPr>
            <w:r>
              <w:rPr>
                <w:rFonts w:ascii="Arial" w:cs="Arial" w:eastAsia="Arial" w:hAnsi="Arial"/>
                <w:sz w:val="18"/>
                <w:szCs w:val="18"/>
                <w:color w:val="auto"/>
              </w:rPr>
              <w:t>640</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164,155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123,918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March 31, 2020 and December 31,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0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7"/>
          </w:tcPr>
          <w:p>
            <w:pPr>
              <w:jc w:val="center"/>
              <w:ind w:left="135"/>
              <w:spacing w:after="0"/>
              <w:rPr>
                <w:sz w:val="20"/>
                <w:szCs w:val="20"/>
                <w:color w:val="auto"/>
              </w:rPr>
            </w:pPr>
            <w:r>
              <w:rPr>
                <w:rFonts w:ascii="Arial" w:cs="Arial" w:eastAsia="Arial" w:hAnsi="Arial"/>
                <w:sz w:val="16"/>
                <w:szCs w:val="16"/>
                <w:b w:val="1"/>
                <w:bCs w:val="1"/>
                <w:color w:val="auto"/>
                <w:w w:val="94"/>
              </w:rPr>
              <w:t>March 31, 2020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Final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 of Debt</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w w:val="98"/>
              </w:rPr>
              <w:t>Face Value</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3"/>
              </w:rPr>
              <w:t>L + 1.75%</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2,077,344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4"/>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2025 Notes</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738,593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2026 Notes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4.250%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1,230,979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2027 Notes</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738,493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2029 Notes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1"/>
              </w:rPr>
              <w:t>4.625%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984,530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2030 Notes</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984,546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6,850,000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6,754,485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620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7"/>
          </w:tcPr>
          <w:p>
            <w:pPr>
              <w:jc w:val="center"/>
              <w:ind w:left="135"/>
              <w:spacing w:after="0"/>
              <w:rPr>
                <w:sz w:val="20"/>
                <w:szCs w:val="20"/>
                <w:color w:val="auto"/>
              </w:rPr>
            </w:pPr>
            <w:r>
              <w:rPr>
                <w:rFonts w:ascii="Arial" w:cs="Arial" w:eastAsia="Arial" w:hAnsi="Arial"/>
                <w:sz w:val="16"/>
                <w:szCs w:val="16"/>
                <w:b w:val="1"/>
                <w:bCs w:val="1"/>
                <w:color w:val="auto"/>
                <w:w w:val="91"/>
              </w:rPr>
              <w:t>December 31, 2019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6"/>
              </w:rPr>
              <w:t>Final</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61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Description of Debt</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Maturity</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w w:val="92"/>
              </w:rPr>
              <w:t>Interest Rate</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Face Value</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jc w:val="right"/>
              <w:spacing w:after="0" w:line="243" w:lineRule="exact"/>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i w:val="1"/>
                <w:iCs w:val="1"/>
                <w:color w:val="auto"/>
                <w:vertAlign w:val="superscript"/>
              </w:rPr>
              <w:t>(2)</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L + 2.00%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2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L + 2.00%</w:t>
            </w: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2,076,962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3"/>
                <w:szCs w:val="23"/>
                <w:i w:val="1"/>
                <w:iCs w:val="1"/>
                <w:color w:val="auto"/>
                <w:vertAlign w:val="superscript"/>
              </w:rPr>
              <w:t>(5)</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8.00%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498,480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0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(4)</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4"/>
          </w:tcPr>
          <w:p>
            <w:pPr>
              <w:ind w:left="200"/>
              <w:spacing w:after="0"/>
              <w:rPr>
                <w:sz w:val="20"/>
                <w:szCs w:val="20"/>
                <w:color w:val="auto"/>
              </w:rPr>
            </w:pPr>
            <w:r>
              <w:rPr>
                <w:rFonts w:ascii="Arial" w:cs="Arial" w:eastAsia="Arial" w:hAnsi="Arial"/>
                <w:sz w:val="18"/>
                <w:szCs w:val="18"/>
                <w:color w:val="auto"/>
              </w:rPr>
              <w:t>2026 Notes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8"/>
              </w:rPr>
              <w:t>4.250%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1,231,227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2029 Notes</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4.625%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984,894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4,848,480</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4,791,563</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Revolving Credit Facility initially bore interest at LIBOR plus 2.25% and was subject to a 0.5% commitment fee. Upon our initial public offering, on February 5, 2018, the interest rate was reduced to LIBOR plus 2.00%. On May 15, 2019, we amended our Revolving Credit Facility to, among other things, increase borrowing capacity by $600 million to a total of $1.0 billion and extend the maturity date to May 2024. After giving effect to the amendments executed on May 15, 2019, borrowings under the Revolving Credit Facility will bear interest at a rate based on a leverage-based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For the three months ended March 31, 2020 the commitment fee was 0.375%.</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Term Loan B Facility initially bore interest at LIBOR plus 2.25%. Upon our initial public offering, on February 5, 2018, the interest rate was reduced to LIBOR plus 2.00%. In connection with the repricing of the Term Loan B Facility in January of 2020, the interest rate was decreased to LIBOR plus 1.75%. As of March 31, 2020 and December 31, 2019, we had six interest rate swap agreements outstanding with third-party financial institutions having an aggregate notional amount of $2.0 billion at a blended LIBOR rate of 2.7173%.</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Second Lien Notes were redeemed in full on February 20, 2020 with proceeds from the February 2020 Senior Unsecured Notes.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0" w:type="dxa"/>
            <w:vAlign w:val="bottom"/>
          </w:tcPr>
          <w:p>
            <w:pPr>
              <w:jc w:val="center"/>
              <w:ind w:left="941"/>
              <w:spacing w:after="0"/>
              <w:rPr>
                <w:sz w:val="20"/>
                <w:szCs w:val="20"/>
                <w:color w:val="auto"/>
              </w:rPr>
            </w:pPr>
            <w:r>
              <w:rPr>
                <w:rFonts w:ascii="Arial" w:cs="Arial" w:eastAsia="Arial" w:hAnsi="Arial"/>
                <w:sz w:val="20"/>
                <w:szCs w:val="20"/>
                <w:b w:val="1"/>
                <w:bCs w:val="1"/>
                <w:color w:val="auto"/>
              </w:rPr>
              <w:t>VICI PROPERTIES INC.</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0" w:type="dxa"/>
            <w:vAlign w:val="bottom"/>
          </w:tcPr>
          <w:p>
            <w:pPr>
              <w:jc w:val="center"/>
              <w:ind w:left="961"/>
              <w:spacing w:after="0"/>
              <w:rPr>
                <w:sz w:val="20"/>
                <w:szCs w:val="20"/>
                <w:color w:val="auto"/>
              </w:rPr>
            </w:pPr>
            <w:r>
              <w:rPr>
                <w:rFonts w:ascii="Arial" w:cs="Arial" w:eastAsia="Arial" w:hAnsi="Arial"/>
                <w:sz w:val="20"/>
                <w:szCs w:val="20"/>
                <w:b w:val="1"/>
                <w:bCs w:val="1"/>
                <w:color w:val="auto"/>
                <w:w w:val="97"/>
              </w:rPr>
              <w:t>NOTES TO CONSOLIDATED FINANCIAL STATEMENTS (Continued)</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0" w:type="dxa"/>
            <w:vAlign w:val="bottom"/>
          </w:tcPr>
          <w:p>
            <w:pPr>
              <w:jc w:val="center"/>
              <w:ind w:left="941"/>
              <w:spacing w:after="0"/>
              <w:rPr>
                <w:sz w:val="20"/>
                <w:szCs w:val="20"/>
                <w:color w:val="auto"/>
              </w:rPr>
            </w:pPr>
            <w:r>
              <w:rPr>
                <w:rFonts w:ascii="Arial" w:cs="Arial" w:eastAsia="Arial" w:hAnsi="Arial"/>
                <w:sz w:val="20"/>
                <w:szCs w:val="20"/>
                <w:b w:val="1"/>
                <w:bCs w:val="1"/>
                <w:color w:val="auto"/>
              </w:rPr>
              <w:t>(UNAUDITED)</w:t>
            </w:r>
          </w:p>
        </w:tc>
        <w:tc>
          <w:tcPr>
            <w:tcW w:w="2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928"/>
        </w:trPr>
        <w:tc>
          <w:tcPr>
            <w:tcW w:w="9300" w:type="dxa"/>
            <w:vAlign w:val="bottom"/>
            <w:gridSpan w:val="3"/>
          </w:tcPr>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March 31, 2020:</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b w:val="1"/>
                <w:bCs w:val="1"/>
                <w:color w:val="auto"/>
              </w:rPr>
              <w:t>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9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8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10,000</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22,000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2,068,000</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750,000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4,000,000</w:t>
            </w:r>
          </w:p>
        </w:tc>
      </w:tr>
      <w:tr>
        <w:trPr>
          <w:trHeight w:val="264"/>
        </w:trPr>
        <w:tc>
          <w:tcPr>
            <w:tcW w:w="20" w:type="dxa"/>
            <w:vAlign w:val="bottom"/>
          </w:tcPr>
          <w:p>
            <w:pPr>
              <w:spacing w:after="0"/>
              <w:rPr>
                <w:sz w:val="22"/>
                <w:szCs w:val="22"/>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Total minimum repayments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6,850,000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26, 2019, the Operating Partnership and the Co-Issuer (together with the Operating Partnership, the “Issuers”), wholly owned subsidiaries of the Company issued (i) $1,250 million in aggregate principal amount of 2026 Notes under an indenture dated as of November 26, 2019 (the “2026 Notes Indenture”), among the Issuers, the subsidiary guarantors party thereto and UMB Bank, National Association, as trustee (the “Trustee”), and (ii) $1,000 million in aggregate principal amount of 2029 Notes under an indenture dated as of November 26, 2019 (the “2029 Notes Indenture” and, together with the 2026 Notes Indenture, the “2019 Senior Unsecured Notes Indentures”), among the Issuers, the subsidiary guarantors party thereto and the Trustee. We used a portion of the net proceeds of the offering to repay in full the CPLV CMBS Debt, and pay certain fees and expenses including the net prepayment penalty of $55.4 million. On January 24, 2020, the remaining net proceeds were used to pay for a portion of the purchase price of the JACK Cleveland/Thistledown Acquisition. The 2026 Notes will mature on December 1, 2026, and the 2029 Notes will mature on December 1, 2029. Interest on the 2026 Notes will accrue at a rate of 4.250% per annum, and interest on the 2029 Notes will accrue at a rate of 4.625% per annum.</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February 5, 2020, the Issuers issued (i) $750 million in aggregate principal amount of 2025 Notes under an indenture dated as of February 5, 2020 (the “2025 Notes Indenture”), among the Issuers, the subsidiary guarantors party thereto and the Trustee, (ii) $750 million in aggregate principal amount of 2027 Notes under an indenture dated as of February 5, 2020 (the “2027 Notes Indenture”), among the Issuers, the subsidiary guarantors party thereto and the Trustee and (iii) $1.0 billion in aggregate principal amount of 2030 Notes under an indenture dated as of February 5, 2020 (the “2030 Notes Indenture” and, together with the 2025 Notes Indenture and the 2027 Notes Indenture, the “2020 Senior Unsecured Notes Indentures”), among the Issuers, the subsidiary guarantors party thereto and the Trustee. The 2020 Senior Unsecured Notes Indentures, together with the 2019 Senior Unsecured Notes Indentures, are referred to as the “Senior Unsecured Notes Indentures”. We placed $2.0 billion of the net proceeds of the February 2020 Senior Unsecured Notes offering into escrow pending the consummation of the Eldorado Transaction,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 The 2025 Notes will mature on February 15, 2025, the 2027 Notes will mature on February 15, 2027 and the 2030 Notes will mature on August 15, 2030. Interest on the 2025 Notes accrues at a rate of 3.500% per annum, interest on the 2027 Notes accrues at a rate of 3.750% per annum and interest on the 2030 Notes accrues at a rate of 4.125% per annum.</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November 2019 Senior Unsecured Notes and the February 2020 Senior Unsecured Notes (together, the “Senior Unsecured Notes”) were sold in the United States only to accredited investors pursuant to an exemption from the Securities Act of 1933, as amended (the “Securities Act”), and subsequently resold to persons reasonably believed to be qualified institutional buyers pursuant to Rule 144A under the Securities Act and to non-U.S. persons in accordance with Regulation S under the Securities Act.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commencing on June 1, 2020. Interest on the February 2020 Senior Unsecured Notes is payable semi-annually in cash in arrears on February 15 and August 15 of each year, commencing on August 15, 2020. The Senior Unsecured Notes are fully and unconditionally guaranteed, jointly and severally, on a senior unsecured basis by each existing and future direct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indirect wholly owned material domestic subsidiary of the Operating Partnership that incurs or guarantees certain bank indebtedness or any other material capital market indebtedness, other than certain excluded subsidiaries and the Co-Issuer.</w:t>
      </w:r>
    </w:p>
    <w:p>
      <w:pPr>
        <w:spacing w:after="0" w:line="116"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44">
        <w:r>
          <w:rPr>
            <w:rFonts w:ascii="Arial" w:cs="Arial" w:eastAsia="Arial" w:hAnsi="Arial"/>
            <w:sz w:val="18"/>
            <w:szCs w:val="18"/>
            <w:u w:val="single" w:color="auto"/>
            <w:color w:val="0000FF"/>
          </w:rPr>
          <w:t>“Note 15 -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Issuers may redeem the 2025 Notes at any time prior to February 15, 2022, in whole or in part, at a redemption price equal to 100% of the accrued principal amount thereof plus unpaid interest, if any, to the redemption date plus a make-whole premium. The Issuers may redeem the 2025 Notes, in whole or in part, at any time on or after February 15, 2022, at a redemption price of (i) 101.750% of the principal amount should such redemption occur before February 15, 2023, (ii) 100.875% of the principal amount should such redemption occur before February 15, 2024 and (iii) 100% of the principal amount should such redemption occur on or after February 15, 2024, in each case plus accrued and unpaid interest, if any, to, but excluding, the redemption date. The Issuers may redeem the 2026 Notes at any time prior to December 1, 2022, in whole or in part, at a redemption price equal to 100% of the accrued principal amount thereof plus unpaid interest, if any, to the redemption date plus a make-whole premium. The Issuers may redeem the 2026 Notes, in whole or in part, at any time on or after December 1, 2022 at the redemption price of (i) 102.125% of the principal amount should such redemption occur before December 1, 2023, (ii) 101.063% of the principal amount should such redemption occur before December 1, 2024 and (iii) 100% of the principal amount should such redemption occur on or after December 1, 2024, in each case plus accrued and unpaid interest, if any, to, but excluding, the redemption date. The Issuers may redeem the 2027 Notes at any time prior to February 15, 2023, in whole or in part, at a redemption price equal to 100% of the accrued principal amount thereof plus unpaid interest, if any, to the redemption date plus a make-whole premium. The Issuers may redeem the 2027 Notes, in whole or in part, at any time on or after February 15, 2023, at a redemption price of (i) 101.875% of the principal amount should such redemption occur before February 15, 2024, (ii) 100.938% of the principal amount should such redemption occur before February 15, 2025 and (iii) 100% of the principal amount should such redemption occur on or after February 15, 2025, in each case plus accrued and unpaid interest, if any, to, but excluding, the redemption date. The Issuers may redeem the 2029 Notes at any time prior to December 1, 2024, in whole or in part, at a redemption price equal to 100% of the accrued principal amount thereof plus unpaid interest, if any, to the redemption date plus a make-whole premium. The Issuers may redeem the 2029 Notes, in whole or in part, at any time on or after December 1, 2024 at the redemption price of (i) 102.313% of the principal amount should such redemption occur before December 1, 2025, (ii) 101.541% of the principal amount should such redemption occur before December 1, 2026, (iii) 100.771% of the principal amount should such redemption occur before December 1, 2027 and (iv) 100% of the principal amount should such redemption occur on or after December 1, 2027, in each case plus accrued and unpaid interest, if any, to, but excluding, the redemption date. The Issuers may redeem the 2030 Notes at any time prior to February 15, 2025, in whole or in part, at a redemption price equal to 100% of the accrued principal amount thereof plus unpaid interest, if any, to the redemption date plus a make-whole premium. The Issuers may redeem the 2030 Notes, in whole or in part, at any time on or after February 15, 2025, at a redemption price of (i) 102.063% of the principal amount should such redemption occur before February 15, 2026, (ii) 101.375% of the principal amount should such redemption occur before February 15, 2027, (iii) 100.688% of the principal amount should such redemption occur before February 15, 2028 and (iv) 100% of the principal amount should such redemption occur on or after February 15, 2028, in each case plus accrued and unpaid interest, if any, to, but excluding, the redemption date.</w:t>
      </w:r>
    </w:p>
    <w:p>
      <w:pPr>
        <w:spacing w:after="0" w:line="3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before December 1, 2022, the Issuers may redeem up to 40% of the November 2019 Senior Unsecured Notes with the net cash proceeds from certain equity offerings (i) at a redemption price of 104.250% of the principal amount redeemed in the case of the 2026 Notes and (ii) at a redemption price of 104.625% of the principal amount redeemed in the case of the 2029 Notes. However, the Issuers may only make such redemptions if at least 60% of the aggregate principal amount of the series of November 2019 Senior Unsecured Notes issued under the applicable 2019 Senior Unsecured Notes Indenture remains outstanding after the occurrence of such redemption. Before February 15, 2022, the Issuers may redeem up to 40% of the 2025 Notes with the net cash proceeds from certain equity offerings at a redemption price of 103.500% of the principal amount redeemed. Before February 15, 2023, the Issuers may redeem up to 40% of each of the 2027 Notes and the 2030 Notes, as applicable, with the net cash proceeds from certain equity offerings (i) at a redemption price of 103.750% of the principal amount redeemed in the case of the 2027 Notes and (ii) at a redemption price of 104.125% of the principal amount redeemed in the case of the 2030 Notes. However, the Issuers may only make such redemptions if at least 60% of the aggregate principal amount of the series of February 2020 Senior Unsecured Notes issued under the applicable February 2020 Senior Unsecured Notes Indenture remains outstanding after the occurrence of such redemption.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2027 Notes, the 2030 Notes and the portion of the 2025 Notes in excess of the amount applied to redeem the Second Lien Notes are subject to a special mandatory redemption (the “Special Mandatory Redemption Notes”), in accordance with the terms of the applicable Indentures, at a redemption price equal to 100% of the aggregate principal amount of the Special Mandatory Redemption Notes, plus accrued and unpaid interest, if any, to, but excluding, the date of the special mandatory redemption, if (i) the transactions pursuant to the MTA (other than the MTA Properties Acquisitions) (such transactions, other than the MTA Properties Acquisitions, the “Specified MTA Transactions”) are not consummated on or before the End Date (as defined in accordance with the provisions of the MTA (as such date may be extended in accordance with the MTA, the “MTA Transaction Deadline”)), (ii) the Company determines that the Specified MTA Transactions will not be consummated on or before the MTA Transaction Deadline and gives written notice to the effect thereof to the applicable Trustee or (iii) the MTA is terminated in accordance with its terms or by agreement of the parties thereto. To the extent the Specified MTA Transactions close, but any of the MTA Properties Acquisitions does not, any net proceeds that the Issuers placed in escrow pending the consummation of such MTA Properties Acquisition would be available to finance future acquisitions, repay indebtedness or for general corporate purposes.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is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March 31, 2020, the restricted net assets of the Operating Partnership were approximately $7.5 billion.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current revolving credit facility under the Revolving Credit Facility. After giving effect to Amendment No. 2, the Credit Agreement, provided total borrowing capacity pursuant to the revolving credit commitments in the aggregate principal amount of $1.0 billion.</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$30,000,000. We are also subject to the financial covenants under the Revolving Credit Facility, as previously described above.</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12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37">
        <w:r>
          <w:rPr>
            <w:rFonts w:ascii="Arial" w:cs="Arial" w:eastAsia="Arial" w:hAnsi="Arial"/>
            <w:sz w:val="18"/>
            <w:szCs w:val="18"/>
            <w:u w:val="single" w:color="auto"/>
            <w:color w:val="0000FF"/>
          </w:rPr>
          <w:t>Note 9 - Derivatives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our interest rate swap agreements related to the Term Loan B Facility.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based on the period the commitment is outstanding and a structuring fee. The commitment fee is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The structuring fee is equal to 0.10% of the total aggregate commitments at the date of the Commitment Letter and is payable as such commitments are terminated. For the three months ended March 31, 2020 we have recognized $2.6 million of fees related to the Bridge Facilities in Interest expense on our Statement of Operations.</w:t>
      </w:r>
    </w:p>
    <w:p>
      <w:pPr>
        <w:spacing w:after="0" w:line="11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Commitments and loans under the Bridge Facilities will be reduced or prepaid, as applicable, in part upon any issuance by us of equity or notes in a public offering or private placement and/or the incurrence of term loans and certain other debt and upon other specified events prior to the consummation of the Eldorado Transaction, in each case subject to the terms and certain exceptions set forth in the Commitment Letter, including that the commitments and loans will not be reduced as a result of the proceeds from primary follow-on offerings. If we use the Bridge Facilities, funding is contingent on the satisfaction of certain customary conditions set forth in the Commitment Letter, including, among others, (i) the execution and delivery of definitive documentation with respect to the Bridge Facilities in accordance with the terms set forth in the Commitment Letter and (ii) the consummation of the transactions in accordance with the Eldorado Transaction documents. Although we do not currently expect VICI PropCo to make any borrowings under the Bridge Facilities, there can be no assurance that such borrowings will not be made or that we will be able to incur alternative long-term debt financing in lieu of borrowings under the Bridge Facilities. Borrowing under the Bridge Facilities, if any, will bear interest at a floating rate that varies depending on the duration of the loans thereunder. Under the Eldorado Senior Bridge Facility, interest will be calculated on a rate between (i) LIBOR plus 200 basis points and LIBOR plus 275 basis or (ii) the base rate plus 100 basis points and the base rate plus 175 basis points, in each case depending on duration. Under the Eldorado Junior Bridge Facility, interest will be calculated on a rate between (x) LIBOR plus 300 basis points and LIBOR plus 375 basis or (y) the base rate plus 200 basis points and the base rate plus 275 basis points, in each case depending on duration. The Bridge Facilities, if funded, will contain restrictive covenants and events of default substantially similar to those contained in, with respect to the Eldorado Senior Bridge Facility, the Senior Secured Credit Facilities and, with respect to the Eldorado Junior Bridge Facility, the Second Lien Notes. If we draw upon the Bridge Facilities, there can be no assurances that we would be able to refinance the Bridge Facilities on terms satisfactory to us, or at all.</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the November 2019 Senior Unsecured Notes offering, the commitments under the Bridge Facilities were reduced by $1.6 billion, to $3.2 billion. Following the February 2020 Senior Unsecured Notes offering, we placed $2.0 billion of the net proceeds of the offering into escrow pending the consummation of the Eldorado Transaction and the commitments under the Bridge Facilities were further reduced by $2.0 billion to $1.2 billion.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 redeem in full the Second Lien Notes at a redemption price of 100% of the principal amount of the Second Lien Notes then outstanding plus the Second Lien Notes Applicable Premium, for a total redemption cost of $537.5 million. In connection with the full redemption, we recognized a loss on extinguishment of debt of $39.1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2020, we are in compliance with all required covenants under our 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Derivatives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Subsequent to the effectiveness and for the duration of the interest rate swap transactions, we are only subject to interest rate risk on $100.0 million of variable rate debt.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our outstanding interest rate derivatives that were designated as cash flow hedges of interest rate risk as of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740" w:type="dxa"/>
            <w:vAlign w:val="bottom"/>
          </w:tcPr>
          <w:p>
            <w:pPr>
              <w:ind w:left="620"/>
              <w:spacing w:after="0"/>
              <w:rPr>
                <w:sz w:val="20"/>
                <w:szCs w:val="20"/>
                <w:color w:val="auto"/>
              </w:rPr>
            </w:pPr>
            <w:r>
              <w:rPr>
                <w:rFonts w:ascii="Arial" w:cs="Arial" w:eastAsia="Arial" w:hAnsi="Arial"/>
                <w:sz w:val="16"/>
                <w:szCs w:val="16"/>
                <w:b w:val="1"/>
                <w:bCs w:val="1"/>
                <w:color w:val="auto"/>
                <w:w w:val="96"/>
              </w:rPr>
              <w:t>March 31, 2020</w:t>
            </w:r>
          </w:p>
        </w:tc>
        <w:tc>
          <w:tcPr>
            <w:tcW w:w="112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Instrument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Instruments</w:t>
            </w:r>
          </w:p>
        </w:tc>
        <w:tc>
          <w:tcPr>
            <w:tcW w:w="1260" w:type="dxa"/>
            <w:vAlign w:val="bottom"/>
          </w:tcPr>
          <w:p>
            <w:pPr>
              <w:ind w:left="240"/>
              <w:spacing w:after="0"/>
              <w:rPr>
                <w:sz w:val="20"/>
                <w:szCs w:val="20"/>
                <w:color w:val="auto"/>
              </w:rPr>
            </w:pPr>
            <w:r>
              <w:rPr>
                <w:rFonts w:ascii="Arial" w:cs="Arial" w:eastAsia="Arial" w:hAnsi="Arial"/>
                <w:sz w:val="16"/>
                <w:szCs w:val="16"/>
                <w:b w:val="1"/>
                <w:bCs w:val="1"/>
                <w:color w:val="auto"/>
              </w:rPr>
              <w:t>Fixed Rate</w:t>
            </w:r>
          </w:p>
        </w:tc>
        <w:tc>
          <w:tcPr>
            <w:tcW w:w="1740" w:type="dxa"/>
            <w:vAlign w:val="bottom"/>
          </w:tcPr>
          <w:p>
            <w:pPr>
              <w:ind w:left="280"/>
              <w:spacing w:after="0"/>
              <w:rPr>
                <w:sz w:val="20"/>
                <w:szCs w:val="20"/>
                <w:color w:val="auto"/>
              </w:rPr>
            </w:pPr>
            <w:r>
              <w:rPr>
                <w:rFonts w:ascii="Arial" w:cs="Arial" w:eastAsia="Arial" w:hAnsi="Arial"/>
                <w:sz w:val="16"/>
                <w:szCs w:val="16"/>
                <w:b w:val="1"/>
                <w:bCs w:val="1"/>
                <w:color w:val="auto"/>
              </w:rPr>
              <w:t>Notional</w:t>
            </w:r>
          </w:p>
        </w:tc>
        <w:tc>
          <w:tcPr>
            <w:tcW w:w="1120" w:type="dxa"/>
            <w:vAlign w:val="bottom"/>
          </w:tcPr>
          <w:p>
            <w:pPr>
              <w:ind w:left="40"/>
              <w:spacing w:after="0"/>
              <w:rPr>
                <w:sz w:val="20"/>
                <w:szCs w:val="20"/>
                <w:color w:val="auto"/>
              </w:rPr>
            </w:pPr>
            <w:r>
              <w:rPr>
                <w:rFonts w:ascii="Arial" w:cs="Arial" w:eastAsia="Arial" w:hAnsi="Arial"/>
                <w:sz w:val="16"/>
                <w:szCs w:val="16"/>
                <w:b w:val="1"/>
                <w:bCs w:val="1"/>
                <w:color w:val="auto"/>
              </w:rPr>
              <w:t>Index</w:t>
            </w:r>
          </w:p>
        </w:tc>
        <w:tc>
          <w:tcPr>
            <w:tcW w:w="2060" w:type="dxa"/>
            <w:vAlign w:val="bottom"/>
          </w:tcPr>
          <w:p>
            <w:pPr>
              <w:ind w:left="680"/>
              <w:spacing w:after="0"/>
              <w:rPr>
                <w:sz w:val="20"/>
                <w:szCs w:val="20"/>
                <w:color w:val="auto"/>
              </w:rPr>
            </w:pPr>
            <w:r>
              <w:rPr>
                <w:rFonts w:ascii="Arial" w:cs="Arial" w:eastAsia="Arial" w:hAnsi="Arial"/>
                <w:sz w:val="16"/>
                <w:szCs w:val="16"/>
                <w:b w:val="1"/>
                <w:bCs w:val="1"/>
                <w:color w:val="auto"/>
              </w:rPr>
              <w:t>Maturity</w:t>
            </w:r>
          </w:p>
        </w:tc>
      </w:tr>
    </w:tbl>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4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2.8297%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r>
      <w:tr>
        <w:trPr>
          <w:trHeight w:val="243"/>
        </w:trPr>
        <w:tc>
          <w:tcPr>
            <w:tcW w:w="364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2.3802%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r>
      <w:tr>
        <w:trPr>
          <w:trHeight w:val="675"/>
        </w:trPr>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ind w:left="340"/>
              <w:spacing w:after="0"/>
              <w:rPr>
                <w:sz w:val="20"/>
                <w:szCs w:val="20"/>
                <w:color w:val="auto"/>
              </w:rPr>
            </w:pPr>
            <w:r>
              <w:rPr>
                <w:rFonts w:ascii="Arial" w:cs="Arial" w:eastAsia="Arial" w:hAnsi="Arial"/>
                <w:sz w:val="16"/>
                <w:szCs w:val="16"/>
                <w:b w:val="1"/>
                <w:bCs w:val="1"/>
                <w:color w:val="auto"/>
              </w:rPr>
              <w:t>December 31, 2019</w:t>
            </w:r>
          </w:p>
        </w:tc>
        <w:tc>
          <w:tcPr>
            <w:tcW w:w="2140" w:type="dxa"/>
            <w:vAlign w:val="bottom"/>
          </w:tcPr>
          <w:p>
            <w:pPr>
              <w:spacing w:after="0"/>
              <w:rPr>
                <w:sz w:val="24"/>
                <w:szCs w:val="24"/>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Number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0"/>
        </w:trPr>
        <w:tc>
          <w:tcPr>
            <w:tcW w:w="3640" w:type="dxa"/>
            <w:vAlign w:val="bottom"/>
            <w:gridSpan w:val="3"/>
          </w:tcPr>
          <w:p>
            <w:pPr>
              <w:spacing w:after="0"/>
              <w:rPr>
                <w:sz w:val="20"/>
                <w:szCs w:val="20"/>
                <w:color w:val="auto"/>
              </w:rPr>
            </w:pPr>
            <w:r>
              <w:rPr>
                <w:rFonts w:ascii="Arial" w:cs="Arial" w:eastAsia="Arial" w:hAnsi="Arial"/>
                <w:sz w:val="16"/>
                <w:szCs w:val="16"/>
                <w:b w:val="1"/>
                <w:bCs w:val="1"/>
                <w:color w:val="auto"/>
              </w:rPr>
              <w:t>Instrument</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Instruments</w:t>
            </w: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Fixed Rate</w:t>
            </w: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r>
      <w:tr>
        <w:trPr>
          <w:trHeight w:val="33"/>
        </w:trPr>
        <w:tc>
          <w:tcPr>
            <w:tcW w:w="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r>
      <w:tr>
        <w:trPr>
          <w:trHeight w:val="243"/>
        </w:trPr>
        <w:tc>
          <w:tcPr>
            <w:tcW w:w="364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2.3802%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and December 31, 2019, the interest rate swaps are in net unrealized loss positions and are recorded within Other liabilities. The following table presents the effect of our derivative financial instruments on our Statement of Operations:</w:t>
      </w:r>
    </w:p>
    <w:p>
      <w:pPr>
        <w:spacing w:after="0" w:line="17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37465</wp:posOffset>
            </wp:positionV>
            <wp:extent cx="2674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773"/>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loss recorded in other comprehensive income</w:t>
            </w:r>
          </w:p>
        </w:tc>
        <w:tc>
          <w:tcPr>
            <w:tcW w:w="1300" w:type="dxa"/>
            <w:vAlign w:val="bottom"/>
            <w:tcBorders>
              <w:bottom w:val="single" w:sz="8" w:color="CCEEFF"/>
            </w:tcBorders>
            <w:shd w:val="clear" w:color="auto" w:fill="CCEEFF"/>
          </w:tcPr>
          <w:p>
            <w:pPr>
              <w:jc w:val="right"/>
              <w:ind w:right="1093"/>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53,138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17,191</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Interest recorded in interest expense</w:t>
            </w:r>
          </w:p>
        </w:tc>
        <w:tc>
          <w:tcPr>
            <w:tcW w:w="1300" w:type="dxa"/>
            <w:vAlign w:val="bottom"/>
          </w:tcPr>
          <w:p>
            <w:pPr>
              <w:jc w:val="right"/>
              <w:ind w:right="1093"/>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1,149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assets and liabilities measured at fair value on a recurring basis as of March 31, 2020 and December 31, 2019: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ind w:left="700"/>
              <w:spacing w:after="0"/>
              <w:rPr>
                <w:sz w:val="20"/>
                <w:szCs w:val="20"/>
                <w:color w:val="auto"/>
              </w:rPr>
            </w:pPr>
            <w:r>
              <w:rPr>
                <w:rFonts w:ascii="Arial" w:cs="Arial" w:eastAsia="Arial" w:hAnsi="Arial"/>
                <w:sz w:val="16"/>
                <w:szCs w:val="16"/>
                <w:b w:val="1"/>
                <w:bCs w:val="1"/>
                <w:color w:val="auto"/>
                <w:w w:val="93"/>
              </w:rPr>
              <w:t>March 31, 2020</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52"/>
        </w:trPr>
        <w:tc>
          <w:tcPr>
            <w:tcW w:w="20" w:type="dxa"/>
            <w:vAlign w:val="bottom"/>
          </w:tcPr>
          <w:p>
            <w:pPr>
              <w:spacing w:after="0"/>
              <w:rPr>
                <w:sz w:val="24"/>
                <w:szCs w:val="24"/>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118,216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118,216</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57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5"/>
          </w:tcPr>
          <w:p>
            <w:pPr>
              <w:ind w:left="580"/>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0"/>
                <w:szCs w:val="20"/>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2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(1)</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59,474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59,474</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352"/>
        </w:trPr>
        <w:tc>
          <w:tcPr>
            <w:tcW w:w="20" w:type="dxa"/>
            <w:vAlign w:val="bottom"/>
          </w:tcPr>
          <w:p>
            <w:pPr>
              <w:spacing w:after="0"/>
              <w:rPr>
                <w:sz w:val="24"/>
                <w:szCs w:val="24"/>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65,078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65,078</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55"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55" w:lineRule="exact"/>
        <w:rPr>
          <w:rFonts w:ascii="Arial" w:cs="Arial" w:eastAsia="Arial" w:hAnsi="Arial"/>
          <w:sz w:val="14"/>
          <w:szCs w:val="14"/>
          <w:i w:val="1"/>
          <w:iCs w:val="1"/>
          <w:color w:val="auto"/>
        </w:rPr>
      </w:pPr>
    </w:p>
    <w:p>
      <w:pPr>
        <w:ind w:right="240" w:firstLine="8"/>
        <w:spacing w:after="0" w:line="273" w:lineRule="auto"/>
        <w:tabs>
          <w:tab w:leader="none" w:pos="204"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as of March 31, 2020 and December 31, 2019 for which fair value is only disclosed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5"/>
          </w:tcPr>
          <w:p>
            <w:pPr>
              <w:ind w:left="580"/>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Pr>
          <w:p>
            <w:pPr>
              <w:spacing w:after="0"/>
              <w:rPr>
                <w:sz w:val="18"/>
                <w:szCs w:val="18"/>
                <w:color w:val="auto"/>
              </w:rPr>
            </w:pPr>
          </w:p>
        </w:tc>
        <w:tc>
          <w:tcPr>
            <w:tcW w:w="248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1440" w:type="dxa"/>
            <w:vAlign w:val="bottom"/>
            <w:gridSpan w:val="3"/>
          </w:tcPr>
          <w:p>
            <w:pPr>
              <w:ind w:left="4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580" w:type="dxa"/>
            <w:vAlign w:val="bottom"/>
            <w:gridSpan w:val="2"/>
          </w:tcPr>
          <w:p>
            <w:pPr>
              <w:ind w:left="280"/>
              <w:spacing w:after="0"/>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794,055</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843,300</w:t>
            </w:r>
          </w:p>
        </w:tc>
        <w:tc>
          <w:tcPr>
            <w:tcW w:w="100" w:type="dxa"/>
            <w:vAlign w:val="bottom"/>
          </w:tcPr>
          <w:p>
            <w:pPr>
              <w:spacing w:after="0"/>
              <w:rPr>
                <w:sz w:val="23"/>
                <w:szCs w:val="23"/>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(1)</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48,470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55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369,052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369,052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1,101,893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1,101,893</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2,002,032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2,002,032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(2)</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 B Facility</w:t>
            </w: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2,077,344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1,932,000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2,076,962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2,110,500</w:t>
            </w:r>
          </w:p>
        </w:tc>
      </w:tr>
      <w:tr>
        <w:trPr>
          <w:trHeight w:val="270"/>
        </w:trPr>
        <w:tc>
          <w:tcPr>
            <w:tcW w:w="20" w:type="dxa"/>
            <w:vAlign w:val="bottom"/>
          </w:tcPr>
          <w:p>
            <w:pPr>
              <w:spacing w:after="0"/>
              <w:rPr>
                <w:sz w:val="23"/>
                <w:szCs w:val="23"/>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Second Lien Notes</w:t>
            </w:r>
          </w:p>
        </w:tc>
        <w:tc>
          <w:tcPr>
            <w:tcW w:w="26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538,358</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2025 Notes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738,593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685,312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580" w:type="dxa"/>
            <w:vAlign w:val="bottom"/>
            <w:gridSpan w:val="2"/>
          </w:tcPr>
          <w:p>
            <w:pPr>
              <w:ind w:left="360"/>
              <w:spacing w:after="0"/>
              <w:rPr>
                <w:sz w:val="20"/>
                <w:szCs w:val="20"/>
                <w:color w:val="auto"/>
              </w:rPr>
            </w:pPr>
            <w:r>
              <w:rPr>
                <w:rFonts w:ascii="Arial" w:cs="Arial" w:eastAsia="Arial" w:hAnsi="Arial"/>
                <w:sz w:val="18"/>
                <w:szCs w:val="18"/>
                <w:color w:val="auto"/>
              </w:rPr>
              <w:t>2026 Notes</w:t>
            </w:r>
          </w:p>
        </w:tc>
        <w:tc>
          <w:tcPr>
            <w:tcW w:w="26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1,230,979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1,231,227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1,287,500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2027 Notes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738,493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580" w:type="dxa"/>
            <w:vAlign w:val="bottom"/>
            <w:gridSpan w:val="2"/>
          </w:tcPr>
          <w:p>
            <w:pPr>
              <w:ind w:left="360"/>
              <w:spacing w:after="0"/>
              <w:rPr>
                <w:sz w:val="20"/>
                <w:szCs w:val="20"/>
                <w:color w:val="auto"/>
              </w:rPr>
            </w:pPr>
            <w:r>
              <w:rPr>
                <w:rFonts w:ascii="Arial" w:cs="Arial" w:eastAsia="Arial" w:hAnsi="Arial"/>
                <w:sz w:val="18"/>
                <w:szCs w:val="18"/>
                <w:color w:val="auto"/>
              </w:rPr>
              <w:t>2029 Notes</w:t>
            </w:r>
          </w:p>
        </w:tc>
        <w:tc>
          <w:tcPr>
            <w:tcW w:w="26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984,530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905,000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984,894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1,045,000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2030 Notes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984,546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952,500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155"/>
        </w:trPr>
        <w:tc>
          <w:tcPr>
            <w:tcW w:w="5600" w:type="dxa"/>
            <w:vAlign w:val="bottom"/>
            <w:gridSpan w:val="3"/>
          </w:tcPr>
          <w:p>
            <w:pPr>
              <w:spacing w:after="0" w:line="155" w:lineRule="exact"/>
              <w:rPr>
                <w:sz w:val="20"/>
                <w:szCs w:val="20"/>
                <w:color w:val="auto"/>
              </w:rPr>
            </w:pPr>
            <w:r>
              <w:rPr>
                <w:rFonts w:ascii="Arial" w:cs="Arial" w:eastAsia="Arial" w:hAnsi="Arial"/>
                <w:sz w:val="14"/>
                <w:szCs w:val="14"/>
                <w:color w:val="auto"/>
              </w:rPr>
              <w:t>____________________</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ind w:left="340" w:hanging="332"/>
        <w:spacing w:after="0" w:line="260" w:lineRule="auto"/>
        <w:tabs>
          <w:tab w:leader="none" w:pos="332" w:val="left"/>
        </w:tabs>
        <w:numPr>
          <w:ilvl w:val="0"/>
          <w:numId w:val="20"/>
        </w:numPr>
        <w:rPr>
          <w:rFonts w:ascii="Arial" w:cs="Arial" w:eastAsia="Arial" w:hAnsi="Arial"/>
          <w:sz w:val="13"/>
          <w:szCs w:val="13"/>
          <w:i w:val="1"/>
          <w:iCs w:val="1"/>
          <w:color w:val="auto"/>
        </w:rPr>
      </w:pPr>
      <w:r>
        <w:rPr>
          <w:rFonts w:ascii="Arial" w:cs="Arial" w:eastAsia="Arial" w:hAnsi="Arial"/>
          <w:sz w:val="13"/>
          <w:szCs w:val="13"/>
          <w:i w:val="1"/>
          <w:iCs w:val="1"/>
          <w:color w:val="auto"/>
        </w:rPr>
        <w:t>These investments represent the JACK Cleveland/Thistledown Lease Agreement and the ROV Loan, respectively, which were acquired on January 24, 2020. Given the proximity of the date of our investment to the date of the financial statements, we determined that the fair value materially approximates the purchase price of the acquisition of these financial assets.</w:t>
      </w:r>
    </w:p>
    <w:p>
      <w:pPr>
        <w:ind w:left="340" w:hanging="332"/>
        <w:spacing w:after="0" w:line="255" w:lineRule="auto"/>
        <w:tabs>
          <w:tab w:leader="none" w:pos="332"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March 31, 2020,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liable under various operating leases for: (i) land at the Cascata golf course, which expires in 2038 and (ii) offices in New Orleans, LA and New York, NY, which expire in 2020 and 2030, respectively. The weighted average remaining lease term as of March 31, 2020 under our operating leases was 16.1 years. Our Cascata ground lease has three 10-year extension options. The rent of such options would be the in-place rent at the time of renewal.</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63"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37465</wp:posOffset>
            </wp:positionV>
            <wp:extent cx="2674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jc w:val="right"/>
              <w:ind w:right="133"/>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773"/>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 expense</w:t>
            </w:r>
          </w:p>
        </w:tc>
        <w:tc>
          <w:tcPr>
            <w:tcW w:w="1420" w:type="dxa"/>
            <w:vAlign w:val="bottom"/>
            <w:tcBorders>
              <w:bottom w:val="single" w:sz="8" w:color="CCEEFF"/>
            </w:tcBorders>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364</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420" w:type="dxa"/>
            <w:vAlign w:val="bottom"/>
          </w:tcPr>
          <w:p>
            <w:pPr>
              <w:jc w:val="right"/>
              <w:ind w:right="121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318</w:t>
            </w:r>
          </w:p>
        </w:tc>
      </w:tr>
    </w:tbl>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10, 2019 we entered into a lease agreement for new office space in New York, NY for our corporate headquarters. The lease has a 10-year term, with one 5-year extension option and requires a fixed annual rent of $0.9 million. We determined the lease was an operating lease and the discount rate for the lease was determined to be 5.3% based on the yield of our current secured borrowings, adjusted to match borrowings of similar terms.</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current secured borrowings, adjusted to match borrowings of similar terms.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we have a $17.8 million right of use asset and corresponding lease liability recorded in Other assets on our Balance Sheet related to our operating lease commitments for which we are the lessee.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March 31, 2020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1,189</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1,790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1,808</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1,827</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1,847</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1,908</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19,074</w:t>
            </w:r>
          </w:p>
        </w:tc>
      </w:tr>
      <w:tr>
        <w:trPr>
          <w:trHeight w:val="237"/>
        </w:trPr>
        <w:tc>
          <w:tcPr>
            <w:tcW w:w="20" w:type="dxa"/>
            <w:vAlign w:val="bottom"/>
          </w:tcPr>
          <w:p>
            <w:pPr>
              <w:spacing w:after="0"/>
              <w:rPr>
                <w:sz w:val="20"/>
                <w:szCs w:val="20"/>
                <w:color w:val="auto"/>
              </w:rPr>
            </w:pPr>
          </w:p>
        </w:tc>
        <w:tc>
          <w:tcPr>
            <w:tcW w:w="8740" w:type="dxa"/>
            <w:vAlign w:val="bottom"/>
            <w:gridSpan w:val="2"/>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29,443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11,651</w:t>
            </w: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17,792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Certain of our acquisitions necessitate that we assume, as the lessee, ground and use leases, the cost of which is passed to our tenants through the Lease Agreements. The Lease Agreements, which act as sub-leases, require the tenants to pay all costs associated with such ground and use leases and provides for their direct payment to the landlord.</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determined we are the primary obligor of the ground and use leases and, accordingly, have presented these leases on a gross basis on our Balance Sheet and Statement of Operations. Further, we assessed the classification of the sub-lease to our tenant and our obligation as primary obligor and determined that they meet the definition of a sales-type and finance lease, respectively. The following table details the balance and location in our Balance Sheet of the ground and use leases as of March 31, 2020 and December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7"/>
                <w:szCs w:val="17"/>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Others assets (lease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8,688</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liabilities (lease liabilities)</w:t>
            </w:r>
          </w:p>
        </w:tc>
        <w:tc>
          <w:tcPr>
            <w:tcW w:w="300" w:type="dxa"/>
            <w:vAlign w:val="bottom"/>
          </w:tcPr>
          <w:p>
            <w:pPr>
              <w:spacing w:after="0"/>
              <w:rPr>
                <w:sz w:val="21"/>
                <w:szCs w:val="21"/>
                <w:color w:val="auto"/>
              </w:rPr>
            </w:pPr>
          </w:p>
        </w:tc>
        <w:tc>
          <w:tcPr>
            <w:tcW w:w="1760" w:type="dxa"/>
            <w:vAlign w:val="bottom"/>
          </w:tcPr>
          <w:p>
            <w:pPr>
              <w:jc w:val="right"/>
              <w:ind w:right="73"/>
              <w:spacing w:after="0"/>
              <w:rPr>
                <w:sz w:val="20"/>
                <w:szCs w:val="20"/>
                <w:color w:val="auto"/>
              </w:rPr>
            </w:pPr>
            <w:r>
              <w:rPr>
                <w:rFonts w:ascii="Arial" w:cs="Arial" w:eastAsia="Arial" w:hAnsi="Arial"/>
                <w:sz w:val="18"/>
                <w:szCs w:val="18"/>
                <w:color w:val="auto"/>
              </w:rPr>
              <w:t>8,658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8,688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tenant reimbursements and other income and tenant reimbursements and other expenses, respectively, in our Statement of Operations and contractual rent expense under these agreements were as follows:</w:t>
      </w:r>
    </w:p>
    <w:p>
      <w:pPr>
        <w:spacing w:after="0" w:line="117"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37465</wp:posOffset>
            </wp:positionV>
            <wp:extent cx="2665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7"/>
                <w:szCs w:val="17"/>
                <w:color w:val="auto"/>
              </w:rPr>
            </w:pPr>
          </w:p>
        </w:tc>
        <w:tc>
          <w:tcPr>
            <w:tcW w:w="1580" w:type="dxa"/>
            <w:vAlign w:val="bottom"/>
          </w:tcPr>
          <w:p>
            <w:pPr>
              <w:jc w:val="right"/>
              <w:ind w:right="79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040" w:type="dxa"/>
            <w:vAlign w:val="bottom"/>
          </w:tcPr>
          <w:p>
            <w:pPr>
              <w:jc w:val="right"/>
              <w:ind w:right="773"/>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Rental income and expense </w:t>
            </w:r>
            <w:r>
              <w:rPr>
                <w:rFonts w:ascii="Arial" w:cs="Arial" w:eastAsia="Arial" w:hAnsi="Arial"/>
                <w:sz w:val="23"/>
                <w:szCs w:val="23"/>
                <w:i w:val="1"/>
                <w:iCs w:val="1"/>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51</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480" w:type="dxa"/>
            <w:vAlign w:val="bottom"/>
          </w:tcPr>
          <w:p>
            <w:pPr>
              <w:spacing w:after="0"/>
              <w:rPr>
                <w:sz w:val="21"/>
                <w:szCs w:val="21"/>
                <w:color w:val="auto"/>
              </w:rPr>
            </w:pPr>
          </w:p>
        </w:tc>
        <w:tc>
          <w:tcPr>
            <w:tcW w:w="1580" w:type="dxa"/>
            <w:vAlign w:val="bottom"/>
          </w:tcPr>
          <w:p>
            <w:pPr>
              <w:jc w:val="right"/>
              <w:ind w:right="7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040" w:type="dxa"/>
            <w:vAlign w:val="bottom"/>
          </w:tcPr>
          <w:p>
            <w:pPr>
              <w:jc w:val="right"/>
              <w:ind w:right="73"/>
              <w:spacing w:after="0"/>
              <w:rPr>
                <w:sz w:val="20"/>
                <w:szCs w:val="20"/>
                <w:color w:val="auto"/>
              </w:rPr>
            </w:pPr>
            <w:r>
              <w:rPr>
                <w:rFonts w:ascii="Arial" w:cs="Arial" w:eastAsia="Arial" w:hAnsi="Arial"/>
                <w:sz w:val="18"/>
                <w:szCs w:val="18"/>
                <w:color w:val="auto"/>
              </w:rPr>
              <w:t>56</w:t>
            </w:r>
          </w:p>
        </w:tc>
      </w:tr>
      <w:tr>
        <w:trPr>
          <w:trHeight w:val="182"/>
        </w:trPr>
        <w:tc>
          <w:tcPr>
            <w:tcW w:w="70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r>
    </w:tbl>
    <w:p>
      <w:pPr>
        <w:jc w:val="both"/>
        <w:ind w:left="340" w:hanging="332"/>
        <w:spacing w:after="0" w:line="248" w:lineRule="auto"/>
        <w:tabs>
          <w:tab w:leader="none" w:pos="332" w:val="left"/>
        </w:tabs>
        <w:numPr>
          <w:ilvl w:val="0"/>
          <w:numId w:val="21"/>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2020 these amounts are presented gross in Tenant reimbursements and other income with an offsetting amount in Tenant reimbursement and other expenses within the Statement of Operations. For the three months ended March 31, 2019, we recorded such amounts as a component of General and administrative expenses on a net basis as these charges were not material to the Statement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leases at March 31, 2020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7"/>
                <w:szCs w:val="17"/>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462</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616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616</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616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616</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616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18,653</w:t>
            </w:r>
          </w:p>
        </w:tc>
      </w:tr>
      <w:tr>
        <w:trPr>
          <w:trHeight w:val="237"/>
        </w:trPr>
        <w:tc>
          <w:tcPr>
            <w:tcW w:w="20" w:type="dxa"/>
            <w:vAlign w:val="bottom"/>
          </w:tcPr>
          <w:p>
            <w:pPr>
              <w:spacing w:after="0"/>
              <w:rPr>
                <w:sz w:val="20"/>
                <w:szCs w:val="20"/>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22,195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13,537</w:t>
            </w: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Lease liability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71"/>
              <w:spacing w:after="0"/>
              <w:rPr>
                <w:sz w:val="20"/>
                <w:szCs w:val="20"/>
                <w:color w:val="auto"/>
              </w:rPr>
            </w:pPr>
            <w:r>
              <w:rPr>
                <w:rFonts w:ascii="Arial" w:cs="Arial" w:eastAsia="Arial" w:hAnsi="Arial"/>
                <w:sz w:val="18"/>
                <w:szCs w:val="18"/>
                <w:color w:val="auto"/>
              </w:rPr>
              <w:t>8,658</w:t>
            </w: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7%. The weighted average remaining lease term as of March 31, 2020 under our finance leases was 36.0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28, 2019, we completed a primary follow-on offering of (i) 50,000,000 (including 15,000,000 shares sold pursuant to the exercise in full of the underwriters’ option to purchase additional common stock) shares of common stock at an offering price of $21.50 per share for an aggregate offering value of $1.1 billion, resulting in net proceeds, after the deduction of the underwriting discount and expenses, of $1.0 billion and (ii) 65,000,000 shares of common stock that are subject to forward sale agreements to be settled by September 26, 2020. We did not initially receive any proceeds from the sale of the shares of common stock subject to the forward sale agreements that were sold by the forward purchasers or their respective affiliates (collectively the “Forward Sale Agreements”). We determined that the Forward Sale Agreements meet the criteria for equity classification and are therefore exempt from derivative accounting. We recorded the Forward Sale Agreements at fair value at inception, which we determined to be zero. Subsequent changes to fair value are not required under equity classification.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to settle the Forward Sale Agreements entirely by the physical delivery by us of shares of our common stock in exchange for cash proceeds, although we may elect cash settlement or net share settlement for all or a portion of our obligations under the Forward Sale Agreements. The physical settlement of the Forward Sale Agreements is calculated based on the forward sale price ($21.50) as adjusted for a floating interest rate factor and other fixed amounts based on the passage of time, as specified in the Forward Sale Agreements. As of March 31, 2020, based on these adjustments, the forward share price was $19.67 and would result in us receiving approximately $1.3 billion in cash proceeds if we were to physically settle the Forward Sale Agreements. Alternatively, if we were to net cash settle the Forward Sale Agreements, it would result in a cash inflow of $197.2 million or, if we were to net share settle the Forward Sale Agreements, it would result in us receiving approximately 11.9 million shares. As of March 31, 2020, we have not settled any portion of the Forward Sale Agreements.</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 the shares of common stock issuable upon settlement of the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w:t>
      </w:r>
    </w:p>
    <w:p>
      <w:pPr>
        <w:sectPr>
          <w:pgSz w:w="11900" w:h="16838" w:orient="portrait"/>
          <w:cols w:equalWidth="0" w:num="1">
            <w:col w:w="11240"/>
          </w:cols>
          <w:pgMar w:left="320" w:top="28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If and when we physically settle the Forward Sale Agreements, the delivery of shares of our common stock will result in an increase in the number of shares of common stock outstanding and dilution to our earnings per share. We used a portion of the net proceeds from the offering for the Hard Rock Cincinnati Acquisition and the Century Portfolio Acquisition and intend to use the remaining net proceeds from the offering and the proceeds upon settlement of the Forward Sale Agreements to fund a portion of the purchase price for the Eldorado Transaction and for general corporate purposes, which may include the acquisition and improvement of properties, capital expenditures, working capital and the repayment of indebtedness.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entered into an equity distribution agreement (the “ATM Agreement”), pursuant to which we may sell, from time to time, up to an aggregate sales price of $750.0 million of our common stock (the “ATM Program”). Sales of common stock, if any, made pursuant to the ATM Agreement may be sold in negotiated transactions or transactions that are deemed to be “at the market” offerings, as defined in Rule 415 of the Securities Act. Actual sales under the ATM Program will depend on a variety of factors including market conditions, the trading price of our common stock, our capital needs, and our determination of the appropriate sources of funding to meet such needs. During the three months ended March 31, 2020, we sold a total of 7,500,000 shares under the ATM Program for net proceeds of $200.0 million. During the year ended December 31, 2019, we sold a total of 6,107,633 shares under the ATM Program for net proceeds of $128.3 million. We have no obligation to sell the remaining shares available for sale under the ATM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060" w:type="dxa"/>
            <w:vAlign w:val="bottom"/>
            <w:gridSpan w:val="2"/>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2040" w:type="dxa"/>
            <w:vAlign w:val="bottom"/>
          </w:tcPr>
          <w:p>
            <w:pPr>
              <w:jc w:val="right"/>
              <w:ind w:right="7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40" w:type="dxa"/>
            <w:vAlign w:val="bottom"/>
          </w:tcPr>
          <w:p>
            <w:pPr>
              <w:jc w:val="right"/>
              <w:ind w:right="772"/>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6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Beginning Balance January 1, </w:t>
            </w:r>
            <w:r>
              <w:rPr>
                <w:rFonts w:ascii="Arial" w:cs="Arial" w:eastAsia="Arial" w:hAnsi="Arial"/>
                <w:sz w:val="21"/>
                <w:szCs w:val="21"/>
                <w:b w:val="1"/>
                <w:bCs w:val="1"/>
                <w:i w:val="1"/>
                <w:iCs w:val="1"/>
                <w:color w:val="auto"/>
                <w:vertAlign w:val="superscript"/>
              </w:rPr>
              <w:t>(1)</w:t>
            </w:r>
          </w:p>
        </w:tc>
        <w:tc>
          <w:tcPr>
            <w:tcW w:w="20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461,004,742</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404,729,616</w:t>
            </w:r>
          </w:p>
        </w:tc>
        <w:tc>
          <w:tcPr>
            <w:tcW w:w="0" w:type="dxa"/>
            <w:vAlign w:val="bottom"/>
          </w:tcPr>
          <w:p>
            <w:pPr>
              <w:spacing w:after="0"/>
              <w:rPr>
                <w:sz w:val="1"/>
                <w:szCs w:val="1"/>
                <w:color w:val="auto"/>
              </w:rPr>
            </w:pP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2040" w:type="dxa"/>
            <w:vAlign w:val="bottom"/>
          </w:tcPr>
          <w:p>
            <w:pPr>
              <w:jc w:val="right"/>
              <w:ind w:right="73"/>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21"/>
                <w:szCs w:val="21"/>
                <w:color w:val="auto"/>
              </w:rPr>
            </w:pPr>
          </w:p>
        </w:tc>
        <w:tc>
          <w:tcPr>
            <w:tcW w:w="2040" w:type="dxa"/>
            <w:vAlign w:val="bottom"/>
          </w:tcPr>
          <w:p>
            <w:pPr>
              <w:jc w:val="right"/>
              <w:ind w:right="72"/>
              <w:spacing w:after="0"/>
              <w:rPr>
                <w:sz w:val="20"/>
                <w:szCs w:val="20"/>
                <w:color w:val="auto"/>
              </w:rPr>
            </w:pPr>
            <w:r>
              <w:rPr>
                <w:rFonts w:ascii="Arial" w:cs="Arial" w:eastAsia="Arial" w:hAnsi="Arial"/>
                <w:sz w:val="18"/>
                <w:szCs w:val="18"/>
                <w:color w:val="auto"/>
              </w:rPr>
              <w:t>6,107,633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70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Issuance of restricted and unrestricted common stock under the stock incentive program, net of</w:t>
            </w:r>
          </w:p>
        </w:tc>
        <w:tc>
          <w:tcPr>
            <w:tcW w:w="204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111,798</w:t>
            </w:r>
          </w:p>
        </w:tc>
        <w:tc>
          <w:tcPr>
            <w:tcW w:w="10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133,305</w:t>
            </w:r>
          </w:p>
        </w:tc>
        <w:tc>
          <w:tcPr>
            <w:tcW w:w="0" w:type="dxa"/>
            <w:vAlign w:val="bottom"/>
          </w:tcPr>
          <w:p>
            <w:pPr>
              <w:spacing w:after="0"/>
              <w:rPr>
                <w:sz w:val="1"/>
                <w:szCs w:val="1"/>
                <w:color w:val="auto"/>
              </w:rPr>
            </w:pPr>
          </w:p>
        </w:tc>
      </w:tr>
      <w:tr>
        <w:trPr>
          <w:trHeight w:val="235"/>
        </w:trPr>
        <w:tc>
          <w:tcPr>
            <w:tcW w:w="7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i w:val="1"/>
                <w:iCs w:val="1"/>
                <w:color w:val="auto"/>
                <w:vertAlign w:val="superscript"/>
              </w:rPr>
              <w:t>(2)</w:t>
            </w:r>
          </w:p>
        </w:tc>
        <w:tc>
          <w:tcPr>
            <w:tcW w:w="2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60" w:type="dxa"/>
            <w:vAlign w:val="bottom"/>
            <w:gridSpan w:val="2"/>
          </w:tcPr>
          <w:p>
            <w:pPr>
              <w:ind w:left="20"/>
              <w:spacing w:after="0"/>
              <w:rPr>
                <w:sz w:val="20"/>
                <w:szCs w:val="20"/>
                <w:color w:val="auto"/>
              </w:rPr>
            </w:pPr>
            <w:r>
              <w:rPr>
                <w:rFonts w:ascii="Arial" w:cs="Arial" w:eastAsia="Arial" w:hAnsi="Arial"/>
                <w:sz w:val="16"/>
                <w:szCs w:val="16"/>
                <w:b w:val="1"/>
                <w:bCs w:val="1"/>
                <w:color w:val="auto"/>
              </w:rPr>
              <w:t>Ending Balance March 31,</w:t>
            </w:r>
          </w:p>
        </w:tc>
        <w:tc>
          <w:tcPr>
            <w:tcW w:w="20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468,616,540</w:t>
            </w:r>
          </w:p>
        </w:tc>
        <w:tc>
          <w:tcPr>
            <w:tcW w:w="100" w:type="dxa"/>
            <w:vAlign w:val="bottom"/>
          </w:tcPr>
          <w:p>
            <w:pPr>
              <w:spacing w:after="0"/>
              <w:rPr>
                <w:sz w:val="22"/>
                <w:szCs w:val="22"/>
                <w:color w:val="auto"/>
              </w:rPr>
            </w:pPr>
          </w:p>
        </w:tc>
        <w:tc>
          <w:tcPr>
            <w:tcW w:w="2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410,970,554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32"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The beginning balance as of December 31, 2019 includes 50,000,000 shares issued in our June 2019 primary follow-on offering and excludes the 65,000,000 shares subject to Forward Sale Agreements to be settled by September 26, 2020.</w:t>
      </w:r>
    </w:p>
    <w:p>
      <w:pPr>
        <w:ind w:left="320" w:hanging="312"/>
        <w:spacing w:after="0"/>
        <w:tabs>
          <w:tab w:leader="none" w:pos="320" w:val="left"/>
        </w:tabs>
        <w:numPr>
          <w:ilvl w:val="0"/>
          <w:numId w:val="22"/>
        </w:numPr>
        <w:rPr>
          <w:rFonts w:ascii="Arial" w:cs="Arial" w:eastAsia="Arial" w:hAnsi="Arial"/>
          <w:sz w:val="13"/>
          <w:szCs w:val="13"/>
          <w:i w:val="1"/>
          <w:iCs w:val="1"/>
          <w:color w:val="auto"/>
        </w:rPr>
      </w:pPr>
      <w:r>
        <w:rPr>
          <w:rFonts w:ascii="Arial" w:cs="Arial" w:eastAsia="Arial" w:hAnsi="Arial"/>
          <w:sz w:val="13"/>
          <w:szCs w:val="13"/>
          <w:i w:val="1"/>
          <w:iCs w:val="1"/>
          <w:color w:val="auto"/>
        </w:rPr>
        <w:t>The three months ended March 31, 2020 and 2019 excludes 239,437 share units and 157,512 share units, respectively, issued under the performance-based stock incentive program.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three months ended March 31, 2020 and 2019 were as follows: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495"/>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2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March 12, 2020</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31, 2020</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April 9, 2020</w:t>
            </w:r>
          </w:p>
        </w:tc>
        <w:tc>
          <w:tcPr>
            <w:tcW w:w="3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January 1, 2020 - March 31, 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0.2975</w:t>
            </w:r>
          </w:p>
        </w:tc>
      </w:tr>
      <w:tr>
        <w:trPr>
          <w:trHeight w:val="493"/>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 March 31, 2019</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0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495"/>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March 14, 2019</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29, 2019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11, 2019</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January 1, 2019 - March 31,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0.2875</w:t>
            </w:r>
          </w:p>
        </w:tc>
      </w:tr>
      <w:tr>
        <w:trPr>
          <w:trHeight w:val="27"/>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Basic earnings per share is computed by dividing net (loss) income attributable to common stockholders by the weighted-average number of shares of common stock outstanding during the period, excluding net (loss)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the Forward Sale Agreements. The shares issuable upon settlement of the Forward Sale Agreements, as described in </w:t>
      </w:r>
      <w:hyperlink w:anchor="page41">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shares of common stock would result in an increase in the number of shares outstanding and dilution to earnings per share.</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71"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37465</wp:posOffset>
            </wp:positionV>
            <wp:extent cx="26574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(In thousands)</w:t>
            </w:r>
          </w:p>
        </w:tc>
        <w:tc>
          <w:tcPr>
            <w:tcW w:w="8200" w:type="dxa"/>
            <w:vAlign w:val="bottom"/>
            <w:gridSpan w:val="2"/>
          </w:tcPr>
          <w:p>
            <w:pPr>
              <w:jc w:val="right"/>
              <w:ind w:right="86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040" w:type="dxa"/>
            <w:vAlign w:val="bottom"/>
          </w:tcPr>
          <w:p>
            <w:pPr>
              <w:jc w:val="right"/>
              <w:ind w:right="779"/>
              <w:spacing w:after="0"/>
              <w:rPr>
                <w:sz w:val="20"/>
                <w:szCs w:val="20"/>
                <w:color w:val="auto"/>
              </w:rPr>
            </w:pPr>
            <w:r>
              <w:rPr>
                <w:rFonts w:ascii="Arial" w:cs="Arial" w:eastAsia="Arial" w:hAnsi="Arial"/>
                <w:sz w:val="16"/>
                <w:szCs w:val="16"/>
                <w:b w:val="1"/>
                <w:bCs w:val="1"/>
                <w:color w:val="auto"/>
              </w:rPr>
              <w:t>2019</w:t>
            </w:r>
          </w:p>
        </w:tc>
      </w:tr>
      <w:tr>
        <w:trPr>
          <w:trHeight w:val="21"/>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Determination of shares: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Weighted-average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Assumed conversion of restricted stock </w:t>
      </w:r>
      <w:r>
        <w:rPr>
          <w:rFonts w:ascii="Arial" w:cs="Arial" w:eastAsia="Arial" w:hAnsi="Arial"/>
          <w:sz w:val="23"/>
          <w:szCs w:val="23"/>
          <w:i w:val="1"/>
          <w:iCs w:val="1"/>
          <w:color w:val="auto"/>
          <w:vertAlign w:val="superscript"/>
        </w:rPr>
        <w:t>(1)</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Assumed settlement of Forward Sale Agreements </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6"/>
          <w:szCs w:val="16"/>
          <w:color w:val="auto"/>
        </w:rPr>
        <w:t>Diluted weighted-average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left="460"/>
        <w:spacing w:after="0"/>
        <w:tabs>
          <w:tab w:leader="none" w:pos="2580" w:val="left"/>
        </w:tabs>
        <w:rPr>
          <w:sz w:val="20"/>
          <w:szCs w:val="20"/>
          <w:color w:val="auto"/>
        </w:rPr>
      </w:pPr>
      <w:r>
        <w:rPr>
          <w:rFonts w:ascii="Arial" w:cs="Arial" w:eastAsia="Arial" w:hAnsi="Arial"/>
          <w:sz w:val="18"/>
          <w:szCs w:val="18"/>
          <w:color w:val="auto"/>
        </w:rPr>
        <w:t>465,177</w:t>
      </w:r>
      <w:r>
        <w:rPr>
          <w:sz w:val="20"/>
          <w:szCs w:val="20"/>
          <w:color w:val="auto"/>
        </w:rPr>
        <w:tab/>
      </w:r>
      <w:r>
        <w:rPr>
          <w:rFonts w:ascii="Arial" w:cs="Arial" w:eastAsia="Arial" w:hAnsi="Arial"/>
          <w:sz w:val="18"/>
          <w:szCs w:val="18"/>
          <w:color w:val="auto"/>
        </w:rPr>
        <w:t>405,734</w:t>
      </w:r>
    </w:p>
    <w:p>
      <w:pPr>
        <w:spacing w:after="0" w:line="63" w:lineRule="exact"/>
        <w:rPr>
          <w:sz w:val="20"/>
          <w:szCs w:val="20"/>
          <w:color w:val="auto"/>
        </w:rPr>
      </w:pPr>
    </w:p>
    <w:p>
      <w:pPr>
        <w:jc w:val="both"/>
        <w:ind w:left="860"/>
        <w:spacing w:after="0"/>
        <w:tabs>
          <w:tab w:leader="none" w:pos="2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301</w:t>
      </w:r>
    </w:p>
    <w:p>
      <w:pPr>
        <w:spacing w:after="0" w:line="63" w:lineRule="exact"/>
        <w:rPr>
          <w:sz w:val="20"/>
          <w:szCs w:val="20"/>
          <w:color w:val="auto"/>
        </w:rPr>
      </w:pPr>
    </w:p>
    <w:p>
      <w:pPr>
        <w:ind w:left="860"/>
        <w:spacing w:after="0"/>
        <w:tabs>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both"/>
        <w:ind w:left="460"/>
        <w:spacing w:after="0"/>
        <w:tabs>
          <w:tab w:leader="none" w:pos="2580" w:val="left"/>
        </w:tabs>
        <w:rPr>
          <w:sz w:val="20"/>
          <w:szCs w:val="20"/>
          <w:color w:val="auto"/>
        </w:rPr>
      </w:pPr>
      <w:r>
        <w:rPr>
          <w:rFonts w:ascii="Arial" w:cs="Arial" w:eastAsia="Arial" w:hAnsi="Arial"/>
          <w:sz w:val="18"/>
          <w:szCs w:val="18"/>
          <w:color w:val="auto"/>
        </w:rPr>
        <w:t>465,177</w:t>
      </w:r>
      <w:r>
        <w:rPr>
          <w:sz w:val="20"/>
          <w:szCs w:val="20"/>
          <w:color w:val="auto"/>
        </w:rPr>
        <w:tab/>
      </w:r>
      <w:r>
        <w:rPr>
          <w:rFonts w:ascii="Arial" w:cs="Arial" w:eastAsia="Arial" w:hAnsi="Arial"/>
          <w:sz w:val="18"/>
          <w:szCs w:val="18"/>
          <w:color w:val="auto"/>
        </w:rPr>
        <w:t>406,035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wp:posOffset>
            </wp:positionH>
            <wp:positionV relativeFrom="paragraph">
              <wp:posOffset>57785</wp:posOffset>
            </wp:positionV>
            <wp:extent cx="2657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37465</wp:posOffset>
            </wp:positionV>
            <wp:extent cx="2665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66" w:lineRule="exact"/>
        <w:rPr>
          <w:sz w:val="20"/>
          <w:szCs w:val="20"/>
          <w:color w:val="auto"/>
        </w:rPr>
      </w:pPr>
    </w:p>
    <w:p>
      <w:pPr>
        <w:spacing w:after="0"/>
        <w:tabs>
          <w:tab w:leader="none" w:pos="214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68" w:lineRule="exact"/>
        <w:rPr>
          <w:sz w:val="20"/>
          <w:szCs w:val="20"/>
          <w:color w:val="auto"/>
        </w:rPr>
      </w:pPr>
    </w:p>
    <w:p>
      <w:pPr>
        <w:sectPr>
          <w:pgSz w:w="11900" w:h="16838" w:orient="portrait"/>
          <w:cols w:equalWidth="0" w:num="2">
            <w:col w:w="7180" w:space="720"/>
            <w:col w:w="334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Basic:</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ind w:left="220"/>
              <w:spacing w:after="0"/>
              <w:rPr>
                <w:sz w:val="20"/>
                <w:szCs w:val="20"/>
                <w:color w:val="auto"/>
              </w:rPr>
            </w:pPr>
            <w:r>
              <w:rPr>
                <w:rFonts w:ascii="Arial" w:cs="Arial" w:eastAsia="Arial" w:hAnsi="Arial"/>
                <w:sz w:val="18"/>
                <w:szCs w:val="18"/>
                <w:color w:val="auto"/>
              </w:rPr>
              <w:t>Net (loss) income attributable to common stockholders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(24,012)</w:t>
            </w:r>
          </w:p>
        </w:tc>
        <w:tc>
          <w:tcPr>
            <w:tcW w:w="80" w:type="dxa"/>
            <w:vAlign w:val="bottom"/>
          </w:tcPr>
          <w:p>
            <w:pPr>
              <w:spacing w:after="0"/>
              <w:rPr>
                <w:sz w:val="20"/>
                <w:szCs w:val="20"/>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150,849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Weighted-average shares of common stock outstanding</w:t>
            </w: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465,177</w:t>
            </w: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405,734</w:t>
            </w:r>
          </w:p>
        </w:tc>
        <w:tc>
          <w:tcPr>
            <w:tcW w:w="0" w:type="dxa"/>
            <w:vAlign w:val="bottom"/>
          </w:tcPr>
          <w:p>
            <w:pPr>
              <w:spacing w:after="0"/>
              <w:rPr>
                <w:sz w:val="1"/>
                <w:szCs w:val="1"/>
                <w:color w:val="auto"/>
              </w:rPr>
            </w:pPr>
          </w:p>
        </w:tc>
      </w:tr>
      <w:tr>
        <w:trPr>
          <w:trHeight w:val="264"/>
        </w:trPr>
        <w:tc>
          <w:tcPr>
            <w:tcW w:w="7040" w:type="dxa"/>
            <w:vAlign w:val="bottom"/>
          </w:tcPr>
          <w:p>
            <w:pPr>
              <w:ind w:left="220"/>
              <w:spacing w:after="0"/>
              <w:rPr>
                <w:sz w:val="20"/>
                <w:szCs w:val="20"/>
                <w:color w:val="auto"/>
              </w:rPr>
            </w:pPr>
            <w:r>
              <w:rPr>
                <w:rFonts w:ascii="Arial" w:cs="Arial" w:eastAsia="Arial" w:hAnsi="Arial"/>
                <w:sz w:val="18"/>
                <w:szCs w:val="18"/>
                <w:color w:val="auto"/>
              </w:rPr>
              <w:t>Basic EPS</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 income attributable to common stockholders</w:t>
            </w: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(24,012)</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150,849</w:t>
            </w:r>
          </w:p>
        </w:tc>
        <w:tc>
          <w:tcPr>
            <w:tcW w:w="0" w:type="dxa"/>
            <w:vAlign w:val="bottom"/>
          </w:tcPr>
          <w:p>
            <w:pPr>
              <w:spacing w:after="0"/>
              <w:rPr>
                <w:sz w:val="1"/>
                <w:szCs w:val="1"/>
                <w:color w:val="auto"/>
              </w:rPr>
            </w:pPr>
          </w:p>
        </w:tc>
      </w:tr>
      <w:tr>
        <w:trPr>
          <w:trHeight w:val="243"/>
        </w:trPr>
        <w:tc>
          <w:tcPr>
            <w:tcW w:w="7040" w:type="dxa"/>
            <w:vAlign w:val="bottom"/>
          </w:tcPr>
          <w:p>
            <w:pPr>
              <w:ind w:left="220"/>
              <w:spacing w:after="0"/>
              <w:rPr>
                <w:sz w:val="20"/>
                <w:szCs w:val="20"/>
                <w:color w:val="auto"/>
              </w:rPr>
            </w:pPr>
            <w:r>
              <w:rPr>
                <w:rFonts w:ascii="Arial" w:cs="Arial" w:eastAsia="Arial" w:hAnsi="Arial"/>
                <w:sz w:val="18"/>
                <w:szCs w:val="18"/>
                <w:color w:val="auto"/>
              </w:rPr>
              <w:t>Diluted weighted-average shares of common stock outstanding</w:t>
            </w:r>
          </w:p>
        </w:tc>
        <w:tc>
          <w:tcPr>
            <w:tcW w:w="7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465,177</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406,035</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 EPS</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0" w:hanging="332"/>
        <w:spacing w:after="0" w:line="248" w:lineRule="auto"/>
        <w:tabs>
          <w:tab w:leader="none" w:pos="332" w:val="left"/>
        </w:tabs>
        <w:numPr>
          <w:ilvl w:val="0"/>
          <w:numId w:val="23"/>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2020 any such amounts have been excluded from the diluted weighted average number of shares of common stock as we were in a net loss position and the effect of inclusion would have been anti-dilutive. Assuming we had net income, using the treasury stock method, the assumed conversion of our restricted stock would have been in the amount of 83,367 shares and the assumed settlement of our Forward Sale Agreements would have been in the amount of 10,291,832 shares.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2020, 11,529,661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237"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37465</wp:posOffset>
            </wp:positionV>
            <wp:extent cx="2674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775"/>
              <w:spacing w:after="0"/>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40" w:type="dxa"/>
            <w:vAlign w:val="bottom"/>
            <w:shd w:val="clear" w:color="auto" w:fill="CCEEFF"/>
          </w:tcPr>
          <w:p>
            <w:pPr>
              <w:jc w:val="right"/>
              <w:ind w:right="113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1,051</w:t>
            </w:r>
          </w:p>
        </w:tc>
      </w:tr>
      <w:tr>
        <w:trPr>
          <w:trHeight w:val="27"/>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 March 31, 2020</w:t>
            </w:r>
          </w:p>
        </w:tc>
        <w:tc>
          <w:tcPr>
            <w:tcW w:w="3880" w:type="dxa"/>
            <w:vAlign w:val="bottom"/>
            <w:gridSpan w:val="4"/>
          </w:tcPr>
          <w:p>
            <w:pPr>
              <w:ind w:left="640"/>
              <w:spacing w:after="0"/>
              <w:rPr>
                <w:sz w:val="20"/>
                <w:szCs w:val="20"/>
                <w:color w:val="auto"/>
              </w:rPr>
            </w:pPr>
            <w:r>
              <w:rPr>
                <w:rFonts w:ascii="Arial" w:cs="Arial" w:eastAsia="Arial" w:hAnsi="Arial"/>
                <w:sz w:val="16"/>
                <w:szCs w:val="16"/>
                <w:b w:val="1"/>
                <w:bCs w:val="1"/>
                <w:color w:val="auto"/>
              </w:rPr>
              <w:t>Three Months Ended March 31, 2019</w:t>
            </w:r>
          </w:p>
        </w:tc>
      </w:tr>
      <w:tr>
        <w:trPr>
          <w:trHeight w:val="33"/>
        </w:trPr>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Weighted Average Grant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ind w:right="72"/>
              <w:spacing w:after="0"/>
              <w:rPr>
                <w:sz w:val="20"/>
                <w:szCs w:val="20"/>
                <w:color w:val="auto"/>
              </w:rPr>
            </w:pPr>
            <w:r>
              <w:rPr>
                <w:rFonts w:ascii="Arial" w:cs="Arial" w:eastAsia="Arial" w:hAnsi="Arial"/>
                <w:sz w:val="16"/>
                <w:szCs w:val="16"/>
                <w:b w:val="1"/>
                <w:bCs w:val="1"/>
                <w:color w:val="auto"/>
                <w:w w:val="92"/>
              </w:rPr>
              <w:t>Weighted Average Grant</w:t>
            </w:r>
          </w:p>
        </w:tc>
      </w:tr>
      <w:tr>
        <w:trPr>
          <w:trHeight w:val="203"/>
        </w:trPr>
        <w:tc>
          <w:tcPr>
            <w:tcW w:w="6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40" w:type="dxa"/>
            <w:vAlign w:val="bottom"/>
            <w:gridSpan w:val="2"/>
          </w:tcPr>
          <w:p>
            <w:pPr>
              <w:ind w:left="6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Date Fair Value</w:t>
            </w:r>
          </w:p>
        </w:tc>
        <w:tc>
          <w:tcPr>
            <w:tcW w:w="1840" w:type="dxa"/>
            <w:vAlign w:val="bottom"/>
            <w:gridSpan w:val="2"/>
          </w:tcPr>
          <w:p>
            <w:pPr>
              <w:ind w:left="64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900" w:type="dxa"/>
            <w:vAlign w:val="bottom"/>
          </w:tcPr>
          <w:p>
            <w:pPr>
              <w:jc w:val="right"/>
              <w:ind w:right="392"/>
              <w:spacing w:after="0"/>
              <w:rPr>
                <w:sz w:val="20"/>
                <w:szCs w:val="20"/>
                <w:color w:val="auto"/>
              </w:rPr>
            </w:pPr>
            <w:r>
              <w:rPr>
                <w:rFonts w:ascii="Arial" w:cs="Arial" w:eastAsia="Arial" w:hAnsi="Arial"/>
                <w:sz w:val="16"/>
                <w:szCs w:val="16"/>
                <w:b w:val="1"/>
                <w:bCs w:val="1"/>
                <w:color w:val="auto"/>
              </w:rPr>
              <w:t>Date Fair Value</w:t>
            </w:r>
          </w:p>
        </w:tc>
      </w:tr>
      <w:tr>
        <w:trPr>
          <w:trHeight w:val="21"/>
        </w:trPr>
        <w:tc>
          <w:tcPr>
            <w:tcW w:w="6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43"/>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19.60</w:t>
            </w:r>
          </w:p>
        </w:tc>
      </w:tr>
      <w:tr>
        <w:trPr>
          <w:trHeight w:val="24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22.21</w:t>
            </w:r>
          </w:p>
        </w:tc>
        <w:tc>
          <w:tcPr>
            <w:tcW w:w="120" w:type="dxa"/>
            <w:vAlign w:val="bottom"/>
          </w:tcPr>
          <w:p>
            <w:pPr>
              <w:spacing w:after="0"/>
              <w:rPr>
                <w:sz w:val="21"/>
                <w:szCs w:val="21"/>
                <w:color w:val="auto"/>
              </w:rPr>
            </w:pPr>
          </w:p>
        </w:tc>
        <w:tc>
          <w:tcPr>
            <w:tcW w:w="1740" w:type="dxa"/>
            <w:vAlign w:val="bottom"/>
          </w:tcPr>
          <w:p>
            <w:pPr>
              <w:jc w:val="right"/>
              <w:ind w:right="72"/>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22.00</w:t>
            </w:r>
          </w:p>
        </w:tc>
      </w:tr>
      <w:tr>
        <w:trPr>
          <w:trHeight w:val="27"/>
        </w:trPr>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19.50</w:t>
            </w:r>
          </w:p>
        </w:tc>
      </w:tr>
      <w:tr>
        <w:trPr>
          <w:trHeight w:val="243"/>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52"/>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Pr>
          <w:p>
            <w:pPr>
              <w:jc w:val="right"/>
              <w:ind w:right="72"/>
              <w:spacing w:after="0"/>
              <w:rPr>
                <w:sz w:val="20"/>
                <w:szCs w:val="20"/>
                <w:color w:val="auto"/>
              </w:rPr>
            </w:pPr>
            <w:r>
              <w:rPr>
                <w:rFonts w:ascii="Arial" w:cs="Arial" w:eastAsia="Arial" w:hAnsi="Arial"/>
                <w:sz w:val="18"/>
                <w:szCs w:val="18"/>
                <w:color w:val="auto"/>
              </w:rPr>
              <w:t>20.47</w:t>
            </w:r>
          </w:p>
        </w:tc>
      </w:tr>
      <w:tr>
        <w:trPr>
          <w:trHeight w:val="27"/>
        </w:trPr>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37"/>
        </w:trPr>
        <w:tc>
          <w:tcPr>
            <w:tcW w:w="3360" w:type="dxa"/>
            <w:vAlign w:val="bottom"/>
            <w:gridSpan w:val="3"/>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21.64</w:t>
            </w: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20.78</w:t>
            </w:r>
          </w:p>
        </w:tc>
      </w:tr>
      <w:tr>
        <w:trPr>
          <w:trHeight w:val="27"/>
        </w:trPr>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2020, there was $14.6 million of unrecognized compensation cost related to non-vested stock-based compensation arrangements under the Plan. This cost is expected to be recognized over a weighted average period of 2.26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with respect to our segments: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93"/>
              </w:rPr>
              <w:t>Three Months Ended March 31, 2020</w:t>
            </w:r>
          </w:p>
        </w:tc>
        <w:tc>
          <w:tcPr>
            <w:tcW w:w="140" w:type="dxa"/>
            <w:vAlign w:val="bottom"/>
          </w:tcPr>
          <w:p>
            <w:pPr>
              <w:spacing w:after="0"/>
              <w:rPr>
                <w:sz w:val="18"/>
                <w:szCs w:val="18"/>
                <w:color w:val="auto"/>
              </w:rPr>
            </w:pPr>
          </w:p>
        </w:tc>
        <w:tc>
          <w:tcPr>
            <w:tcW w:w="4180" w:type="dxa"/>
            <w:vAlign w:val="bottom"/>
            <w:gridSpan w:val="7"/>
          </w:tcPr>
          <w:p>
            <w:pPr>
              <w:jc w:val="center"/>
              <w:ind w:right="70"/>
              <w:spacing w:after="0"/>
              <w:rPr>
                <w:sz w:val="20"/>
                <w:szCs w:val="20"/>
                <w:color w:val="auto"/>
              </w:rPr>
            </w:pPr>
            <w:r>
              <w:rPr>
                <w:rFonts w:ascii="Arial" w:cs="Arial" w:eastAsia="Arial" w:hAnsi="Arial"/>
                <w:sz w:val="16"/>
                <w:szCs w:val="16"/>
                <w:b w:val="1"/>
                <w:bCs w:val="1"/>
                <w:color w:val="auto"/>
                <w:w w:val="93"/>
              </w:rPr>
              <w:t>Three Months Ended March 31, 2019</w:t>
            </w:r>
          </w:p>
        </w:tc>
      </w:tr>
      <w:tr>
        <w:trPr>
          <w:trHeight w:val="33"/>
        </w:trPr>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Golf Course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Real Property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Golf Course</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VICI Consolidated</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Business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6"/>
              </w:rPr>
              <w:t>VICI Consolidated</w:t>
            </w: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206,663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214,002</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86,934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88,021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199,546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201,866</w:t>
            </w:r>
          </w:p>
        </w:tc>
      </w:tr>
      <w:tr>
        <w:trPr>
          <w:trHeight w:val="27"/>
        </w:trPr>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(53,586)</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w w:val="97"/>
              </w:rPr>
              <w:t>Loss on extinguishment of debt</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(39,059)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151,091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153,447</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152,926</w:t>
            </w:r>
          </w:p>
        </w:tc>
      </w:tr>
      <w:tr>
        <w:trPr>
          <w:trHeight w:val="256"/>
        </w:trPr>
        <w:tc>
          <w:tcPr>
            <w:tcW w:w="8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930</w:t>
            </w:r>
          </w:p>
        </w:tc>
      </w:tr>
      <w:tr>
        <w:trPr>
          <w:trHeight w:val="216"/>
        </w:trPr>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2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14,818,556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88,657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14,907,213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11,350,664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11,448,671</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7,166,984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16,198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7,183,182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4,385,592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17,191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4,402,783</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46"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have evaluated subsequent events and, except for the payment of dividends on April 9, 2020 (as described in </w:t>
      </w:r>
      <w:hyperlink w:anchor="page41">
        <w:r>
          <w:rPr>
            <w:rFonts w:ascii="Arial" w:cs="Arial" w:eastAsia="Arial" w:hAnsi="Arial"/>
            <w:sz w:val="18"/>
            <w:szCs w:val="18"/>
            <w:u w:val="single" w:color="auto"/>
            <w:color w:val="0000FF"/>
          </w:rPr>
          <w:t>Note 12 - Stockholders' Equity</w:t>
        </w:r>
      </w:hyperlink>
      <w:r>
        <w:rPr>
          <w:rFonts w:ascii="Arial" w:cs="Arial" w:eastAsia="Arial" w:hAnsi="Arial"/>
          <w:sz w:val="18"/>
          <w:szCs w:val="18"/>
          <w:color w:val="auto"/>
        </w:rPr>
        <w:t xml:space="preserve">) and the sale of Bally’s Atlantic City on April 24, 2020 (As described in </w:t>
      </w:r>
      <w:hyperlink w:anchor="page15">
        <w:r>
          <w:rPr>
            <w:rFonts w:ascii="Arial" w:cs="Arial" w:eastAsia="Arial" w:hAnsi="Arial"/>
            <w:sz w:val="18"/>
            <w:szCs w:val="18"/>
            <w:u w:val="single" w:color="auto"/>
            <w:color w:val="0000FF"/>
          </w:rPr>
          <w:t>Note 4 - Property Transactions</w:t>
        </w:r>
      </w:hyperlink>
      <w:r>
        <w:rPr>
          <w:rFonts w:ascii="Arial" w:cs="Arial" w:eastAsia="Arial" w:hAnsi="Arial"/>
          <w:sz w:val="18"/>
          <w:szCs w:val="18"/>
          <w:color w:val="auto"/>
        </w:rPr>
        <w:t>) there were no other events relative to the Financial Statements that require additional disclosure.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5" w:lineRule="exact"/>
        <w:rPr>
          <w:sz w:val="20"/>
          <w:szCs w:val="20"/>
          <w:color w:val="auto"/>
        </w:rPr>
      </w:pPr>
    </w:p>
    <w:p>
      <w:pPr>
        <w:jc w:val="both"/>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of the financial position and operating results of VICI Properties Inc. for the three months ended March 31, 2020 should be read in conjunction with the Consolidated Financial Statements and related notes thereto and other financial information contained elsewhere in this Quarterly Report on Form 10-Q and the audited consolidated financial statements and related notes for the year ended December 31, 2019, which were included in our </w:t>
      </w:r>
      <w:hyperlink r:id="rId18">
        <w:r>
          <w:rPr>
            <w:rFonts w:ascii="Arial" w:cs="Arial" w:eastAsia="Arial" w:hAnsi="Arial"/>
            <w:sz w:val="17"/>
            <w:szCs w:val="17"/>
            <w:i w:val="1"/>
            <w:iCs w:val="1"/>
            <w:u w:val="single" w:color="auto"/>
            <w:color w:val="0000FF"/>
          </w:rPr>
          <w:t>Annual Report on Form 10-K for the year ended December 31, 2019</w:t>
        </w:r>
      </w:hyperlink>
      <w:r>
        <w:rPr>
          <w:rFonts w:ascii="Arial" w:cs="Arial" w:eastAsia="Arial" w:hAnsi="Arial"/>
          <w:sz w:val="17"/>
          <w:szCs w:val="17"/>
          <w:i w:val="1"/>
          <w:iCs w:val="1"/>
          <w:color w:val="auto"/>
        </w:rPr>
        <w:t xml:space="preserve">. All defined terms included herein have the same meaning as those set forth in the </w:t>
      </w:r>
      <w:hyperlink w:anchor="page8">
        <w:r>
          <w:rPr>
            <w:rFonts w:ascii="Arial" w:cs="Arial" w:eastAsia="Arial" w:hAnsi="Arial"/>
            <w:sz w:val="17"/>
            <w:szCs w:val="17"/>
            <w:i w:val="1"/>
            <w:iCs w:val="1"/>
            <w:u w:val="single" w:color="auto"/>
            <w:color w:val="0000FF"/>
          </w:rPr>
          <w:t>Notes to the Consolidated Financial Statements</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contained within this Quarterly Report on Form 10-Q.</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sz w:val="20"/>
          <w:szCs w:val="20"/>
          <w:color w:val="auto"/>
        </w:rPr>
      </w:pPr>
    </w:p>
    <w:p>
      <w:pPr>
        <w:jc w:val="both"/>
        <w:spacing w:after="0" w:line="286" w:lineRule="auto"/>
        <w:rPr>
          <w:rFonts w:ascii="Arial" w:cs="Arial" w:eastAsia="Arial" w:hAnsi="Arial"/>
          <w:sz w:val="16"/>
          <w:szCs w:val="16"/>
          <w:color w:val="0000FF"/>
        </w:rPr>
      </w:pPr>
      <w:r>
        <w:rPr>
          <w:rFonts w:ascii="Arial" w:cs="Arial" w:eastAsia="Arial" w:hAnsi="Arial"/>
          <w:sz w:val="16"/>
          <w:szCs w:val="16"/>
          <w:color w:val="auto"/>
        </w:rPr>
        <w:t xml:space="preserve">Currently, one of the most significant factors that could cause actual outcomes to differ materially from our forward-looking statements is the impact of the COVID-19 pandemic on the financial condition, results of operations, cash flows and performance of the Company and its tenants. The extent to which the COVID-19 pandemic impacts the Company, its tenants and its pending transactions, will largely depend on future developments that are highly uncertain and cannot be predicted with confidence, including the impact of the actions taken to contain the pandemic or mitigate its impact, and the direct and indirect economic effects of the pandemic and containment measures on our tenants, including various state governments and/or regulatory authorities issuing directives, mandates, orders or similar actions restricting freedom of movement and business operations, such as travel restrictions, border closures, business closures, limitations on public gatherings, quarantines and “shelter-at-home” orders resulting in the closure of our tenants’ operations at our properties. Each of the foregoing could have a material adverse effect on our tenants’ ability to satisfy their obligations under their leases with us, including their continued ability to pay rent in a timely manner, or at all, and/or to fund capital expenditures or make other payments required under their leases. In addition, changes and instability in global, national and regional economic activity and financial markets as a result of the COVID-19 pandemic could negatively impact consumer discretionary spending and travel, which could have a material adverse effect on our tenants’ businesses. Investors are </w:t>
      </w:r>
      <w:hyperlink r:id="rId18">
        <w:r>
          <w:rPr>
            <w:rFonts w:ascii="Arial" w:cs="Arial" w:eastAsia="Arial" w:hAnsi="Arial"/>
            <w:sz w:val="16"/>
            <w:szCs w:val="16"/>
            <w:color w:val="auto"/>
          </w:rPr>
          <w:t xml:space="preserve">cautioned to interpret many of the risks identified under the section entitled “Risk Factors” in our </w:t>
        </w:r>
        <w:r>
          <w:rPr>
            <w:rFonts w:ascii="Arial" w:cs="Arial" w:eastAsia="Arial" w:hAnsi="Arial"/>
            <w:sz w:val="16"/>
            <w:szCs w:val="16"/>
            <w:u w:val="single" w:color="auto"/>
            <w:color w:val="0000FF"/>
          </w:rPr>
          <w:t>Annual Report on Form 10-K for the year ended</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FF"/>
          </w:rPr>
          <w:t>December 31, 2019</w:t>
        </w:r>
        <w:r>
          <w:rPr>
            <w:rFonts w:ascii="Arial" w:cs="Arial" w:eastAsia="Arial" w:hAnsi="Arial"/>
            <w:sz w:val="16"/>
            <w:szCs w:val="16"/>
            <w:color w:val="0000FF"/>
          </w:rPr>
          <w:t xml:space="preserve"> </w:t>
        </w:r>
        <w:r>
          <w:rPr>
            <w:rFonts w:ascii="Arial" w:cs="Arial" w:eastAsia="Arial" w:hAnsi="Arial"/>
            <w:sz w:val="16"/>
            <w:szCs w:val="16"/>
            <w:color w:val="000000"/>
          </w:rPr>
          <w:t>as being heightened as a result of the ongoing and numerous adverse impacts of the COVID-19 pandemic.</w:t>
        </w:r>
      </w:hyperlink>
    </w:p>
    <w:p>
      <w:pPr>
        <w:spacing w:after="0" w:line="12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including low consumer confidence, unemployment levels and depressed real estate prices resulting from the severity and duration of any downturn in the U.S. or global economy (including stemming from the COVID-19 pandemic and changes in economic conditions as a result of the COVID-19 pandemic); our dependence on subsidiaries of Caesars, Penn National, Hard Rock, Century Casinos and JACK Entertainment (and, following the completion of the Eldorado Transaction, subsidiaries of the combined Eldorado/Caesars) as tenants of our properties and Caesars, Penn National, Seminole Hard Rock, Century Casinos and Rock Ohio Ventures LLC or certain of their respective subsidiaries (and, following the completion of the Eldorado Transaction, subsidiaries of the combined Eldorado/Caesars) as guarantors of the lease payments and the negative consequences any material adverse effect on their respective businesses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operation of our properties; the possibility that our tenants may choose not to renew the Lease Agreements following the initial or subsequent terms of the leases; restrictions on our ability to sell our properties subject to the Lease Agreements; Caesars’, Penn National’s, Hard Rock’s, Century Casinos’ and JACK Entertainment’s (and following the completion of the Eldorado Transaction, the combined Eldorado/Caesars) historical results may not be a reliable indicator of their future results; our substantial amount of indebtedness and ability to service, refinance and otherwise fulfill our obligations under such indebtedness; limits on our operational and financial flexibility imposed by our debt agreements; our historical financial information may not be reliable indicators of our future results of operations, financial condition and cash flows; the ability to receive, or delays in obtaining, the governmental and regulatory approvals and consents required to consummate our pending transactions in connection with the Eldorado Transaction, or other delays or impediments to completing these transactions; our ability to obtain or consummate the financing necessary to complete our pending transactions in connection with the Eldorado Transaction on the terms we currently expect or at all; the possibility that our pending transactions in connection with the Eldorado Transaction may not be completed or that completion may be unduly delayed; the possibility that we identify significant environmental, tax, legal or other issues that materially and adversely impact the value of properties acquired (or other benefits we expect to receive) in the Eldorado Transaction or any of our other recently completed acquisitions; the effects of our recently completed acquisitions and the pending transactions on us, including the future impact on our financial condition, financial and operating results, cash flows, strategy and plans; the possibility our separation from CEOC fails to qualify as a tax-free spin-off, which could subject us to significant tax liabilities;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war, political and public health conditions or uncertainty or civil unrest, violence or terrorist activities or threats on our 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maintain our qualification for taxation as a REIT; our reliance on distributions received from the Operating Partnership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acquisition opportunities, including from other REITs, investment companies, gaming companies, private equity and hedge fund investors,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 on Form 10-K, Quarterly Reports on Form 10-Q and Current Reports on Form 8-K.</w:t>
      </w:r>
    </w:p>
    <w:p>
      <w:pPr>
        <w:spacing w:after="0" w:line="3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28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40 million square feet, our well-maintained properties are currently located across urban, destination and drive-to markets in twelve states, contain approximately 15,600 hotel rooms and feature over 180 restaurants, bars and nightclubs.</w:t>
      </w:r>
    </w:p>
    <w:p>
      <w:pPr>
        <w:spacing w:after="0" w:line="21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summarizes our current portfolio of properties, our pending transactions, our properties subject to the call option agreement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Caesars and our properties subject to the right of first refusal agreement and put/call agreement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5863590" cy="43973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lease our properties to subsidiaries of Caesars, Penn National, Hard Rock, Century Casinos and JACK Entertainment. As described below, Eldorado has entered into a definitive agreement to acquire Caesars and, following the closing of the Eldorado/Caesars Merger, Eldorado (which intends to retain the Caesars name subsequent to the Eldorado/Caesars Merger) will be our largest tenant. The Eldorado/Caesars Merger is subject to regulatory approvals and customary closing conditions. Eldorado has publicly disclosed that it expects the Eldorado/Caesars Merger to be completed in the first half of 2020, although we can provide no assurances that the Eldorado/Caesars Merger will close in the anticipated timeframe, on the contemplated terms or at all. We believe we have a mutually beneficial relationship with Caesars, Penn National, Hard Rock, Century Casinos and JACK Entertainment, all of which are leading owners and operators of gaming, entertainment and leisure properties. Our long-term triple-net Lease Agreements with subsidiaries of Caesars, Penn National, Hard Rock, Century Casinos and JACK Entertainment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 term. Given current market conditions and the ongoing impact of the COVID-19 pandemic, we anticipate more limited acquisition activity in the near term as we prioritize managing our existing tenant relationships and assets, as well as maintaining our financial strength and liquidity over the near- to medium-term. However, we will continue to evaluate and may opportunistically pursue accretive acquisitions that may arise as a result of the current turbulence in the market.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 as market conditions allow and with a focus on disciplined capital allocation given the ongoing impact of the COVID-19 pandemic.</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current macroeconomic impact of the COVID-19 pandemic and market conditions more broadly. We conduct our real property business through our Operating Partnership and our golf course business, through a TRS, VICI Golf.</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Quarterly Report on Form 10-Q is our consolidated results (including the real property business and the golf course business) for the three months ended March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11, 2020, the World Health Organization declared COVID-19 a pandemic, and on March 13, 2020, the U.S. federal government declared a national emergency concerning the COVID-19 outbreak. The outbreak of COVID-19 has significantly adversely impacted global, national and regional economic activity and has contributed to significant volatility and negative pressure in financial markets. The global impact of the outbreak has been rapidly evolving and, as COVID-19 continues to spread and cases continue to be identified, many state and local governments and regulatory authorities have instituted quarantines, “shelter-at-home” orders and “social distancing” guidelines, which have also been endorsed by the federal government. In connection with these actions, state governments and/or regulatory authorities have issued various directives, mandates, orders or similar actions resulting in the closure of non-essential businesses, which includes substantially all of our tenants’ operations, including at our properties. Our golf course business has also been impacted, with all four courses ceasing operations in March 2020 as a result of the COVID-19 pandemic.</w:t>
      </w:r>
    </w:p>
    <w:p>
      <w:pPr>
        <w:spacing w:after="0" w:line="1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closure of their operations, our tenants have experienced a substantial number of cancellations and reductions in future events and reservations in connection with the uncertain duration of the COVID-19 pandemic and business closures. Following the reopening of our tenants’ businesses, they may face additional challenges with respect to restoring operations and financial performance, in particular as a result of changes in customer engagement. The COVID-19 pandemic and the actions taken to contain the pandemic or mitigate its impact are generally expected to trigger a period of economic slowdown or a global economic recession, which may continue well beyond the lifting of governmental restrictions related to COVID-19 and the reopening of our tenants’ businesses and change consumer behavior, thereby negatively affecting an economic recovery in the gaming sector. Historically, economic indicators such as GDP growth, consumer confidence and employment are correlated with demand for gaming, entertainment and leisure properties, and economic recessions have led to a decrease in gaming revenue, although the impact of such recessions have generally been less volatile than the impact on retail revenue and S&amp;P 500 sales.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actively engaged in dialogues with our tenants regarding how best to respond to the COVID-19 pandemic and the closure of their businesses, including with respect to its impact on their respective financial and operating situations, liquidity needs and contingency planning. Although all of our tenants fulfilled their rent obligation in full for April 2020, we cannot predict with confidence when our tenants’ operations at our properties will reopen, or if and when they will return to pre-pandemic performance levels, and as the duration of the closures lengthens, our tenants’ liquidity positions may become more stressed and it may cause one or more of our tenants to be unwilling or unable to meet their obligations to us in full, or at all, or to otherwise seek modifications to such obligations. As a triple-net lessor, we believe we are generally in a strong creditor position and structurally insulated from operational and performance impacts of our tenants, both positive and negative. However, given the unprecedented nature of the COVID-19 pandemic, we understand that working with our tenants in the short term to ensure their long-term financial health and performance may become necessary and should provide meaningful benefits to us as well over the long-term.</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do not require any additional financing in order to consummate the pending Eldorado Transaction, given the significant impact on global economic activity to date, including the debt and equity markets, we expect the COVID-19 pandemic may adversely impact our ability to pursue additional material acquisitions for what is currently considered 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indeterminate period of time. More broadly, we expect acquisition and similar transactional activity in the gaming sector overall to be adversely impacted. In addition, the COVID-19 pandemic and related closures may have other adverse effects on the gaming industry or pending transactions, such as delaying regulatory evaluations and approvals as a result of limited operations at the relevant government and regulatory bodies.</w:t>
      </w:r>
    </w:p>
    <w:p>
      <w:pPr>
        <w:spacing w:after="0" w:line="111"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As described herein, the full extent to which the COVID-19 pandemic ultimately impacts us and our tenants will depend on future developments, which are highly uncertain and cannot be predicted with confidence, including the scope, severity and duration of the pandemic, the actions taken to contain the pandemic or mitigate its impact, and the direct and indirect economic effects of the pandemic and containment measures on our tenants, the length of time our tenants’ operations at our properties remain closed and our tenants’ financial performance during the closure and following reopening. These uncertainties make it difficult to predict our operating results for the remainder of 2020. We will continue to closely monitor the impact of COVID-19 on us, our tenants and our pending transactions. For more information, refer to “</w:t>
      </w:r>
      <w:hyperlink w:anchor="page67">
        <w:r>
          <w:rPr>
            <w:rFonts w:ascii="Arial" w:cs="Arial" w:eastAsia="Arial" w:hAnsi="Arial"/>
            <w:sz w:val="18"/>
            <w:szCs w:val="18"/>
            <w:u w:val="single" w:color="auto"/>
            <w:color w:val="0000FF"/>
          </w:rPr>
          <w:t>Part II – Item 1A. Risk Factors</w:t>
        </w:r>
      </w:hyperlink>
      <w:r>
        <w:rPr>
          <w:rFonts w:ascii="Arial" w:cs="Arial" w:eastAsia="Arial" w:hAnsi="Arial"/>
          <w:sz w:val="18"/>
          <w:szCs w:val="18"/>
          <w:color w:val="auto"/>
        </w:rPr>
        <w:t>” included elsewhere in this Quarterly Report on Form 10-Q.</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Bally’s Atlantic City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Subsequent to March 31, 2020, on April 24, 2020, we and Caesars entered into definitive agreements to sell the Bally’s Atlantic City Hotel &amp; Casino for $25.0 million to a subsidiary of Twin River Worldwide Holdings, Inc. We are entitled to receive approximately $19.0 million of the proceeds from the sale and Caesars is entitled to approximately $6.0 million of the proceeds. The annual rent payments under the Non-CPLV Lease Agreement will remain unchanged following completion of the disposition. The Bally’s Atlantic City transaction is subject to regulatory approvals and other closing conditions.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February 2020 Senior Notes Offering and Redemption and Repayment of the Second Lien Notes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2020, the Issuers issued (i) $750.0 million in aggregate principal amount of 2025 Notes, (ii) $750.0 million in aggregate principal amount of 2027 Notes and (iii) $1.0 billion aggregate principal amount of 2030 Notes. We placed $2.0 billion of the net proceeds of the offering into escrow pending the consummation of the Eldorado Transaction. On February 20, 2020 we used the remaining net proceeds from the 2025 Notes, together with cash on hand, to redeem in full the outstanding $498.5 million in aggregate principal amount of the Second Lien Notes plus the Second Lien Notes Applicable Premium, for a total redemption cost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February 2020 Unsecured Notes will be payable semi-annually in cash in arrears on February 15 and August 15 of each year, commencing on August 15,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JACK Cleveland/Thistledown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24, 2020 we completed the previously announced transaction to acquire the casino-entitled land and real estate and related assets of JACK Cleveland, located in Cleveland, Ohio and JACK Thistledown located in North Randall, Ohio (the “JACK Cleveland/Thistledown Acquisition”) from affiliates of JACK Entertainment, for approximately $843.3 million. Simultaneous with the closing of the JACK Cleveland/Thistledown Acquisition, we entered into a master triple-net lease agreement for JACK Cleveland and JACK Thistledown with a subsidiary of JACK Entertainment. The lease has an initial total annual rent of $65.9 million and an initial term of 15 years, with four five-year tenant renewal options. The tenant’s obligations under the lease are guaranteed by Rock Ohio Ventures. Additionally, we made a $50 million loan to affiliates of Rock Ohio Ventures secured by, among other things, certain non-gaming real estate assets owned by such affiliates and guaranteed by Rock Ohio Ventures. The loan bears interest at 9.0% per annum for a period of five years with two one-year extension options. We determined that the land and building components of the JACK Cleveland/Thistledown Acquisition meet the definition of a sales-type lease and further meet the definition of a sale lease-back transaction as defined in ASC 842. Accordingly, we have recorded the corresponding assets, including related transaction and acquisition costs, in Investments in leases - financing receivables on our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Repricing of Term Loan B Facility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PENDING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2019, we and Caesars entered into a definitive agreement to sell the Harrah’s Reno asset for $50.0 million to a third party. We are entitled to receive 75% of the proceeds of the sale and Caesars is entitled to receive 25% of the proceeds. The annual rent payments under the Non-CPLV Lease Agreement will remain unchanged following completion of the disposition, which remains conditioned upon the closing of the Eldorado/Caesars Merger and customary closing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24, 2019, we entered into the Master Transaction Agreement with Eldorado relating to the Eldorado Transaction, as described below, all of which are conditioned upon consummation of the closing of the merger contemplated by the Eldorado/Caesars Merger Agreement, pursuant to which a subsidiary of Eldorado will merge with and into Caesars, with Caesars surviving as a wholly owned subsidiary of Eldorado. Upon closing of the merger, Eldorado will be renamed Caesars. Any references to Eldorado in the subsequent transaction discussion refer to the combined Eldorado/Caesars subsequent to the closing of the Eldorado/Caesars Merger, as applicable.</w:t>
      </w:r>
    </w:p>
    <w:p>
      <w:pPr>
        <w:spacing w:after="0" w:line="134"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The Eldorado Transaction and the Eldorado/Caesars Merger are both subject to regulatory approvals and customary closing conditions. Eldorado has publicly disclosed that it expects the Eldorado/Caesars Merger to be completed in the first half of 2020. However, we can provide no assurances that the Eldorado/Caesars Merger or the Eldorado Transaction described herein will close in the anticipated timeframe, on the contemplated terms or at all. We intend to fund the Eldorado Transaction with a combination of cash on hand, proceeds from the physical settlement of our Forward Sales Agreements, and proceeds held in escrow from our February 2020 Senior Unsecured Notes offering. Settlement of the Forward Sale Agreements is not conditioned on closing of the Eldorado Transaction. We will settle the Forward Sale Agreements by September 26, 2020, and may settle prior to such date, whether or not the Eldorado Transaction has closed. For more information, including information about the calculation of proceeds of the Forward Sale Agreements and alternatives to physical settlement, see </w:t>
      </w:r>
      <w:hyperlink w:anchor="page41">
        <w:r>
          <w:rPr>
            <w:rFonts w:ascii="Arial" w:cs="Arial" w:eastAsia="Arial" w:hAnsi="Arial"/>
            <w:sz w:val="17"/>
            <w:szCs w:val="17"/>
            <w:u w:val="single" w:color="auto"/>
            <w:color w:val="0000FF"/>
          </w:rPr>
          <w:t>Note 12 - Stockholders’ Equity</w:t>
        </w:r>
      </w:hyperlink>
      <w:r>
        <w:rPr>
          <w:rFonts w:ascii="Arial" w:cs="Arial" w:eastAsia="Arial" w:hAnsi="Arial"/>
          <w:sz w:val="17"/>
          <w:szCs w:val="17"/>
          <w:color w:val="0000FF"/>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40" w:hanging="368"/>
        <w:spacing w:after="0" w:line="269" w:lineRule="auto"/>
        <w:tabs>
          <w:tab w:leader="none" w:pos="73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w:t>
      </w:r>
      <w:r>
        <w:rPr>
          <w:rFonts w:ascii="Arial" w:cs="Arial" w:eastAsia="Arial" w:hAnsi="Arial"/>
          <w:sz w:val="17"/>
          <w:szCs w:val="17"/>
          <w:i w:val="1"/>
          <w:iCs w:val="1"/>
          <w:color w:val="auto"/>
        </w:rPr>
        <w:t xml:space="preserve"> </w:t>
      </w:r>
      <w:r>
        <w:rPr>
          <w:rFonts w:ascii="Arial" w:cs="Arial" w:eastAsia="Arial" w:hAnsi="Arial"/>
          <w:sz w:val="17"/>
          <w:szCs w:val="17"/>
          <w:color w:val="auto"/>
        </w:rPr>
        <w:t>Harrah’s Laughlin and Harrah’s Atlantic City (or, if necessary, certain replacement properties designated in the Master Transaction Agreement) (collectively, the “MTA Properties” and each, an “MTA Property”) for an aggregate purchase price of $1,823.5 million (which reflects a purchase price adjustment of $14.0 million related to Harrah’s New Orleans) (the “MTA Properties Acquisitions” and each, an “MTA Property Acquisition”). Simultaneous with the closing of each MTA Property Acquisition the Non-CPLV Lease Agreement will be amended to include such MTA Property, with (i) initial aggregate total annual rent payable to us and attributable to the MTA Properties of $154.0 million, (ii) so long as the MTA Property Acquisitions are consummated concurrent with the closing of the Eldorado/Caesars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31" w:lineRule="exact"/>
        <w:rPr>
          <w:rFonts w:ascii="Arial" w:cs="Arial" w:eastAsia="Arial" w:hAnsi="Arial"/>
          <w:sz w:val="17"/>
          <w:szCs w:val="17"/>
          <w:color w:val="auto"/>
        </w:rPr>
      </w:pPr>
    </w:p>
    <w:p>
      <w:pPr>
        <w:jc w:val="both"/>
        <w:ind w:left="740"/>
        <w:spacing w:after="0" w:line="269" w:lineRule="auto"/>
        <w:rPr>
          <w:rFonts w:ascii="Arial" w:cs="Arial" w:eastAsia="Arial" w:hAnsi="Arial"/>
          <w:sz w:val="17"/>
          <w:szCs w:val="17"/>
          <w:color w:val="auto"/>
        </w:rPr>
      </w:pPr>
      <w:r>
        <w:rPr>
          <w:rFonts w:ascii="Arial" w:cs="Arial" w:eastAsia="Arial" w:hAnsi="Arial"/>
          <w:sz w:val="17"/>
          <w:szCs w:val="17"/>
          <w:color w:val="auto"/>
        </w:rPr>
        <w:t>On September 26, 2019, we entered into the following agreements (each of which were entered into in accordance with the terms of the Master Transaction Agreement): (i) a Purchase and Sale Agreement (the “Harrah’s New Orleans Purchase Agreement”) pursuant to which we agreed to acquire, and Eldorado agreed to cause to be sold, all of the fee and leasehold interests in the land and real property improvements associated with Harrah’s New Orleans in New Orleans, Louisiana for a cash purchase price of $789.5 million (which reflects a purchase price adjustment of $14.0 million); (ii) a Purchase and Sale Agreement (the “Harrah’s Atlantic City Purchase Agreement”) pursuant to which we agreed to acquire, and Eldorado agreed to cause to be sold, all of the land and real property improvements associated with Harrah’s Resort Atlantic City and Harrah’s Atlantic City Waterfront Conference Center in Atlantic City, New Jersey for a cash purchase price of $599.25 million; and (iii) a Purchase and Sale Agreement (the “Harrah’s Laughlin Purchase Agreement” and, collectively with the Harrah’s New Orleans Purchase Agreement and the Harrah’s Atlantic City Purchase Agreement, the “MTA Property Purchase Agreements” and each, a “MTA Property Purchase Agreement”) pursuant to which we agreed to acquire, and Eldorado agreed to cause to be sold, all of the equity interests in a newly formed entity that will acquire the land and real property improvements associated with Harrah’s Laughlin Hotel &amp; Casino in Laughlin, Nevada for a cash purchase price of $434.75 million.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40"/>
        <w:spacing w:after="0" w:line="255" w:lineRule="auto"/>
        <w:rPr>
          <w:sz w:val="20"/>
          <w:szCs w:val="20"/>
          <w:color w:val="auto"/>
        </w:rPr>
      </w:pPr>
      <w:r>
        <w:rPr>
          <w:rFonts w:ascii="Arial" w:cs="Arial" w:eastAsia="Arial" w:hAnsi="Arial"/>
          <w:sz w:val="18"/>
          <w:szCs w:val="18"/>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are subject to conditions in addition to the consummation of the Eldorado/Caesars Merger, and are not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38" w:lineRule="exact"/>
        <w:rPr>
          <w:sz w:val="20"/>
          <w:szCs w:val="20"/>
          <w:color w:val="auto"/>
        </w:rPr>
      </w:pPr>
    </w:p>
    <w:p>
      <w:pPr>
        <w:jc w:val="both"/>
        <w:ind w:left="740" w:hanging="368"/>
        <w:spacing w:after="0" w:line="263"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Eldorado of $1,189.9 million, we and Eldorado will amend the</w:t>
      </w:r>
      <w:r>
        <w:rPr>
          <w:rFonts w:ascii="Arial" w:cs="Arial" w:eastAsia="Arial" w:hAnsi="Arial"/>
          <w:sz w:val="18"/>
          <w:szCs w:val="18"/>
          <w:i w:val="1"/>
          <w:iCs w:val="1"/>
          <w:color w:val="auto"/>
        </w:rPr>
        <w:t xml:space="preserve"> </w:t>
      </w:r>
      <w:r>
        <w:rPr>
          <w:rFonts w:ascii="Arial" w:cs="Arial" w:eastAsia="Arial" w:hAnsi="Arial"/>
          <w:sz w:val="18"/>
          <w:szCs w:val="18"/>
          <w:color w:val="auto"/>
        </w:rPr>
        <w:t>CPLV Lease Agreement to (i) increase the annual rent payable to us under the CPLV Lease Agreement by $83.5 million (the “CPLV Additional Rent Acquisition”) and (ii) provide for the amended terms described below.</w:t>
      </w:r>
    </w:p>
    <w:p>
      <w:pPr>
        <w:spacing w:after="0" w:line="129" w:lineRule="exact"/>
        <w:rPr>
          <w:rFonts w:ascii="Arial" w:cs="Arial" w:eastAsia="Arial" w:hAnsi="Arial"/>
          <w:sz w:val="18"/>
          <w:szCs w:val="18"/>
          <w:color w:val="auto"/>
        </w:rPr>
      </w:pPr>
    </w:p>
    <w:p>
      <w:pPr>
        <w:jc w:val="both"/>
        <w:ind w:left="740" w:hanging="368"/>
        <w:spacing w:after="0" w:line="291" w:lineRule="auto"/>
        <w:tabs>
          <w:tab w:leader="none" w:pos="73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Eldorado of $213.8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we and Eldorado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2" w:lineRule="exact"/>
        <w:rPr>
          <w:rFonts w:ascii="Arial" w:cs="Arial" w:eastAsia="Arial" w:hAnsi="Arial"/>
          <w:sz w:val="16"/>
          <w:szCs w:val="16"/>
          <w:color w:val="auto"/>
        </w:rPr>
      </w:pPr>
    </w:p>
    <w:p>
      <w:pPr>
        <w:jc w:val="both"/>
        <w:ind w:left="740" w:hanging="368"/>
        <w:spacing w:after="0" w:line="269" w:lineRule="auto"/>
        <w:tabs>
          <w:tab w:leader="none" w:pos="735"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Centaur Properties Put/Call Agreement</w:t>
      </w:r>
      <w:r>
        <w:rPr>
          <w:rFonts w:ascii="Arial" w:cs="Arial" w:eastAsia="Arial" w:hAnsi="Arial"/>
          <w:sz w:val="17"/>
          <w:szCs w:val="17"/>
          <w:color w:val="auto"/>
        </w:rPr>
        <w:t>. Affiliates of Caesars currently own two gaming facilities in Indiana - Harrah’s Hoosier Park and Indiana</w:t>
      </w:r>
      <w:r>
        <w:rPr>
          <w:rFonts w:ascii="Arial" w:cs="Arial" w:eastAsia="Arial" w:hAnsi="Arial"/>
          <w:sz w:val="17"/>
          <w:szCs w:val="17"/>
          <w:i w:val="1"/>
          <w:iCs w:val="1"/>
          <w:color w:val="auto"/>
        </w:rPr>
        <w:t xml:space="preserve"> </w:t>
      </w:r>
      <w:r>
        <w:rPr>
          <w:rFonts w:ascii="Arial" w:cs="Arial" w:eastAsia="Arial" w:hAnsi="Arial"/>
          <w:sz w:val="17"/>
          <w:szCs w:val="17"/>
          <w:color w:val="auto"/>
        </w:rPr>
        <w:t>Grand (together the “Centaur Properties”). At the closing of the Eldorado/Caesars Merger, a right of first refusal that we have with respect to the Centaur Properties will terminate and we will enter into a put/call agreement with Eldorado,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Eldorado for initial annual rent equal to the property’s trailing four quarters EBITDA at the time of acquisition divided by 1.3 (i.e., the initial annual rent will be set at 1.3x rent coverage) and (ii) Eldorado will have the right to require us to acquire the Centaur Properties at a price equal to 12.5x the initial annual rent of each facility, and to simultaneously lease back each such Centaur Property to a subsidiary of Eldorado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24" w:lineRule="exact"/>
        <w:rPr>
          <w:rFonts w:ascii="Arial" w:cs="Arial" w:eastAsia="Arial" w:hAnsi="Arial"/>
          <w:sz w:val="17"/>
          <w:szCs w:val="17"/>
          <w:color w:val="auto"/>
        </w:rPr>
      </w:pPr>
    </w:p>
    <w:p>
      <w:pPr>
        <w:jc w:val="both"/>
        <w:ind w:left="740" w:hanging="368"/>
        <w:spacing w:after="0" w:line="290" w:lineRule="auto"/>
        <w:tabs>
          <w:tab w:leader="none" w:pos="73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Eldorado (the “Las Vegas ROFR”) whereby we will have</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right, with respect to the first two of certain specified Las Vegas Strip assets that Eldorado proposes to sell, whether pursuant to a sale leaseback or a WholeCo sale, to a third party, to acquire any such asset (it being understood that we will have the opportunity to find an operating company should Eldorado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Eldorado on any of these facilities, the leaseback will be implemented through the addition of such properties to the CPLV Lease Agreement.</w:t>
      </w:r>
    </w:p>
    <w:p>
      <w:pPr>
        <w:spacing w:after="0" w:line="111" w:lineRule="exact"/>
        <w:rPr>
          <w:rFonts w:ascii="Arial" w:cs="Arial" w:eastAsia="Arial" w:hAnsi="Arial"/>
          <w:sz w:val="16"/>
          <w:szCs w:val="16"/>
          <w:color w:val="auto"/>
        </w:rPr>
      </w:pPr>
    </w:p>
    <w:p>
      <w:pPr>
        <w:jc w:val="both"/>
        <w:ind w:left="740" w:hanging="368"/>
        <w:spacing w:after="0" w:line="311" w:lineRule="auto"/>
        <w:tabs>
          <w:tab w:leader="none" w:pos="735"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We and Eldorado agreed to enter into a right of first refusal agreement pursuant to which we will have the first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enter into a sale leaseback transaction with respect to the land and real estate assets associated with the Horseshoe Baltimore gaming facility (subject to any consent required from Caesars’ joint venture partners with respect to this asset) (the “Horseshoe Baltimore ROFR”).</w:t>
      </w:r>
    </w:p>
    <w:p>
      <w:pPr>
        <w:spacing w:after="0" w:line="94" w:lineRule="exact"/>
        <w:rPr>
          <w:rFonts w:ascii="Arial" w:cs="Arial" w:eastAsia="Arial" w:hAnsi="Arial"/>
          <w:sz w:val="16"/>
          <w:szCs w:val="16"/>
          <w:color w:val="auto"/>
        </w:rPr>
      </w:pPr>
    </w:p>
    <w:p>
      <w:pPr>
        <w:jc w:val="both"/>
        <w:ind w:left="740" w:hanging="368"/>
        <w:spacing w:after="0" w:line="259" w:lineRule="auto"/>
        <w:tabs>
          <w:tab w:leader="none" w:pos="7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Lease Guaranties and MLSA Terminations</w:t>
      </w:r>
      <w:r>
        <w:rPr>
          <w:rFonts w:ascii="Arial" w:cs="Arial" w:eastAsia="Arial" w:hAnsi="Arial"/>
          <w:sz w:val="18"/>
          <w:szCs w:val="18"/>
          <w:color w:val="auto"/>
        </w:rPr>
        <w:t>. Eldorado will execute new guaranties (the “Eldorado Guaranties”) of the CPLV Lease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Non-CPLV 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Eldorado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40"/>
        <w:spacing w:after="0" w:line="272" w:lineRule="auto"/>
        <w:rPr>
          <w:sz w:val="20"/>
          <w:szCs w:val="20"/>
          <w:color w:val="auto"/>
        </w:rPr>
      </w:pPr>
      <w:r>
        <w:rPr>
          <w:rFonts w:ascii="Arial" w:cs="Arial" w:eastAsia="Arial" w:hAnsi="Arial"/>
          <w:sz w:val="17"/>
          <w:szCs w:val="17"/>
          <w:color w:val="auto"/>
        </w:rPr>
        <w:t>following the closing of the Eldorado/Caesars Merger). The Eldorado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Eldorado will terminate the Management and Lease Support Agreements with respect to the CPLV Lease Agreement, the Non-CPLV Lease Agreement and the Joliet Lease Agreement, and certain provisions currently set forth therein will be added to the respective leases, as amended, and the Eldorado Guaranties.</w:t>
      </w:r>
    </w:p>
    <w:p>
      <w:pPr>
        <w:spacing w:after="0" w:line="123" w:lineRule="exact"/>
        <w:rPr>
          <w:sz w:val="20"/>
          <w:szCs w:val="20"/>
          <w:color w:val="auto"/>
        </w:rPr>
      </w:pPr>
    </w:p>
    <w:p>
      <w:pPr>
        <w:jc w:val="both"/>
        <w:ind w:left="740" w:hanging="408"/>
        <w:spacing w:after="0" w:line="284" w:lineRule="auto"/>
        <w:tabs>
          <w:tab w:leader="none" w:pos="73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Eldorado/Caesars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Eldorado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25" w:lineRule="exact"/>
        <w:rPr>
          <w:rFonts w:ascii="Arial" w:cs="Arial" w:eastAsia="Arial" w:hAnsi="Arial"/>
          <w:sz w:val="16"/>
          <w:szCs w:val="16"/>
          <w:color w:val="auto"/>
        </w:rPr>
      </w:pPr>
    </w:p>
    <w:p>
      <w:pPr>
        <w:jc w:val="both"/>
        <w:ind w:left="740" w:hanging="408"/>
        <w:spacing w:after="0" w:line="275" w:lineRule="auto"/>
        <w:tabs>
          <w:tab w:leader="none" w:pos="735"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closing of the Eldorado/Caesars</w:t>
      </w:r>
      <w:r>
        <w:rPr>
          <w:rFonts w:ascii="Arial" w:cs="Arial" w:eastAsia="Arial" w:hAnsi="Arial"/>
          <w:sz w:val="17"/>
          <w:szCs w:val="17"/>
          <w:i w:val="1"/>
          <w:iCs w:val="1"/>
          <w:color w:val="auto"/>
        </w:rPr>
        <w:t xml:space="preserve"> </w:t>
      </w:r>
      <w:r>
        <w:rPr>
          <w:rFonts w:ascii="Arial" w:cs="Arial" w:eastAsia="Arial" w:hAnsi="Arial"/>
          <w:sz w:val="17"/>
          <w:szCs w:val="17"/>
          <w:color w:val="auto"/>
        </w:rPr>
        <w:t>Merger. Eldorado has agreed to reimburse us for 50% of our out-of-pocket costs in connection with the prepayment penalties associated with refinancing the CPLV CMBS Debt (which reimbursement obligations exist pursuant to the MTA regardless of whether the Eldorado/Caesars Merger is consummated). In November 2019, we repaid the CPLV CMBS Debt in full resulting in a prepayment penalty of $110.8 million, $55.4 million of which Eldorado is obligated to reimburse us for under the MTA.</w:t>
      </w:r>
    </w:p>
    <w:p>
      <w:pPr>
        <w:spacing w:after="0" w:line="122" w:lineRule="exact"/>
        <w:rPr>
          <w:rFonts w:ascii="Arial" w:cs="Arial" w:eastAsia="Arial" w:hAnsi="Arial"/>
          <w:sz w:val="17"/>
          <w:szCs w:val="17"/>
          <w:color w:val="auto"/>
        </w:rPr>
      </w:pPr>
    </w:p>
    <w:p>
      <w:pPr>
        <w:jc w:val="both"/>
        <w:ind w:left="740" w:hanging="408"/>
        <w:spacing w:after="0" w:line="288" w:lineRule="auto"/>
        <w:tabs>
          <w:tab w:leader="none" w:pos="735"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Eldorado Bridge Facility</w:t>
      </w:r>
      <w:r>
        <w:rPr>
          <w:rFonts w:ascii="Arial" w:cs="Arial" w:eastAsia="Arial" w:hAnsi="Arial"/>
          <w:sz w:val="16"/>
          <w:szCs w:val="16"/>
          <w:color w:val="auto"/>
        </w:rPr>
        <w:t>. On June 24, 2019, in connection with the Eldorado Transaction, VICI PropCo entered into a commitment letter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Following the issuance of the November 2020 Senior Unsecured Notes, the commitments under the Bridge Facilities were reduced by $1.6 billion, to $3.2 billion. Following the issuance of the February 2020 Senior Unsecured Notes we placed $2.0 billion of the net proceeds of the offering into escrow pending the consummation of the Eldorado Transaction and the commitments under the Bridge Facilities were further reduced by $2.0 billion to $1.2 billion.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Master Transaction Agreement contains customary representations, warranties and covenants by the parties to the agreement and is subject to the consummation of the Eldorado/Caesars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Eldorado/Caesars Merger Agreement and a right by us to terminate the Master Transaction Agreement in the event the closing of the transactions contemplated by the Master Transaction Agreement has not occurred by the date on which the Eldorado/Caesars Merger is required to close pursuant to the Eldorado/Caesars Merger Agreement, but in no event later than December 24, 2020.</w:t>
      </w:r>
    </w:p>
    <w:p>
      <w:pPr>
        <w:spacing w:after="0" w:line="112" w:lineRule="exact"/>
        <w:rPr>
          <w:sz w:val="20"/>
          <w:szCs w:val="20"/>
          <w:color w:val="auto"/>
        </w:rPr>
      </w:pPr>
    </w:p>
    <w:p>
      <w:pPr>
        <w:jc w:val="both"/>
        <w:spacing w:after="0" w:line="254" w:lineRule="auto"/>
        <w:rPr>
          <w:rFonts w:ascii="Arial" w:cs="Arial" w:eastAsia="Arial" w:hAnsi="Arial"/>
          <w:sz w:val="18"/>
          <w:szCs w:val="18"/>
          <w:color w:val="0000FF"/>
        </w:rPr>
      </w:pPr>
      <w:r>
        <w:rPr>
          <w:rFonts w:ascii="Arial" w:cs="Arial" w:eastAsia="Arial" w:hAnsi="Arial"/>
          <w:sz w:val="18"/>
          <w:szCs w:val="18"/>
          <w:color w:val="auto"/>
        </w:rPr>
        <w:t xml:space="preserve">If the Master Transaction Agreement is terminated by Eldorado under certain circumstances where we have a financing failure, we may be obligated to pay Eldorado a reverse termination fee of $75.0 million (the “Reverse Termination Fee”). If the amendment of the CPLV Lease Agreement is not entered into on the date on which the Eldorado/Caesars Merger closes, under certain circumstances, we may be obligated to pay Eldorado a fee of $45.0 million (the “CPLV Break Payment”), provided we will not be obligated to pay both the Reverse Termination Fee and the CPLV Break Payment. If the Eldorado/Caesars Merger does not close for any reason, under certain circumstances, Eldorado may be obligated to pay us a termination fee of $75.0 </w:t>
      </w:r>
      <w:hyperlink r:id="rId18">
        <w:r>
          <w:rPr>
            <w:rFonts w:ascii="Arial" w:cs="Arial" w:eastAsia="Arial" w:hAnsi="Arial"/>
            <w:sz w:val="18"/>
            <w:szCs w:val="18"/>
            <w:color w:val="auto"/>
          </w:rPr>
          <w:t xml:space="preserve">million. For more information, refer to </w:t>
        </w:r>
      </w:hyperlink>
      <w:hyperlink w:anchor="page67">
        <w:r>
          <w:rPr>
            <w:rFonts w:ascii="Arial" w:cs="Arial" w:eastAsia="Arial" w:hAnsi="Arial"/>
            <w:sz w:val="18"/>
            <w:szCs w:val="18"/>
            <w:u w:val="single" w:color="auto"/>
            <w:color w:val="0000FF"/>
          </w:rPr>
          <w:t>Part II. Item 1A. Risk Factors</w:t>
        </w:r>
        <w:r>
          <w:rPr>
            <w:rFonts w:ascii="Arial" w:cs="Arial" w:eastAsia="Arial" w:hAnsi="Arial"/>
            <w:sz w:val="18"/>
            <w:szCs w:val="18"/>
            <w:u w:val="single" w:color="auto"/>
            <w:color w:val="auto"/>
          </w:rPr>
          <w:t xml:space="preserve"> herein and the risk factors set forth in our </w:t>
        </w:r>
        <w:r>
          <w:rPr>
            <w:rFonts w:ascii="Arial" w:cs="Arial" w:eastAsia="Arial" w:hAnsi="Arial"/>
            <w:sz w:val="18"/>
            <w:szCs w:val="18"/>
            <w:u w:val="single" w:color="auto"/>
            <w:color w:val="0000FF"/>
          </w:rPr>
          <w:t>Annual Report on Form 10-K for the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December 31, 2019</w:t>
        </w:r>
        <w:r>
          <w:rPr>
            <w:rFonts w:ascii="Arial" w:cs="Arial" w:eastAsia="Arial" w:hAnsi="Arial"/>
            <w:sz w:val="18"/>
            <w:szCs w:val="18"/>
            <w:color w:val="000000"/>
          </w:rPr>
          <w:t>.</w:t>
        </w:r>
      </w:hyperlink>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0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0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i w:val="1"/>
                <w:iCs w:val="1"/>
                <w:color w:val="auto"/>
                <w:w w:val="88"/>
              </w:rPr>
              <w:t>(In thousands)</w:t>
            </w:r>
          </w:p>
        </w:tc>
        <w:tc>
          <w:tcPr>
            <w:tcW w:w="4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right"/>
              <w:ind w:right="751"/>
              <w:spacing w:after="0" w:line="183"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50"/>
              <w:spacing w:after="0" w:line="183"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ind w:left="280"/>
              <w:spacing w:after="0" w:line="183" w:lineRule="exact"/>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8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 from direct financing and sales-type leases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224,252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Income from operating leases</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Income from lease financing receivables and loans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12,843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Tenant reimbursements and other income</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Golf operations</w:t>
            </w:r>
          </w:p>
        </w:tc>
        <w:tc>
          <w:tcPr>
            <w:tcW w:w="2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7,339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ind w:left="48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0"/>
                <w:szCs w:val="20"/>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255,001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214,002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40,999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Tenant reimbursements and 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Golf operations</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149,508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149,508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Pr>
          <w:p>
            <w:pPr>
              <w:spacing w:after="0"/>
              <w:rPr>
                <w:sz w:val="21"/>
                <w:szCs w:val="21"/>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0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166,980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154,844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88,021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201,866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(76,093)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(53,586)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28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(39,059)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153,447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152,926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(24,012)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150,849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ind w:right="12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our revenue was comprised of the following items: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8"/>
                <w:szCs w:val="18"/>
                <w:color w:val="auto"/>
              </w:rPr>
            </w:pPr>
          </w:p>
        </w:tc>
        <w:tc>
          <w:tcPr>
            <w:tcW w:w="1520" w:type="dxa"/>
            <w:vAlign w:val="bottom"/>
          </w:tcPr>
          <w:p>
            <w:pPr>
              <w:jc w:val="right"/>
              <w:ind w:right="75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7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59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Leasing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247,185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206,663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40,522</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Income from loans</w:t>
            </w:r>
          </w:p>
        </w:tc>
        <w:tc>
          <w:tcPr>
            <w:tcW w:w="46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580" w:type="dxa"/>
            <w:vAlign w:val="bottom"/>
          </w:tcPr>
          <w:p>
            <w:pPr>
              <w:jc w:val="right"/>
              <w:ind w:right="72"/>
              <w:spacing w:after="0"/>
              <w:rPr>
                <w:sz w:val="20"/>
                <w:szCs w:val="20"/>
                <w:color w:val="auto"/>
              </w:rPr>
            </w:pPr>
            <w:r>
              <w:rPr>
                <w:rFonts w:ascii="Arial" w:cs="Arial" w:eastAsia="Arial" w:hAnsi="Arial"/>
                <w:sz w:val="18"/>
                <w:szCs w:val="18"/>
                <w:color w:val="auto"/>
              </w:rPr>
              <w:t>823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Tenant reimbursements and other income</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693</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Golf operations</w:t>
            </w:r>
          </w:p>
        </w:tc>
        <w:tc>
          <w:tcPr>
            <w:tcW w:w="46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52"/>
              <w:spacing w:after="0"/>
              <w:rPr>
                <w:sz w:val="20"/>
                <w:szCs w:val="20"/>
                <w:color w:val="auto"/>
              </w:rPr>
            </w:pPr>
            <w:r>
              <w:rPr>
                <w:rFonts w:ascii="Arial" w:cs="Arial" w:eastAsia="Arial" w:hAnsi="Arial"/>
                <w:sz w:val="18"/>
                <w:szCs w:val="18"/>
                <w:color w:val="auto"/>
              </w:rPr>
              <w:t>7,339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(1,039)</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255,001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214,002</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40,999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operating and financing receivables leases: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2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8"/>
                <w:szCs w:val="18"/>
                <w:color w:val="auto"/>
              </w:rPr>
            </w:pPr>
          </w:p>
        </w:tc>
        <w:tc>
          <w:tcPr>
            <w:tcW w:w="1520" w:type="dxa"/>
            <w:vAlign w:val="bottom"/>
          </w:tcPr>
          <w:p>
            <w:pPr>
              <w:jc w:val="right"/>
              <w:ind w:right="7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tcPr>
          <w:p>
            <w:pPr>
              <w:jc w:val="right"/>
              <w:ind w:right="7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591"/>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direct financing and sales-type leases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224,252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195,750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28,502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460" w:type="dxa"/>
            <w:vAlign w:val="bottom"/>
          </w:tcPr>
          <w:p>
            <w:pPr>
              <w:spacing w:after="0"/>
              <w:rPr>
                <w:sz w:val="23"/>
                <w:szCs w:val="23"/>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10,913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10,913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4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247,185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206,663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40,522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4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5,766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6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250,439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204,151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46,288</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08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41" w:lineRule="auto"/>
        <w:tabs>
          <w:tab w:leader="none" w:pos="211"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firstLine="8"/>
        <w:spacing w:after="0" w:line="241" w:lineRule="auto"/>
        <w:tabs>
          <w:tab w:leader="none" w:pos="213"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income from the JACK Cleveland/Thistledown Lease Agreement which, in accordance with ASC 842, was determined to meet both the definition of a sale leaseback transaction and sales-type lease and, as a result, is accounted for as a financing under ASC 310.</w:t>
      </w:r>
    </w:p>
    <w:p>
      <w:pPr>
        <w:ind w:right="20" w:firstLine="8"/>
        <w:spacing w:after="0" w:line="255" w:lineRule="auto"/>
        <w:tabs>
          <w:tab w:leader="none" w:pos="205" w:val="left"/>
        </w:tabs>
        <w:numPr>
          <w:ilvl w:val="0"/>
          <w:numId w:val="2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sales-type leases and lease financing receivables in order to recognize income on an effective interest basis at a constant rate of return over the term of the leases.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Leasing revenue is generated from rent from our Lease Agreements. Total leasing revenue increased $40.5 million during the three months ended March 31, 2020 compared to the three months ended March 31, 2019. Total contractual leasing revenue increased $46.3 million during the three months ended March 31, 2020 compared to the three months ended March 31, 2019. The increase was primarily driven by the addition of Greektown, Hard Rock Cincinnati, the Century Portfolio and JACK Cleveland/Thistledown to our real estate portfolio in May 2019, September 2019, December 2019 and January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reimbursements and other income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2019, Tenant reimbursements and other income were included net in General and administrative expenses. During the three months ended March 31, 2020, we have re-classified Tenant reimbursements and other income to be presented gross with an offsetting amount within Tenant reimbursement and other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operations decreased $1.0 million during the three months ended March 31, 2020 compared to the three months ended March 31, 2019. The decrease was primarily driven by the closure of our golf courses in March 2020 as a result of the ongoing COVID-19 pandemic, partially offset by an increase in the contractual fees paid to us by Caesars for the use of our golf courses, pursuant to a golf course use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our operating expenses were comprised of the following items: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320" w:type="dxa"/>
            <w:vAlign w:val="bottom"/>
            <w:gridSpan w:val="4"/>
          </w:tcPr>
          <w:p>
            <w:pPr>
              <w:jc w:val="right"/>
              <w:ind w:right="93"/>
              <w:spacing w:after="0"/>
              <w:rPr>
                <w:sz w:val="20"/>
                <w:szCs w:val="20"/>
                <w:color w:val="auto"/>
              </w:rPr>
            </w:pPr>
            <w:r>
              <w:rPr>
                <w:rFonts w:ascii="Arial" w:cs="Arial" w:eastAsia="Arial" w:hAnsi="Arial"/>
                <w:sz w:val="16"/>
                <w:szCs w:val="16"/>
                <w:b w:val="1"/>
                <w:bCs w:val="1"/>
                <w:color w:val="auto"/>
              </w:rPr>
              <w:t>Three Months Ended March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591"/>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790</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Tenant reimbursements and other expenses</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Golf operations</w:t>
            </w:r>
          </w:p>
        </w:tc>
        <w:tc>
          <w:tcPr>
            <w:tcW w:w="1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278</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allowance for credit losses</w:t>
            </w: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149,508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149,508</w:t>
            </w:r>
          </w:p>
        </w:tc>
      </w:tr>
      <w:tr>
        <w:trPr>
          <w:trHeight w:val="243"/>
        </w:trPr>
        <w:tc>
          <w:tcPr>
            <w:tcW w:w="20" w:type="dxa"/>
            <w:vAlign w:val="bottom"/>
          </w:tcPr>
          <w:p>
            <w:pPr>
              <w:spacing w:after="0"/>
              <w:rPr>
                <w:sz w:val="21"/>
                <w:szCs w:val="21"/>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12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3,628</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166,980</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12,136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154,844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increased $0.8 million for the three months ended March 31, 2020 as compared to the three months ended March 31, 2019. The increase was primarily driven by an increase in compensation, including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and other expenses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2019, Tenant reimbursements and other expenses were included net in General and administrative expenses. During the three months ended March 31, 2020, we have re-classified Tenant reimbursements and other expenses to be presented gross with an offsetting amount within Tenant reimbursements and other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Expenses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from golf operations increased $0.3 million during the three months ended March 31, 2020 compared to the three months ended March 31, 2019. The increase was primarily driven by an increase in the water usage charges at one of our golf courses. Additionally, even though our courses were closed during the second half of March of 2020 as a result of the ongoing COVID-19 pandemic, we have continued to pay all of our golf course employees their full salaries and benefits, and accordingly, the decrease in our golf course operating revenues has not been directionally offset by a decrease in golf course 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On January 1, 2020, we adopted ASU No. 2016-13 -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which requires us to record an estimated credit loss for our investments in leases - direct financing and sales-type, investments in leases - financing receivables and investments in loans. During the three months ended March 31, 2020, we recognized a $149.5 million increase in allowance for credit losses related to our real estate portfolio as a result of (i) an increase in the credit risk of our tenants given the uncertain economic conditions caused by the COVID-19 pandemic and the current closure of their operations at our properties and (ii) a $22.2 million allowance related to our initial investment in JACK Cleveland/Thistledown and the ROV Loan. The credit loss standard does not require retrospective application and as such there is no corresponding charge for the three months ended March 31, 2019. Refer to </w:t>
      </w:r>
      <w:hyperlink w:anchor="page28">
        <w:r>
          <w:rPr>
            <w:rFonts w:ascii="Arial" w:cs="Arial" w:eastAsia="Arial" w:hAnsi="Arial"/>
            <w:sz w:val="17"/>
            <w:szCs w:val="17"/>
            <w:u w:val="single" w:color="auto"/>
            <w:color w:val="0000FF"/>
          </w:rPr>
          <w:t>Note 6 - Allowance for Credit Losses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Costs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and acquisition costs increased $3.6 million during the three months ended March 31, 2020 compared to the three months ended March 31, 2019, respectively. The increase was primarily driven by the expensing of costs that were incurred in connection with investment opportunities that we are no longer pursuing.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$22.5 million during the three months ended March 31, 2020 as compared to the three months ended March 31, 2019. The increase is primarily attributable to the increase in debt of $4.75 billion from the February 2020 Senior Unsecured Notes offering and the November 2019 Senior Unsecured Notes offering partially offset by a reduction in debt of $2.05 billion as a result of the full redemption of the Second Lien Notes in February 2020 and full repayment of the CPLV CMBS Debt in November 2019.</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the weighted average interest rate of our debt decreased from 4.97% during the three months ended March 31, 2019 to 4.58% during the three months ended March 31, 2020 as a result of (i) the weighted average interest rate on the February 2020 Senior Unsecured Notes and the November 2019 Senior Unsecured Notes being lower than the weighted average interest rate of the Second Lien Notes and CPLV CMBS Debt, (ii) a decrease in LIBOR on the $100.0 million portion of our variable rate debt that is not hedged and (iii) a reduction in the interest rate on the Term Loan B Facility from LIBOR plus 2.00% to LIBOR plus 1.75%.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increased $0.4 million during the three months ended March 31, 2020 compared to the three months ended March 31, 2019. The increase was primarily driven by increased cash on hand from our February 2020 Senior Unsecured Notes offering, $2.0 billion of which is held in escrow pending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March 31, 2020, we recognized a loss on extinguishment of debt of $39.1 million resulting from the full redemption of our Second Lien Notes in February 2020. We had no such related extinguishment of debt during the three months ended March 31,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2" w:lineRule="exact"/>
        <w:rPr>
          <w:sz w:val="20"/>
          <w:szCs w:val="20"/>
          <w:color w:val="auto"/>
        </w:rPr>
      </w:pPr>
    </w:p>
    <w:p>
      <w:pPr>
        <w:jc w:val="both"/>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AFFO is a non-GAAP financial measure that we use as a supplemental operating measure to evaluate our performance. We calculate AFFO by adding or subtracting from FFO non-cash leasing and financing adjustments attributable to common stockholders, non-cash change in allowance for credit losses attributable to common stockholders,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 The non-cash change in allowance for credit losses attributable to common stockholders consists of estimated credit loss for our investments in leases - direct financing and sales-type, investments in leases - financing receivables and investments in loans as a result of our adoption of ASU No. 2016-13 - Financial Instruments-Credit Losses (Topic 326). No similar adjustments are reflected in prior periods because the accounting standard was adopted effective January 1, 2020 and does not require retrospective application. Please see </w:t>
      </w:r>
      <w:hyperlink w:anchor="page28">
        <w:r>
          <w:rPr>
            <w:rFonts w:ascii="Arial" w:cs="Arial" w:eastAsia="Arial" w:hAnsi="Arial"/>
            <w:sz w:val="16"/>
            <w:szCs w:val="16"/>
            <w:u w:val="single" w:color="auto"/>
            <w:color w:val="0000FF"/>
          </w:rPr>
          <w:t>Note 6 - Allowance for Credit Losses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interest expense and interest income (collectively, interest expense, net) and income tax expense.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Income to FFO, FFO per Share, AFFO, AFFO per Share and Adjusted EBITDA</w:t>
      </w:r>
    </w:p>
    <w:p>
      <w:pPr>
        <w:spacing w:after="0" w:line="230"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37465</wp:posOffset>
            </wp:positionV>
            <wp:extent cx="26746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620" w:type="dxa"/>
            <w:vAlign w:val="bottom"/>
          </w:tcPr>
          <w:p>
            <w:pPr>
              <w:spacing w:after="0"/>
              <w:rPr>
                <w:sz w:val="17"/>
                <w:szCs w:val="17"/>
                <w:color w:val="auto"/>
              </w:rPr>
            </w:pPr>
          </w:p>
        </w:tc>
        <w:tc>
          <w:tcPr>
            <w:tcW w:w="1440" w:type="dxa"/>
            <w:vAlign w:val="bottom"/>
          </w:tcPr>
          <w:p>
            <w:pPr>
              <w:jc w:val="right"/>
              <w:ind w:right="77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jc w:val="right"/>
              <w:ind w:right="770"/>
              <w:spacing w:after="0"/>
              <w:rPr>
                <w:sz w:val="20"/>
                <w:szCs w:val="20"/>
                <w:color w:val="auto"/>
              </w:rPr>
            </w:pPr>
            <w:r>
              <w:rPr>
                <w:rFonts w:ascii="Arial" w:cs="Arial" w:eastAsia="Arial" w:hAnsi="Arial"/>
                <w:sz w:val="16"/>
                <w:szCs w:val="16"/>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150,849</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Real estate depreciation</w:t>
            </w:r>
          </w:p>
        </w:tc>
        <w:tc>
          <w:tcPr>
            <w:tcW w:w="62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FFO</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150,849</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Non-cash leasing and financing adjustments attributable to common stockholders</w:t>
            </w:r>
          </w:p>
        </w:tc>
        <w:tc>
          <w:tcPr>
            <w:tcW w:w="6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(2,446)</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Non-cash change in allowance for credit losses attributable to common stockholders</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149,372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6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4,517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889</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1,051</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6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6,299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1,465</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depreciation</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927</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6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AFFO</w:t>
            </w:r>
          </w:p>
        </w:tc>
        <w:tc>
          <w:tcPr>
            <w:tcW w:w="6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179,976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151,544</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46,954</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521</w:t>
            </w:r>
          </w:p>
        </w:tc>
      </w:tr>
      <w:tr>
        <w:trPr>
          <w:trHeight w:val="27"/>
        </w:trPr>
        <w:tc>
          <w:tcPr>
            <w:tcW w:w="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244,704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199,019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 per common share</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Basic and diluted</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0.37</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Basic and diluted</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0.37</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2"/>
              </w:rPr>
              <w:t>Weighted average number of shares of common stock outstanding - Net (Loss) Income and FFO</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465,177,425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405,733,656</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465,177,425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406,035,025</w:t>
            </w: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AFFO per common share</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0.37</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0.37</w:t>
            </w: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number of shares of common stock outstanding - AFFO</w:t>
            </w:r>
          </w:p>
        </w:tc>
        <w:tc>
          <w:tcPr>
            <w:tcW w:w="6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6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465,177,425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405,733,656</w:t>
            </w:r>
          </w:p>
        </w:tc>
      </w:tr>
      <w:tr>
        <w:trPr>
          <w:trHeight w:val="256"/>
        </w:trPr>
        <w:tc>
          <w:tcPr>
            <w:tcW w:w="20" w:type="dxa"/>
            <w:vAlign w:val="bottom"/>
          </w:tcPr>
          <w:p>
            <w:pPr>
              <w:spacing w:after="0"/>
              <w:rPr>
                <w:sz w:val="22"/>
                <w:szCs w:val="22"/>
                <w:color w:val="auto"/>
              </w:rPr>
            </w:pPr>
          </w:p>
        </w:tc>
        <w:tc>
          <w:tcPr>
            <w:tcW w:w="7000" w:type="dxa"/>
            <w:vAlign w:val="bottom"/>
            <w:gridSpan w:val="2"/>
          </w:tcPr>
          <w:p>
            <w:pPr>
              <w:ind w:left="240"/>
              <w:spacing w:after="0" w:line="255"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620" w:type="dxa"/>
            <w:vAlign w:val="bottom"/>
          </w:tcPr>
          <w:p>
            <w:pPr>
              <w:spacing w:after="0"/>
              <w:rPr>
                <w:sz w:val="22"/>
                <w:szCs w:val="22"/>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475,552,624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406,035,025</w:t>
            </w:r>
          </w:p>
        </w:tc>
      </w:tr>
      <w:tr>
        <w:trPr>
          <w:trHeight w:val="224"/>
        </w:trPr>
        <w:tc>
          <w:tcPr>
            <w:tcW w:w="314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3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jc w:val="both"/>
        <w:ind w:left="340" w:hanging="332"/>
        <w:spacing w:after="0" w:line="246" w:lineRule="auto"/>
        <w:tabs>
          <w:tab w:leader="none" w:pos="332"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2020, the diluted weighted average number of shares of common stock outstanding in relation to AFFO is adjusted to include the dilutive effect, using the treasury stock method, of the assumed conversion of our restricted stock in the amount of 83,367 shares and the assumed settlement of our Forward Sale Agreements in the amount of 10,291,832 shares. For the three months ended March 31, 2020, such amounts have been excluded from the diluted weighted average number of shares of common stock in relation to net (loss) income and FFO as these were in loss positions and the effect of inclusion would have been anti-dilutive.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2020, our available cash balances, restricted cash balances, short-term investments and capacity under our Revolving Credit Facility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8"/>
              </w:rPr>
              <w:t>(In thousands)</w:t>
            </w:r>
          </w:p>
        </w:tc>
        <w:tc>
          <w:tcPr>
            <w:tcW w:w="7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40" w:type="dxa"/>
            <w:vAlign w:val="bottom"/>
          </w:tcPr>
          <w:p>
            <w:pPr>
              <w:jc w:val="right"/>
              <w:ind w:right="913"/>
              <w:spacing w:after="0"/>
              <w:rPr>
                <w:sz w:val="20"/>
                <w:szCs w:val="20"/>
                <w:color w:val="auto"/>
              </w:rPr>
            </w:pPr>
            <w:r>
              <w:rPr>
                <w:rFonts w:ascii="Arial" w:cs="Arial" w:eastAsia="Arial" w:hAnsi="Arial"/>
                <w:sz w:val="15"/>
                <w:szCs w:val="15"/>
                <w:b w:val="1"/>
                <w:bCs w:val="1"/>
                <w:color w:val="auto"/>
              </w:rPr>
              <w:t>March 31, 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72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369,052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3"/>
                <w:szCs w:val="23"/>
                <w:color w:val="auto"/>
                <w:vertAlign w:val="superscript"/>
              </w:rPr>
              <w:t>(1)</w:t>
            </w:r>
          </w:p>
        </w:tc>
        <w:tc>
          <w:tcPr>
            <w:tcW w:w="560" w:type="dxa"/>
            <w:vAlign w:val="bottom"/>
          </w:tcPr>
          <w:p>
            <w:pPr>
              <w:spacing w:after="0"/>
              <w:rPr>
                <w:sz w:val="23"/>
                <w:szCs w:val="23"/>
                <w:color w:val="auto"/>
              </w:rPr>
            </w:pPr>
          </w:p>
        </w:tc>
        <w:tc>
          <w:tcPr>
            <w:tcW w:w="2440" w:type="dxa"/>
            <w:vAlign w:val="bottom"/>
          </w:tcPr>
          <w:p>
            <w:pPr>
              <w:jc w:val="right"/>
              <w:ind w:right="73"/>
              <w:spacing w:after="0"/>
              <w:rPr>
                <w:sz w:val="20"/>
                <w:szCs w:val="20"/>
                <w:color w:val="auto"/>
              </w:rPr>
            </w:pPr>
            <w:r>
              <w:rPr>
                <w:rFonts w:ascii="Arial" w:cs="Arial" w:eastAsia="Arial" w:hAnsi="Arial"/>
                <w:sz w:val="18"/>
                <w:szCs w:val="18"/>
                <w:color w:val="auto"/>
              </w:rPr>
              <w:t>2,002,032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3"/>
                <w:szCs w:val="23"/>
                <w:color w:val="auto"/>
                <w:vertAlign w:val="superscript"/>
              </w:rPr>
              <w:t>(2)</w:t>
            </w:r>
          </w:p>
        </w:tc>
        <w:tc>
          <w:tcPr>
            <w:tcW w:w="560" w:type="dxa"/>
            <w:vAlign w:val="bottom"/>
            <w:tcBorders>
              <w:bottom w:val="single" w:sz="8" w:color="auto"/>
            </w:tcBorders>
            <w:shd w:val="clear" w:color="auto" w:fill="CCEEFF"/>
          </w:tcPr>
          <w:p>
            <w:pPr>
              <w:spacing w:after="0"/>
              <w:rPr>
                <w:sz w:val="23"/>
                <w:szCs w:val="23"/>
                <w:color w:val="auto"/>
              </w:rPr>
            </w:pPr>
          </w:p>
        </w:tc>
        <w:tc>
          <w:tcPr>
            <w:tcW w:w="2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3,371,084</w:t>
            </w:r>
          </w:p>
        </w:tc>
        <w:tc>
          <w:tcPr>
            <w:tcW w:w="0" w:type="dxa"/>
            <w:vAlign w:val="bottom"/>
          </w:tcPr>
          <w:p>
            <w:pPr>
              <w:spacing w:after="0"/>
              <w:rPr>
                <w:sz w:val="1"/>
                <w:szCs w:val="1"/>
                <w:color w:val="auto"/>
              </w:rPr>
            </w:pPr>
          </w:p>
        </w:tc>
      </w:tr>
      <w:tr>
        <w:trPr>
          <w:trHeight w:val="21"/>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40" w:type="dxa"/>
            <w:vAlign w:val="bottom"/>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69" w:lineRule="auto"/>
        <w:tabs>
          <w:tab w:leader="none" w:pos="332" w:val="left"/>
        </w:tabs>
        <w:numPr>
          <w:ilvl w:val="0"/>
          <w:numId w:val="29"/>
        </w:numPr>
        <w:rPr>
          <w:rFonts w:ascii="Arial" w:cs="Arial" w:eastAsia="Arial" w:hAnsi="Arial"/>
          <w:sz w:val="13"/>
          <w:szCs w:val="13"/>
          <w:i w:val="1"/>
          <w:iCs w:val="1"/>
          <w:color w:val="auto"/>
        </w:rPr>
      </w:pPr>
      <w:r>
        <w:rPr>
          <w:rFonts w:ascii="Arial" w:cs="Arial" w:eastAsia="Arial" w:hAnsi="Arial"/>
          <w:sz w:val="13"/>
          <w:szCs w:val="13"/>
          <w:i w:val="1"/>
          <w:iCs w:val="1"/>
          <w:color w:val="auto"/>
        </w:rPr>
        <w:t>Restricted cash is solely related to funds held in escrow from the February 2020 Senior Unsecured Notes offering to be used to consummate the Eldorado Transaction. In the event that the Eldorado Transaction does not close, such funds will be used to redeem the 2027 Notes, 2030 Notes and a portion of the 2025 Notes through the Special Mandatory Redemption.</w:t>
      </w:r>
    </w:p>
    <w:p>
      <w:pPr>
        <w:ind w:left="320" w:hanging="312"/>
        <w:spacing w:after="0"/>
        <w:tabs>
          <w:tab w:leader="none" w:pos="32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55"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39">
        <w:r>
          <w:rPr>
            <w:rFonts w:ascii="Arial" w:cs="Arial" w:eastAsia="Arial" w:hAnsi="Arial"/>
            <w:sz w:val="18"/>
            <w:szCs w:val="18"/>
            <w:color w:val="auto"/>
          </w:rPr>
          <w:t xml:space="preserve">operations and certain non-recurring expenditures. For a list of our material contractual commitments refer to </w:t>
        </w:r>
        <w:r>
          <w:rPr>
            <w:rFonts w:ascii="Arial" w:cs="Arial" w:eastAsia="Arial" w:hAnsi="Arial"/>
            <w:sz w:val="18"/>
            <w:szCs w:val="18"/>
            <w:u w:val="single" w:color="auto"/>
            <w:color w:val="0000FF"/>
          </w:rPr>
          <w:t>Note 11 - Commitments and Contingent</w:t>
        </w:r>
      </w:hyperlink>
      <w:r>
        <w:rPr>
          <w:rFonts w:ascii="Arial" w:cs="Arial" w:eastAsia="Arial" w:hAnsi="Arial"/>
          <w:sz w:val="18"/>
          <w:szCs w:val="18"/>
          <w:color w:val="auto"/>
        </w:rPr>
        <w:t xml:space="preserve"> </w:t>
      </w:r>
      <w:hyperlink w:anchor="page39">
        <w:r>
          <w:rPr>
            <w:rFonts w:ascii="Arial" w:cs="Arial" w:eastAsia="Arial" w:hAnsi="Arial"/>
            <w:sz w:val="18"/>
            <w:szCs w:val="18"/>
            <w:u w:val="single" w:color="auto"/>
            <w:color w:val="0000FF"/>
          </w:rPr>
          <w:t>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We currently have $6.9 billion of debt obligations outstanding, none of which are maturing in the next twelve months. For a summary of principal debt balances and their maturity dates and principal terms refer to </w:t>
      </w:r>
      <w:hyperlink w:anchor="page31">
        <w:r>
          <w:rPr>
            <w:rFonts w:ascii="Arial" w:cs="Arial" w:eastAsia="Arial" w:hAnsi="Arial"/>
            <w:sz w:val="18"/>
            <w:szCs w:val="18"/>
            <w:u w:val="single" w:color="auto"/>
            <w:color w:val="0000FF"/>
          </w:rPr>
          <w:t>Note 8 - Debt</w:t>
        </w:r>
      </w:hyperlink>
      <w:r>
        <w:rPr>
          <w:rFonts w:ascii="Arial" w:cs="Arial" w:eastAsia="Arial" w:hAnsi="Arial"/>
          <w:sz w:val="18"/>
          <w:szCs w:val="18"/>
          <w:color w:val="auto"/>
        </w:rPr>
        <w:t>, in the Notes to our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March 31,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6"/>
                <w:szCs w:val="16"/>
                <w:b w:val="1"/>
                <w:bCs w:val="1"/>
                <w:color w:val="auto"/>
              </w:rPr>
              <w:t>2024 and</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2020 (remaining)</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principal</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70"/>
        </w:trPr>
        <w:tc>
          <w:tcPr>
            <w:tcW w:w="3200" w:type="dxa"/>
            <w:vAlign w:val="bottom"/>
          </w:tcPr>
          <w:p>
            <w:pPr>
              <w:ind w:left="100"/>
              <w:spacing w:after="0"/>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750,000</w:t>
            </w:r>
          </w:p>
        </w:tc>
      </w:tr>
      <w:tr>
        <w:trPr>
          <w:trHeight w:val="270"/>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1,250,000</w:t>
            </w:r>
          </w:p>
        </w:tc>
      </w:tr>
      <w:tr>
        <w:trPr>
          <w:trHeight w:val="270"/>
        </w:trPr>
        <w:tc>
          <w:tcPr>
            <w:tcW w:w="3200" w:type="dxa"/>
            <w:vAlign w:val="bottom"/>
          </w:tcPr>
          <w:p>
            <w:pPr>
              <w:ind w:left="100"/>
              <w:spacing w:after="0"/>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750,000</w:t>
            </w:r>
          </w:p>
        </w:tc>
      </w:tr>
      <w:tr>
        <w:trPr>
          <w:trHeight w:val="270"/>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1,000,000</w:t>
            </w:r>
          </w:p>
        </w:tc>
      </w:tr>
      <w:tr>
        <w:trPr>
          <w:trHeight w:val="270"/>
        </w:trPr>
        <w:tc>
          <w:tcPr>
            <w:tcW w:w="3200" w:type="dxa"/>
            <w:vAlign w:val="bottom"/>
          </w:tcPr>
          <w:p>
            <w:pPr>
              <w:ind w:left="100"/>
              <w:spacing w:after="0"/>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1,000,000</w:t>
            </w:r>
          </w:p>
        </w:tc>
      </w:tr>
      <w:tr>
        <w:trPr>
          <w:trHeight w:val="270"/>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2,068,000</w:t>
            </w:r>
          </w:p>
        </w:tc>
      </w:tr>
      <w:tr>
        <w:trPr>
          <w:trHeight w:val="270"/>
        </w:trPr>
        <w:tc>
          <w:tcPr>
            <w:tcW w:w="3200" w:type="dxa"/>
            <w:vAlign w:val="bottom"/>
          </w:tcPr>
          <w:p>
            <w:pPr>
              <w:ind w:left="10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3"/>
                <w:szCs w:val="23"/>
                <w:color w:val="auto"/>
                <w:vertAlign w:val="superscript"/>
              </w:rPr>
              <w:t>(3)</w:t>
            </w:r>
          </w:p>
        </w:tc>
        <w:tc>
          <w:tcPr>
            <w:tcW w:w="24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1,992,323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224,573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286,757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286,207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268,683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926,103</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debt contractual obligations</w:t>
            </w:r>
          </w:p>
        </w:tc>
        <w:tc>
          <w:tcPr>
            <w:tcW w:w="24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8,842,323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224,573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286,757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296,207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290,683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7,744,103</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Leases and contracts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Operating lease for Cascata Golf Course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20,434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16,894</w:t>
            </w:r>
          </w:p>
        </w:tc>
      </w:tr>
      <w:tr>
        <w:trPr>
          <w:trHeight w:val="229"/>
        </w:trPr>
        <w:tc>
          <w:tcPr>
            <w:tcW w:w="3200" w:type="dxa"/>
            <w:vAlign w:val="bottom"/>
          </w:tcPr>
          <w:p>
            <w:pPr>
              <w:ind w:left="100"/>
              <w:spacing w:after="0"/>
              <w:rPr>
                <w:sz w:val="20"/>
                <w:szCs w:val="20"/>
                <w:color w:val="auto"/>
              </w:rPr>
            </w:pPr>
            <w:r>
              <w:rPr>
                <w:rFonts w:ascii="Arial" w:cs="Arial" w:eastAsia="Arial" w:hAnsi="Arial"/>
                <w:sz w:val="18"/>
                <w:szCs w:val="18"/>
                <w:color w:val="auto"/>
                <w:w w:val="95"/>
              </w:rPr>
              <w:t>Golf maintenance contract for Rio Secco</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00"/>
              <w:spacing w:after="0"/>
              <w:rPr>
                <w:sz w:val="20"/>
                <w:szCs w:val="20"/>
                <w:color w:val="auto"/>
              </w:rPr>
            </w:pPr>
            <w:r>
              <w:rPr>
                <w:rFonts w:ascii="Arial" w:cs="Arial" w:eastAsia="Arial" w:hAnsi="Arial"/>
                <w:sz w:val="18"/>
                <w:szCs w:val="18"/>
                <w:color w:val="auto"/>
              </w:rPr>
              <w:t>and Cascata Golf Course</w:t>
            </w:r>
          </w:p>
        </w:tc>
        <w:tc>
          <w:tcPr>
            <w:tcW w:w="24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12,263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Office leases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9,009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5,935</w:t>
            </w: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Total leases and contract obligations</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41,706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5,097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22,829</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3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r>
      <w:tr>
        <w:trPr>
          <w:trHeight w:val="264"/>
        </w:trPr>
        <w:tc>
          <w:tcPr>
            <w:tcW w:w="3200" w:type="dxa"/>
            <w:vAlign w:val="bottom"/>
          </w:tcPr>
          <w:p>
            <w:pPr>
              <w:ind w:left="20"/>
              <w:spacing w:after="0"/>
              <w:rPr>
                <w:sz w:val="20"/>
                <w:szCs w:val="20"/>
                <w:color w:val="auto"/>
              </w:rPr>
            </w:pPr>
            <w:r>
              <w:rPr>
                <w:rFonts w:ascii="Arial" w:cs="Arial" w:eastAsia="Arial" w:hAnsi="Arial"/>
                <w:sz w:val="18"/>
                <w:szCs w:val="18"/>
                <w:color w:val="auto"/>
              </w:rPr>
              <w:t>Total Contractual Commitments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8,884,029</w:t>
            </w:r>
          </w:p>
        </w:tc>
        <w:tc>
          <w:tcPr>
            <w:tcW w:w="120" w:type="dxa"/>
            <w:vAlign w:val="bottom"/>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228,215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291,817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301,285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295,780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7,766,932</w:t>
            </w: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w:t>
      </w:r>
    </w:p>
    <w:p>
      <w:pPr>
        <w:spacing w:after="0" w:line="2"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jc w:val="both"/>
        <w:ind w:firstLine="8"/>
        <w:spacing w:after="0" w:line="241" w:lineRule="auto"/>
        <w:tabs>
          <w:tab w:leader="none" w:pos="204"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 The Term Loan B Facility will mature on December 22, 2024 or the date that is three months prior to the maturity of the Second Lien Notes, whichever is earlier (or if the maturity is extended pursuant to the terms of the agreement, such extended maturity date as determined pursuant thereto).</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Revolving Credit Facility will mature on May 15, 2024.</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interest payments on variable interest loans are based on a LIBOR rate as of March 31, 2020.</w:t>
      </w:r>
    </w:p>
    <w:p>
      <w:pPr>
        <w:spacing w:after="0" w:line="15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Eldorado has publicly disclosed that it expects the Eldorado/Caesars Merger to be completed in the first half of 2020, and we expect the Eldorado Transaction to close concurrently. We expect to fund the purchase with a mix of cash on hand, the physical settlement of our Forward Sale Agreements and a portion of the proceeds that we raised from our February 2020 Senior Unsecured Notes offering which are currently being held in escrow. In the event we are unable to settle all or a portion of sales under the Forward Sale Agreements we intend to use the capacity under the Bridge Facilities and/or Revolving Credit Facility in lieu of such financing. We anticipate funding future transactions with a mix of debt, equity and available cash.</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restricted cash, short-term investments, cash received under our Lease Agreements, borrowings from banks, including undrawn capacity under our Revolving Credit Facility and Bridge Facilities, and proceeds from the issuance of debt and equity securities (including issuances under our Forward Sale Agreements and our ATM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Lease Agreements call for an initial term of fifteen years with four, five-year tenant renewal options and are designed to provide us with a reliable and predictable long-term revenue stream. However, the COVID-19 pandemic has adversely impacted our tenants and their financial condition as all of their properties are currently closed. In the event our tenants are unable to make all of their contractual rent payments as provided by the Lease Agreements, we believe we have sufficient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liquidity from the other sources discussed above to meet all of our contractual obligations for a significant period of time. Additionally, we do not have any </w:t>
      </w:r>
      <w:hyperlink r:id="rId18">
        <w:r>
          <w:rPr>
            <w:rFonts w:ascii="Arial" w:cs="Arial" w:eastAsia="Arial" w:hAnsi="Arial"/>
            <w:sz w:val="18"/>
            <w:szCs w:val="18"/>
            <w:color w:val="auto"/>
          </w:rPr>
          <w:t xml:space="preserve">debt maturities until 2024. For more information, refer to the risk factors set forth in </w:t>
        </w:r>
      </w:hyperlink>
      <w:hyperlink w:anchor="page67">
        <w:r>
          <w:rPr>
            <w:rFonts w:ascii="Arial" w:cs="Arial" w:eastAsia="Arial" w:hAnsi="Arial"/>
            <w:sz w:val="18"/>
            <w:szCs w:val="18"/>
            <w:u w:val="single" w:color="auto"/>
            <w:color w:val="0000FF"/>
          </w:rPr>
          <w:t>Part II. Item 1A. Risk Factors</w:t>
        </w:r>
        <w:r>
          <w:rPr>
            <w:rFonts w:ascii="Arial" w:cs="Arial" w:eastAsia="Arial" w:hAnsi="Arial"/>
            <w:sz w:val="18"/>
            <w:szCs w:val="18"/>
            <w:u w:val="single" w:color="auto"/>
            <w:color w:val="auto"/>
          </w:rPr>
          <w:t xml:space="preserve"> herein and in our </w:t>
        </w:r>
        <w:r>
          <w:rPr>
            <w:rFonts w:ascii="Arial" w:cs="Arial" w:eastAsia="Arial" w:hAnsi="Arial"/>
            <w:sz w:val="18"/>
            <w:szCs w:val="18"/>
            <w:u w:val="single" w:color="auto"/>
            <w:color w:val="0000FF"/>
          </w:rPr>
          <w:t>Annual Report on</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Form 10-K for the year ended December 31, 2019</w:t>
        </w:r>
        <w:r>
          <w:rPr>
            <w:rFonts w:ascii="Arial" w:cs="Arial" w:eastAsia="Arial" w:hAnsi="Arial"/>
            <w:sz w:val="18"/>
            <w:szCs w:val="18"/>
            <w:color w:val="000000"/>
          </w:rPr>
          <w:t>.</w:t>
        </w:r>
      </w:hyperlink>
    </w:p>
    <w:p>
      <w:pPr>
        <w:spacing w:after="0" w:line="130" w:lineRule="exact"/>
        <w:rPr>
          <w:rFonts w:ascii="Arial" w:cs="Arial" w:eastAsia="Arial" w:hAnsi="Arial"/>
          <w:sz w:val="18"/>
          <w:szCs w:val="18"/>
          <w:color w:val="auto"/>
        </w:rPr>
      </w:pPr>
    </w:p>
    <w:p>
      <w:pPr>
        <w:jc w:val="both"/>
        <w:spacing w:after="0" w:line="270" w:lineRule="auto"/>
        <w:rPr>
          <w:sz w:val="20"/>
          <w:szCs w:val="20"/>
          <w:color w:val="auto"/>
        </w:rPr>
      </w:pPr>
      <w:r>
        <w:rPr>
          <w:rFonts w:ascii="Arial" w:cs="Arial" w:eastAsia="Arial" w:hAnsi="Arial"/>
          <w:sz w:val="17"/>
          <w:szCs w:val="17"/>
          <w:color w:val="auto"/>
        </w:rPr>
        <w:t>Our cash flows from operations and our ability to access capital resources could be adversely affected due to uncertain economic factors and volatility in the financial and credit markets, including the current conditions created by the COVID-19 pandemic which has severely and adversely impacted global, national and regional economic activity and has contributed to significant volatility and negative pressure in financial markets. In particular, we can provide no assurances that our tenants will not default on their leases or fail to make full rental payments if their businesses become challenged due to, among other things, current or future adverse economic conditions. In addition, such tenant default or failure to make full rental payments could impact our operating performance and result in us not satisfying the financial covenants applicable to our outstanding indebtedness, which could result in us not being able to incur additional debt, including the available capacity under our Revolving Credit Facility, or result in a default. Further, future or current economic conditions could impact our tenants’ ability to meet capital improvement requirements or other obligations required in our Lease Agreements that could result in a decrease in value of our properties.</w:t>
      </w:r>
    </w:p>
    <w:p>
      <w:pPr>
        <w:spacing w:after="0" w:line="127" w:lineRule="exact"/>
        <w:rPr>
          <w:rFonts w:ascii="Arial" w:cs="Arial" w:eastAsia="Arial" w:hAnsi="Arial"/>
          <w:sz w:val="18"/>
          <w:szCs w:val="18"/>
          <w:color w:val="auto"/>
        </w:rPr>
      </w:pPr>
    </w:p>
    <w:p>
      <w:pPr>
        <w:jc w:val="both"/>
        <w:spacing w:after="0" w:line="254"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 For example, the recent decline in our stock price has decreased the likelihood that we will use our ATM Program in the near term. In addition, volatility in the debt capital markets and potential liquidity challenges in the banking sector resulting from the COVID-19 pandemic have increased risks related to the pricing and availability of debt financing.</w:t>
      </w:r>
    </w:p>
    <w:p>
      <w:pPr>
        <w:spacing w:after="0" w:line="18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The table below summarizes our cash flows for the three months ended March 31, 2020 and 2019:</w:t>
      </w:r>
    </w:p>
    <w:p>
      <w:pPr>
        <w:spacing w:after="0" w:line="226"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8"/>
                <w:szCs w:val="18"/>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ind w:right="471"/>
              <w:spacing w:after="0"/>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74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137,446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115,642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21,804</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(839,579)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(738,419)</w:t>
            </w:r>
          </w:p>
        </w:tc>
      </w:tr>
      <w:tr>
        <w:trPr>
          <w:trHeight w:val="243"/>
        </w:trPr>
        <w:tc>
          <w:tcPr>
            <w:tcW w:w="20" w:type="dxa"/>
            <w:vAlign w:val="bottom"/>
          </w:tcPr>
          <w:p>
            <w:pPr>
              <w:spacing w:after="0"/>
              <w:rPr>
                <w:sz w:val="21"/>
                <w:szCs w:val="21"/>
                <w:color w:val="auto"/>
              </w:rPr>
            </w:pPr>
          </w:p>
        </w:tc>
        <w:tc>
          <w:tcPr>
            <w:tcW w:w="5740" w:type="dxa"/>
            <w:vAlign w:val="bottom"/>
            <w:gridSpan w:val="2"/>
          </w:tcPr>
          <w:p>
            <w:pPr>
              <w:ind w:left="100"/>
              <w:spacing w:after="0"/>
              <w:rPr>
                <w:sz w:val="20"/>
                <w:szCs w:val="20"/>
                <w:color w:val="auto"/>
              </w:rPr>
            </w:pPr>
            <w:r>
              <w:rPr>
                <w:rFonts w:ascii="Arial" w:cs="Arial" w:eastAsia="Arial" w:hAnsi="Arial"/>
                <w:sz w:val="18"/>
                <w:szCs w:val="18"/>
                <w:color w:val="auto"/>
              </w:rPr>
              <w:t>Provided by financing activities</w:t>
            </w:r>
          </w:p>
        </w:tc>
        <w:tc>
          <w:tcPr>
            <w:tcW w:w="4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1,971,324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9,713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1,961,611</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1,269,191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1,244,996</w:t>
            </w:r>
          </w:p>
        </w:tc>
      </w:tr>
      <w:tr>
        <w:trPr>
          <w:trHeight w:val="243"/>
        </w:trPr>
        <w:tc>
          <w:tcPr>
            <w:tcW w:w="20" w:type="dxa"/>
            <w:vAlign w:val="bottom"/>
          </w:tcPr>
          <w:p>
            <w:pPr>
              <w:spacing w:after="0"/>
              <w:rPr>
                <w:sz w:val="21"/>
                <w:szCs w:val="21"/>
                <w:color w:val="auto"/>
              </w:rPr>
            </w:pPr>
          </w:p>
        </w:tc>
        <w:tc>
          <w:tcPr>
            <w:tcW w:w="5740" w:type="dxa"/>
            <w:vAlign w:val="bottom"/>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1,101,893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598,447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503,446</w:t>
            </w:r>
          </w:p>
        </w:tc>
      </w:tr>
      <w:tr>
        <w:trPr>
          <w:trHeight w:val="27"/>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7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2,371,084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622,642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1,748,442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rFonts w:ascii="Arial" w:cs="Arial" w:eastAsia="Arial" w:hAnsi="Arial"/>
          <w:sz w:val="18"/>
          <w:szCs w:val="18"/>
          <w:color w:val="auto"/>
        </w:rPr>
      </w:pPr>
    </w:p>
    <w:p>
      <w:pPr>
        <w:jc w:val="both"/>
        <w:spacing w:after="0" w:line="279" w:lineRule="auto"/>
        <w:rPr>
          <w:sz w:val="20"/>
          <w:szCs w:val="20"/>
          <w:color w:val="auto"/>
        </w:rPr>
      </w:pPr>
      <w:r>
        <w:rPr>
          <w:rFonts w:ascii="Arial" w:cs="Arial" w:eastAsia="Arial" w:hAnsi="Arial"/>
          <w:sz w:val="17"/>
          <w:szCs w:val="17"/>
          <w:color w:val="auto"/>
        </w:rPr>
        <w:t>Net cash provided by operating activities increased $21.8 million for the three months ended March 31, 2020 compared with the three months ended March 31, 2019. The increase is primarily driven by an increase in cash rental payments from the addition of Greektown, Hard Rock Cincinnati, the Century Portfolio and JACK Cleveland/Thistledown to our real estate portfolio in May 2019, September 2019, December 2019 and January 2020, respectively, partially offset by a decrease due to the prepayment of certain rent in December 2019 related to January 2020.</w:t>
      </w:r>
    </w:p>
    <w:p>
      <w:pPr>
        <w:spacing w:after="0" w:line="11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rFonts w:ascii="Arial" w:cs="Arial" w:eastAsia="Arial" w:hAnsi="Arial"/>
          <w:sz w:val="18"/>
          <w:szCs w:val="18"/>
          <w:color w:val="auto"/>
        </w:rPr>
      </w:pPr>
    </w:p>
    <w:p>
      <w:pPr>
        <w:jc w:val="both"/>
        <w:spacing w:after="0" w:line="275" w:lineRule="auto"/>
        <w:rPr>
          <w:sz w:val="20"/>
          <w:szCs w:val="20"/>
          <w:color w:val="auto"/>
        </w:rPr>
      </w:pPr>
      <w:r>
        <w:rPr>
          <w:rFonts w:ascii="Arial" w:cs="Arial" w:eastAsia="Arial" w:hAnsi="Arial"/>
          <w:sz w:val="17"/>
          <w:szCs w:val="17"/>
          <w:color w:val="auto"/>
        </w:rPr>
        <w:t>Net cash used in investing activities increased $738.4 million for the three months ended March 31, 2020 compared with the three months ended March 31, 2019. The increase is primarily driven by the JACK Cleveland/Thistledown Acquisition and ROV Loan for a total of $897.4 million, including acquisition costs, during the three months ended March 31, 2020 compared with the Margaritaville Acquisition for $264.5 million, including acquisition costs, during the three months ended March 31, 2019. This increase was partially offset by a decrease in net maturities of short-term investments of $104.5 million during the three months ended March 31, 2020 as compared to the three months ended March 31, 2019.</w:t>
      </w: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financing activities increased $1,961.6 million for the three months ended March 31, 2020 compared with the three months ended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2020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proceeds from the sale of an aggregate of $199.9 million of our common stock from our at-the-market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plus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payments of $137.1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issuance costs of $51.7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Distributions of $2.0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proceeds from the sale of an aggregate of $128.1 million of our common stock under our at-the-market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Dividend payments of $116.3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Distributions of $2.0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ind w:right="20"/>
        <w:spacing w:after="0" w:line="308" w:lineRule="auto"/>
        <w:rPr>
          <w:rFonts w:ascii="Arial" w:cs="Arial" w:eastAsia="Arial" w:hAnsi="Arial"/>
          <w:sz w:val="17"/>
          <w:szCs w:val="17"/>
          <w:color w:val="0000FF"/>
        </w:rPr>
      </w:pPr>
      <w:hyperlink w:anchor="page22">
        <w:r>
          <w:rPr>
            <w:rFonts w:ascii="Arial" w:cs="Arial" w:eastAsia="Arial" w:hAnsi="Arial"/>
            <w:sz w:val="17"/>
            <w:szCs w:val="17"/>
            <w:color w:val="auto"/>
          </w:rPr>
          <w:t xml:space="preserve">As described in our leases, capital expenditures for properties under our Lease Agreements are the responsibility our tenants. Refer to </w:t>
        </w:r>
        <w:r>
          <w:rPr>
            <w:rFonts w:ascii="Arial" w:cs="Arial" w:eastAsia="Arial" w:hAnsi="Arial"/>
            <w:sz w:val="17"/>
            <w:szCs w:val="17"/>
            <w:u w:val="single" w:color="auto"/>
            <w:color w:val="0000FF"/>
          </w:rPr>
          <w:t>Note 5 - Real Estate</w:t>
        </w:r>
      </w:hyperlink>
      <w:r>
        <w:rPr>
          <w:rFonts w:ascii="Arial" w:cs="Arial" w:eastAsia="Arial" w:hAnsi="Arial"/>
          <w:sz w:val="17"/>
          <w:szCs w:val="17"/>
          <w:color w:val="auto"/>
        </w:rPr>
        <w:t xml:space="preserve"> </w:t>
      </w:r>
      <w:hyperlink w:anchor="page22">
        <w:r>
          <w:rPr>
            <w:rFonts w:ascii="Arial" w:cs="Arial" w:eastAsia="Arial" w:hAnsi="Arial"/>
            <w:sz w:val="17"/>
            <w:szCs w:val="17"/>
            <w:u w:val="single" w:color="auto"/>
            <w:color w:val="0000FF"/>
          </w:rPr>
          <w:t>Portfolio</w:t>
        </w:r>
        <w:r>
          <w:rPr>
            <w:rFonts w:ascii="Arial" w:cs="Arial" w:eastAsia="Arial" w:hAnsi="Arial"/>
            <w:sz w:val="17"/>
            <w:szCs w:val="17"/>
            <w:color w:val="0000FF"/>
          </w:rPr>
          <w:t xml:space="preserve"> </w:t>
        </w:r>
        <w:r>
          <w:rPr>
            <w:rFonts w:ascii="Arial" w:cs="Arial" w:eastAsia="Arial" w:hAnsi="Arial"/>
            <w:sz w:val="17"/>
            <w:szCs w:val="17"/>
            <w:color w:val="000000"/>
          </w:rPr>
          <w:t>in the Notes to our Financial Statements for further information of the obligations of our tenants under the Lease Agreements.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2020</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2020, the Issuers issued (i) $750.0 million in aggregate principal amount of 2025 Notes, (ii) $750.0 million in aggregate principal amount of 2027 Notes and (iii) $1.0 billion in aggregate principal amount of 2030 Notes. We placed $2.0 billion of the net proceeds of the offering into escrow pending the consummation of the Eldorado Transaction. On February 20, 2020, we used the remaining net proceeds from the 2025 Notes, together with cash on hand, to redeem in full the outstanding $498.5 million in aggregate principal amount of the Second Lien Notes plus the Second Lien Notes Applicable Premium, for a total redemption cost of approximately $537.5 million. The 2025 Notes will mature on February 15, 2025, the 2027 Notes will mature on February 15, 2027 and the 2030 Notes will mature on August 15, 2030. Interest on the 2025 Notes will accrue at a rate of 3.500% per annum, interest on the 2027 Notes will accrue at a rate of 3.750% per annum and interest on the 2030 Notes will accrue at a rate of 4.125% per annum. Interest on the February 2020 Unsecured Notes will be payable semi-annually in cash in arrears on February 15 and August 15 of each year, commencing on August 15, 2020.</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24, 2020, VICI PropCo entered into Amendment No. 1 to the Amended and Restated Credit Agreement, which, among other things, reduced the interest rate on the Term Loan B Facility from LIBOR plus 2.00% to LIBOR plus 1.75%.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2020, we were in compliance with all debt-related covenants.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subsidiaries of the Operating Partnership that do not guarantee the Senior Unsecured Notes accounted for: (i) 4.5% of the Operating Partnership’s revenue (or 4.4% of our consolidated revenue) for the three months ended March 31, 2020 and (ii) 6.1% of the Operating Partnership’s total assets (or 6.0% of our consolidated total assets) as of March 31, 2020.</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three months ended March 31, 2020 and 2019 were as follows: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37465</wp:posOffset>
            </wp:positionV>
            <wp:extent cx="71151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495"/>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2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March 12, 2020</w:t>
            </w:r>
          </w:p>
        </w:tc>
        <w:tc>
          <w:tcPr>
            <w:tcW w:w="2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31, 2020</w:t>
            </w:r>
          </w:p>
        </w:tc>
        <w:tc>
          <w:tcPr>
            <w:tcW w:w="19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April 9, 2020</w:t>
            </w:r>
          </w:p>
        </w:tc>
        <w:tc>
          <w:tcPr>
            <w:tcW w:w="3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January 1, 2020 - March 31, 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0.2975</w:t>
            </w:r>
          </w:p>
        </w:tc>
      </w:tr>
      <w:tr>
        <w:trPr>
          <w:trHeight w:val="49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4"/>
          </w:tcPr>
          <w:p>
            <w:pPr>
              <w:ind w:left="320"/>
              <w:spacing w:after="0"/>
              <w:rPr>
                <w:sz w:val="20"/>
                <w:szCs w:val="20"/>
                <w:color w:val="auto"/>
              </w:rPr>
            </w:pPr>
            <w:r>
              <w:rPr>
                <w:rFonts w:ascii="Arial" w:cs="Arial" w:eastAsia="Arial" w:hAnsi="Arial"/>
                <w:sz w:val="16"/>
                <w:szCs w:val="16"/>
                <w:b w:val="1"/>
                <w:bCs w:val="1"/>
                <w:color w:val="auto"/>
              </w:rPr>
              <w:t>Three Months Ended March 31, 2019</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00" w:type="dxa"/>
            <w:vAlign w:val="bottom"/>
            <w:tcBorders>
              <w:bottom w:val="single" w:sz="8" w:color="auto"/>
            </w:tcBorders>
            <w:gridSpan w:val="2"/>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2000" w:type="dxa"/>
            <w:vAlign w:val="bottom"/>
            <w:gridSpan w:val="2"/>
          </w:tcPr>
          <w:p>
            <w:pPr>
              <w:ind w:left="360"/>
              <w:spacing w:after="0"/>
              <w:rPr>
                <w:sz w:val="20"/>
                <w:szCs w:val="20"/>
                <w:color w:val="auto"/>
              </w:rPr>
            </w:pPr>
            <w:r>
              <w:rPr>
                <w:rFonts w:ascii="Arial" w:cs="Arial" w:eastAsia="Arial" w:hAnsi="Arial"/>
                <w:sz w:val="16"/>
                <w:szCs w:val="16"/>
                <w:b w:val="1"/>
                <w:bCs w:val="1"/>
                <w:color w:val="auto"/>
              </w:rPr>
              <w:t>Declaration Date</w:t>
            </w: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18"/>
                <w:szCs w:val="18"/>
                <w:color w:val="auto"/>
              </w:rPr>
            </w:pPr>
          </w:p>
        </w:tc>
        <w:tc>
          <w:tcPr>
            <w:tcW w:w="1460" w:type="dxa"/>
            <w:vAlign w:val="bottom"/>
          </w:tcPr>
          <w:p>
            <w:pPr>
              <w:jc w:val="right"/>
              <w:ind w:right="495"/>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March 14, 2019</w:t>
            </w:r>
          </w:p>
        </w:tc>
        <w:tc>
          <w:tcPr>
            <w:tcW w:w="2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29, 2019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April 11, 2019</w:t>
            </w:r>
          </w:p>
        </w:tc>
        <w:tc>
          <w:tcPr>
            <w:tcW w:w="3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January 1, 2019 - March 31,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0.2875</w:t>
            </w:r>
          </w:p>
        </w:tc>
      </w:tr>
      <w:tr>
        <w:trPr>
          <w:trHeight w:val="27"/>
        </w:trPr>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63" w:lineRule="auto"/>
        <w:rPr>
          <w:rFonts w:ascii="Arial" w:cs="Arial" w:eastAsia="Arial" w:hAnsi="Arial"/>
          <w:sz w:val="18"/>
          <w:szCs w:val="18"/>
          <w:color w:val="0000FF"/>
        </w:rPr>
      </w:pPr>
      <w:hyperlink r:id="rId18">
        <w:r>
          <w:rPr>
            <w:rFonts w:ascii="Arial" w:cs="Arial" w:eastAsia="Arial" w:hAnsi="Arial"/>
            <w:sz w:val="18"/>
            <w:szCs w:val="18"/>
            <w:color w:val="auto"/>
          </w:rPr>
          <w:t xml:space="preserve">A complete discussion of our critical accounting policies and estimates is included in our </w:t>
        </w:r>
        <w:r>
          <w:rPr>
            <w:rFonts w:ascii="Arial" w:cs="Arial" w:eastAsia="Arial" w:hAnsi="Arial"/>
            <w:sz w:val="18"/>
            <w:szCs w:val="18"/>
            <w:u w:val="single" w:color="auto"/>
            <w:color w:val="0000FF"/>
          </w:rPr>
          <w:t>Annual Report on Form 10-K for the year ended December 31,</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2019</w:t>
        </w:r>
        <w:r>
          <w:rPr>
            <w:rFonts w:ascii="Arial" w:cs="Arial" w:eastAsia="Arial" w:hAnsi="Arial"/>
            <w:sz w:val="18"/>
            <w:szCs w:val="18"/>
            <w:color w:val="000000"/>
          </w:rPr>
          <w:t>. On January 1, 2020 we adopted</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ASU</w:t>
        </w:r>
        <w:r>
          <w:rPr>
            <w:rFonts w:ascii="Arial" w:cs="Arial" w:eastAsia="Arial" w:hAnsi="Arial"/>
            <w:sz w:val="18"/>
            <w:szCs w:val="18"/>
            <w:color w:val="0000FF"/>
          </w:rPr>
          <w:t xml:space="preserve"> </w:t>
        </w:r>
        <w:r>
          <w:rPr>
            <w:rFonts w:ascii="Arial" w:cs="Arial" w:eastAsia="Arial" w:hAnsi="Arial"/>
            <w:sz w:val="18"/>
            <w:szCs w:val="18"/>
            <w:color w:val="000000"/>
          </w:rPr>
          <w:t>No. 2016-13 -</w:t>
        </w:r>
        <w:r>
          <w:rPr>
            <w:rFonts w:ascii="Arial" w:cs="Arial" w:eastAsia="Arial" w:hAnsi="Arial"/>
            <w:sz w:val="18"/>
            <w:szCs w:val="18"/>
            <w:color w:val="0000FF"/>
          </w:rPr>
          <w:t xml:space="preserve"> </w:t>
        </w:r>
        <w:r>
          <w:rPr>
            <w:rFonts w:ascii="Arial" w:cs="Arial" w:eastAsia="Arial" w:hAnsi="Arial"/>
            <w:sz w:val="18"/>
            <w:szCs w:val="18"/>
            <w:i w:val="1"/>
            <w:iCs w:val="1"/>
            <w:color w:val="000000"/>
          </w:rPr>
          <w:t>Financial Instruments-Credit Losses (Topic 326)</w:t>
        </w:r>
        <w:r>
          <w:rPr>
            <w:rFonts w:ascii="Arial" w:cs="Arial" w:eastAsia="Arial" w:hAnsi="Arial"/>
            <w:sz w:val="18"/>
            <w:szCs w:val="18"/>
            <w:color w:val="000000"/>
          </w:rPr>
          <w:t>, resulting in a significant change in our</w:t>
        </w:r>
      </w:hyperlink>
      <w:r>
        <w:rPr>
          <w:rFonts w:ascii="Arial" w:cs="Arial" w:eastAsia="Arial" w:hAnsi="Arial"/>
          <w:sz w:val="18"/>
          <w:szCs w:val="18"/>
          <w:color w:val="0000FF"/>
        </w:rPr>
        <w:t xml:space="preserve"> </w:t>
      </w:r>
      <w:r>
        <w:rPr>
          <w:rFonts w:ascii="Arial" w:cs="Arial" w:eastAsia="Arial" w:hAnsi="Arial"/>
          <w:sz w:val="18"/>
          <w:szCs w:val="18"/>
          <w:color w:val="000000"/>
        </w:rPr>
        <w:t>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current quarter, we adopted ASC 326 - “Credit Losses” (“ASC 326”) which requires that we measure and record current expected credit losses (“CECL”) for the majority of our investments, the scope of which includes our investments in leases - direct financing and sales-type, investment in leases - financing receivables and investments in loans.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elected to use a discounted cash flow model to estimate the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cash flows.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tenants and their parent guarantors over the life of each individual lease or financial asset. We have engaged a nationally recognized data analytics firm to assist us with estimating both the PD and LGD of our tenants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applied to a projection of economic conditions over a two-year term. The PD and LGD for the Long-term Period are estimated using the average historical default rates and historical loss rates, respectively, of public</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over the past 35 years that have similar credit profiles or characteristics to our tenants and their parent guarantors. We were unable to use our historical data to estimate losses as we have no loss history to date.</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CECL allowance is recorded as a reduction to our net investments in leases - direct financing and sales 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in the Statement of Operations for the relevant period.</w:t>
      </w:r>
    </w:p>
    <w:p>
      <w:pPr>
        <w:spacing w:after="0" w:line="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Write-offs are deducted from the allowance in the period in which they are deemed uncollectible. Recoveries previously written off are recorded when received. For the three months ended March 31, 2020 there were no write-offs or recoveries.</w:t>
      </w:r>
    </w:p>
    <w:p>
      <w:pPr>
        <w:spacing w:after="0" w:line="6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28">
        <w:r>
          <w:rPr>
            <w:rFonts w:ascii="Arial" w:cs="Arial" w:eastAsia="Arial" w:hAnsi="Arial"/>
            <w:sz w:val="18"/>
            <w:szCs w:val="18"/>
            <w:u w:val="single" w:color="auto"/>
            <w:color w:val="0000FF"/>
          </w:rPr>
          <w:t>Note 6 -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we had $6.9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had entered into interest rate swap agreements that hedge $2.0 billion of our variable rate debt. Accordingly, we have approximately $100.0 million in variable rate debt that is not hedged. A one percent increase or decrease in the interest rate on our variable-rate borrowings that are not hedged would increase or decrease our annual cash interest expense by approximately $1.0 million.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9" w:lineRule="auto"/>
        <w:rPr>
          <w:rFonts w:ascii="Arial" w:cs="Arial" w:eastAsia="Arial" w:hAnsi="Arial"/>
          <w:sz w:val="16"/>
          <w:szCs w:val="16"/>
          <w:color w:val="0000FF"/>
        </w:rPr>
      </w:pPr>
      <w:r>
        <w:rPr>
          <w:rFonts w:ascii="Arial" w:cs="Arial" w:eastAsia="Arial" w:hAnsi="Arial"/>
          <w:sz w:val="16"/>
          <w:szCs w:val="16"/>
          <w:color w:val="auto"/>
        </w:rPr>
        <w:t xml:space="preserve">During the three months ended March 31, 2020 we implemented certain internal controls in connection with our adoption of ASC 326 - “Credit Losses”. The controls have been designed to mitigate risks associated with determining the appropriate level of allowance for credit losses for all financial assets subject to the new accounting standard. The additional controls over financial reporting included implementing a system that allows us to calculate the allowances for credit losses for our investments in direct financing and sales-type leases, financing receivables and similar assets, as well as to provide additional required disclosures. We also created a governance process to review qualitative and quantitative factors, as well as market conditions, that could </w:t>
      </w:r>
      <w:hyperlink w:anchor="page10">
        <w:r>
          <w:rPr>
            <w:rFonts w:ascii="Arial" w:cs="Arial" w:eastAsia="Arial" w:hAnsi="Arial"/>
            <w:sz w:val="16"/>
            <w:szCs w:val="16"/>
            <w:color w:val="auto"/>
          </w:rPr>
          <w:t xml:space="preserve">affect the amount of the allowance for credit losses. For more information on the impact of the new standard on us, see </w:t>
        </w:r>
        <w:r>
          <w:rPr>
            <w:rFonts w:ascii="Arial" w:cs="Arial" w:eastAsia="Arial" w:hAnsi="Arial"/>
            <w:sz w:val="16"/>
            <w:szCs w:val="16"/>
            <w:u w:val="single" w:color="auto"/>
            <w:color w:val="0000FF"/>
          </w:rPr>
          <w:t>Note 2 — Summary of Significant</w:t>
        </w:r>
      </w:hyperlink>
      <w:r>
        <w:rPr>
          <w:rFonts w:ascii="Arial" w:cs="Arial" w:eastAsia="Arial" w:hAnsi="Arial"/>
          <w:sz w:val="16"/>
          <w:szCs w:val="16"/>
          <w:color w:val="auto"/>
        </w:rPr>
        <w:t xml:space="preserve"> </w:t>
      </w:r>
      <w:hyperlink w:anchor="page10">
        <w:r>
          <w:rPr>
            <w:rFonts w:ascii="Arial" w:cs="Arial" w:eastAsia="Arial" w:hAnsi="Arial"/>
            <w:sz w:val="16"/>
            <w:szCs w:val="16"/>
            <w:u w:val="single" w:color="auto"/>
            <w:color w:val="0000FF"/>
          </w:rPr>
          <w:t>Accounting Policies</w:t>
        </w:r>
        <w:r>
          <w:rPr>
            <w:rFonts w:ascii="Arial" w:cs="Arial" w:eastAsia="Arial" w:hAnsi="Arial"/>
            <w:sz w:val="16"/>
            <w:szCs w:val="16"/>
            <w:color w:val="000000"/>
          </w:rPr>
          <w:t>,</w:t>
        </w:r>
        <w:r>
          <w:rPr>
            <w:rFonts w:ascii="Arial" w:cs="Arial" w:eastAsia="Arial" w:hAnsi="Arial"/>
            <w:sz w:val="16"/>
            <w:szCs w:val="16"/>
            <w:color w:val="0000FF"/>
          </w:rPr>
          <w:t xml:space="preserve"> </w:t>
        </w:r>
      </w:hyperlink>
      <w:hyperlink w:anchor="page15">
        <w:r>
          <w:rPr>
            <w:rFonts w:ascii="Arial" w:cs="Arial" w:eastAsia="Arial" w:hAnsi="Arial"/>
            <w:sz w:val="16"/>
            <w:szCs w:val="16"/>
            <w:u w:val="single" w:color="auto"/>
            <w:color w:val="0000FF"/>
          </w:rPr>
          <w:t xml:space="preserve">Note 3 – Recently Issued Accounting Pronouncements </w:t>
        </w:r>
      </w:hyperlink>
      <w:hyperlink w:anchor="page10">
        <w:r>
          <w:rPr>
            <w:rFonts w:ascii="Arial" w:cs="Arial" w:eastAsia="Arial" w:hAnsi="Arial"/>
            <w:sz w:val="16"/>
            <w:szCs w:val="16"/>
            <w:color w:val="000000"/>
          </w:rPr>
          <w:t>and</w:t>
        </w:r>
        <w:r>
          <w:rPr>
            <w:rFonts w:ascii="Arial" w:cs="Arial" w:eastAsia="Arial" w:hAnsi="Arial"/>
            <w:sz w:val="16"/>
            <w:szCs w:val="16"/>
            <w:color w:val="0000FF"/>
          </w:rPr>
          <w:t xml:space="preserve"> </w:t>
        </w:r>
      </w:hyperlink>
      <w:hyperlink w:anchor="page28">
        <w:r>
          <w:rPr>
            <w:rFonts w:ascii="Arial" w:cs="Arial" w:eastAsia="Arial" w:hAnsi="Arial"/>
            <w:sz w:val="16"/>
            <w:szCs w:val="16"/>
            <w:u w:val="single" w:color="auto"/>
            <w:color w:val="0000FF"/>
          </w:rPr>
          <w:t>Note 6 – Allowance for Credit Losses</w:t>
        </w:r>
      </w:hyperlink>
      <w:hyperlink w:anchor="page10">
        <w:r>
          <w:rPr>
            <w:rFonts w:ascii="Arial" w:cs="Arial" w:eastAsia="Arial" w:hAnsi="Arial"/>
            <w:sz w:val="16"/>
            <w:szCs w:val="16"/>
            <w:color w:val="000000"/>
          </w:rPr>
          <w:t>. There have been no other changes</w:t>
        </w:r>
      </w:hyperlink>
      <w:r>
        <w:rPr>
          <w:rFonts w:ascii="Arial" w:cs="Arial" w:eastAsia="Arial" w:hAnsi="Arial"/>
          <w:sz w:val="16"/>
          <w:szCs w:val="16"/>
          <w:color w:val="0000FF"/>
        </w:rPr>
        <w:t xml:space="preserve"> </w:t>
      </w:r>
      <w:r>
        <w:rPr>
          <w:rFonts w:ascii="Arial" w:cs="Arial" w:eastAsia="Arial" w:hAnsi="Arial"/>
          <w:sz w:val="16"/>
          <w:szCs w:val="16"/>
          <w:color w:val="000000"/>
        </w:rPr>
        <w:t>in our internal control over financial reporting (as defined in Rules 13a-15(f) and 15d-15(f) under the Exchange Act) that occurred during the three months ended March 31, 2020, that have materially affected, or are reasonably likely to materially affect, our internal control over financial reporting.</w:t>
      </w:r>
    </w:p>
    <w:p>
      <w:pPr>
        <w:spacing w:after="0" w:line="200" w:lineRule="exact"/>
        <w:rPr>
          <w:rFonts w:ascii="Arial" w:cs="Arial" w:eastAsia="Arial" w:hAnsi="Arial"/>
          <w:sz w:val="16"/>
          <w:szCs w:val="16"/>
          <w:color w:val="0000FF"/>
        </w:rPr>
      </w:pPr>
    </w:p>
    <w:p>
      <w:pPr>
        <w:spacing w:after="0" w:line="344" w:lineRule="exact"/>
        <w:rPr>
          <w:rFonts w:ascii="Arial" w:cs="Arial" w:eastAsia="Arial" w:hAnsi="Arial"/>
          <w:sz w:val="16"/>
          <w:szCs w:val="16"/>
          <w:color w:val="0000FF"/>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March 31, 2020, we are not subject to any litigation that we believe could have, individually or in the aggregate, a material adverse effect on our business, financial condition or results of operations, liquidity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jc w:val="both"/>
        <w:spacing w:after="0" w:line="279" w:lineRule="auto"/>
        <w:rPr>
          <w:rFonts w:ascii="Arial" w:cs="Arial" w:eastAsia="Arial" w:hAnsi="Arial"/>
          <w:sz w:val="17"/>
          <w:szCs w:val="17"/>
          <w:color w:val="000000"/>
        </w:rPr>
      </w:pPr>
      <w:hyperlink r:id="rId18">
        <w:r>
          <w:rPr>
            <w:rFonts w:ascii="Arial" w:cs="Arial" w:eastAsia="Arial" w:hAnsi="Arial"/>
            <w:sz w:val="17"/>
            <w:szCs w:val="17"/>
            <w:color w:val="auto"/>
          </w:rPr>
          <w:t xml:space="preserve">A description of certain factors that may affect our future results and risk factors is set forth in our </w:t>
        </w:r>
        <w:r>
          <w:rPr>
            <w:rFonts w:ascii="Arial" w:cs="Arial" w:eastAsia="Arial" w:hAnsi="Arial"/>
            <w:sz w:val="17"/>
            <w:szCs w:val="17"/>
            <w:u w:val="single" w:color="auto"/>
            <w:color w:val="0000FF"/>
          </w:rPr>
          <w:t>Annual Report on Form 10-K for the year ended</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FF"/>
          </w:rPr>
          <w:t>December 31, 2019</w:t>
        </w:r>
        <w:r>
          <w:rPr>
            <w:rFonts w:ascii="Arial" w:cs="Arial" w:eastAsia="Arial" w:hAnsi="Arial"/>
            <w:sz w:val="17"/>
            <w:szCs w:val="17"/>
            <w:color w:val="000000"/>
          </w:rPr>
          <w:t>. Investors are cautioned to interpret many of the risks identified in our</w:t>
        </w:r>
        <w:r>
          <w:rPr>
            <w:rFonts w:ascii="Arial" w:cs="Arial" w:eastAsia="Arial" w:hAnsi="Arial"/>
            <w:sz w:val="17"/>
            <w:szCs w:val="17"/>
            <w:color w:val="0000FF"/>
          </w:rPr>
          <w:t xml:space="preserve"> </w:t>
        </w:r>
        <w:r>
          <w:rPr>
            <w:rFonts w:ascii="Arial" w:cs="Arial" w:eastAsia="Arial" w:hAnsi="Arial"/>
            <w:sz w:val="17"/>
            <w:szCs w:val="17"/>
            <w:u w:val="single" w:color="auto"/>
            <w:color w:val="0000FF"/>
          </w:rPr>
          <w:t>Annual Report on Form 10-K for the year ended December 31,</w:t>
        </w:r>
      </w:hyperlink>
      <w:r>
        <w:rPr>
          <w:rFonts w:ascii="Arial" w:cs="Arial" w:eastAsia="Arial" w:hAnsi="Arial"/>
          <w:sz w:val="17"/>
          <w:szCs w:val="17"/>
          <w:color w:val="0000FF"/>
        </w:rPr>
        <w:t xml:space="preserve"> </w:t>
      </w:r>
      <w:hyperlink r:id="rId18">
        <w:r>
          <w:rPr>
            <w:rFonts w:ascii="Arial" w:cs="Arial" w:eastAsia="Arial" w:hAnsi="Arial"/>
            <w:sz w:val="17"/>
            <w:szCs w:val="17"/>
            <w:u w:val="single" w:color="auto"/>
            <w:color w:val="0000FF"/>
          </w:rPr>
          <w:t>2019</w:t>
        </w:r>
        <w:r>
          <w:rPr>
            <w:rFonts w:ascii="Arial" w:cs="Arial" w:eastAsia="Arial" w:hAnsi="Arial"/>
            <w:sz w:val="17"/>
            <w:szCs w:val="17"/>
            <w:color w:val="0000FF"/>
          </w:rPr>
          <w:t xml:space="preserve"> </w:t>
        </w:r>
        <w:r>
          <w:rPr>
            <w:rFonts w:ascii="Arial" w:cs="Arial" w:eastAsia="Arial" w:hAnsi="Arial"/>
            <w:sz w:val="17"/>
            <w:szCs w:val="17"/>
            <w:color w:val="000000"/>
          </w:rPr>
          <w:t>as being heightened as a result of the ongoing and numerous adverse impacts of the COVID-19 pandemic. The risk factors set forth below</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supplement, and should be read together with, the risk factors disclosed in our </w:t>
      </w:r>
      <w:hyperlink r:id="rId18">
        <w:r>
          <w:rPr>
            <w:rFonts w:ascii="Arial" w:cs="Arial" w:eastAsia="Arial" w:hAnsi="Arial"/>
            <w:sz w:val="17"/>
            <w:szCs w:val="17"/>
            <w:u w:val="single" w:color="auto"/>
            <w:color w:val="0000FF"/>
          </w:rPr>
          <w:t>Annual Report on Form 10-K for the year ended December 31, 2019</w:t>
        </w:r>
      </w:hyperlink>
      <w:r>
        <w:rPr>
          <w:rFonts w:ascii="Arial" w:cs="Arial" w:eastAsia="Arial" w:hAnsi="Arial"/>
          <w:sz w:val="17"/>
          <w:szCs w:val="17"/>
          <w:color w:val="000000"/>
        </w:rPr>
        <w:t>.</w:t>
      </w:r>
    </w:p>
    <w:p>
      <w:pPr>
        <w:spacing w:after="0" w:line="117" w:lineRule="exact"/>
        <w:rPr>
          <w:rFonts w:ascii="Arial" w:cs="Arial" w:eastAsia="Arial" w:hAnsi="Arial"/>
          <w:sz w:val="17"/>
          <w:szCs w:val="17"/>
          <w:color w:val="0000FF"/>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COVID-19 pandemic could have a material adverse impact on our business, financial condition, liquidity, results of operations and prospects, including by affecting our tenants’ operations and financial performance and global and U.S. economic activity and performance.</w:t>
      </w:r>
    </w:p>
    <w:p>
      <w:pPr>
        <w:spacing w:after="0" w:line="70" w:lineRule="exact"/>
        <w:rPr>
          <w:rFonts w:ascii="Arial" w:cs="Arial" w:eastAsia="Arial" w:hAnsi="Arial"/>
          <w:sz w:val="17"/>
          <w:szCs w:val="17"/>
          <w:color w:val="0000FF"/>
        </w:rPr>
      </w:pPr>
    </w:p>
    <w:p>
      <w:pPr>
        <w:jc w:val="both"/>
        <w:spacing w:after="0" w:line="270" w:lineRule="auto"/>
        <w:rPr>
          <w:sz w:val="20"/>
          <w:szCs w:val="20"/>
          <w:color w:val="auto"/>
        </w:rPr>
      </w:pPr>
      <w:r>
        <w:rPr>
          <w:rFonts w:ascii="Arial" w:cs="Arial" w:eastAsia="Arial" w:hAnsi="Arial"/>
          <w:sz w:val="17"/>
          <w:szCs w:val="17"/>
          <w:color w:val="auto"/>
        </w:rPr>
        <w:t>Since being initially reported in December 2019, the outbreak of COVID-19 has spread globally and created considerable health risks in the United States and around the world, resulting in severely adversely impacted global, national and regional economic activity, and has contributed to significant volatility and negative pressure in financial markets. On March 11, 2020, the World Health Organization declared COVID-19 a pandemic, and on March 13, 2020, the U.S. federal government declared a national emergency concerning the COVID-19 outbreak. Several countries, including the United States, have taken steps to restrict air travel, and many state and local governments have instituted additional measures, including quarantines, states of emergency, mandatory business and school closures, “shelter-at-home” and similar orders and other restrictions on travel and large gatherings, as well as initiatives such as “social distancing” guidelines. In connection with these actions, state governments and/or regulatory authorities have issued various directives, mandates, orders or similar actions resulting in the closure of non-essential businesses, which includes substantially all of our tenants’ operations, including at our properties, as well as our golf courses.</w:t>
      </w:r>
    </w:p>
    <w:p>
      <w:pPr>
        <w:spacing w:after="0" w:line="127" w:lineRule="exact"/>
        <w:rPr>
          <w:rFonts w:ascii="Arial" w:cs="Arial" w:eastAsia="Arial" w:hAnsi="Arial"/>
          <w:sz w:val="17"/>
          <w:szCs w:val="17"/>
          <w:color w:val="0000FF"/>
        </w:rPr>
      </w:pPr>
    </w:p>
    <w:p>
      <w:pPr>
        <w:jc w:val="both"/>
        <w:spacing w:after="0" w:line="267" w:lineRule="auto"/>
        <w:rPr>
          <w:sz w:val="20"/>
          <w:szCs w:val="20"/>
          <w:color w:val="auto"/>
        </w:rPr>
      </w:pPr>
      <w:r>
        <w:rPr>
          <w:rFonts w:ascii="Arial" w:cs="Arial" w:eastAsia="Arial" w:hAnsi="Arial"/>
          <w:sz w:val="17"/>
          <w:szCs w:val="17"/>
          <w:color w:val="auto"/>
        </w:rPr>
        <w:t>In addition, our tenants have experienced a substantial number of cancellations and reductions in future events and reservations in connection with the uncertain duration of the COVID-19 pandemic and business closures. Following the reopening of our tenants’ businesses, they may face additional challenges with respect to restoring operations and financial performance, in particular as a result of changes in customer engagement. We expect these closures and reduced business activity will adversely affect our tenants’ financial performance, and such impact could be material to us depending on the ultimate duration of the closures and our tenants’ ability to restore operations following the reopening of their businesses and our properties. These closures and reduced business activity could also materially and adversely affect our tenants’ ability to meet their respective financial obligations going forward, including their obligations under our leases to pay us rent and make capital expenditures, which could have a material adverse effect on our business, results of operations and liquidity. Although we cannot predict with confidence when our tenants’ operations at our properties will reopen, or if and when they will return to pre-pandemic performance levels, as the duration of the closures lengthens, our tenants’ liquidity positions may become more stressed and which may cause one or more of our tenants to be unable to meet their obligations to us in full, or at all, or to otherwise seek modifications to such obligations. Any such modifications to our tenants’ obligations to us under our leases may have an adverse effect on our business. Even if our tenants are able to fulfill their obligations to us, their inability to meet their financial obligations to their creditors or other counterparties could also have a material adverse effect on our business. The financial impact of the COVID-19 pandemic, including a failure of any of our tenants to make full rental payments, or any other default by our tenants, under our Lease Agreements, could also negatively impact our or our tenants’ future compliance with financial covenants of existing and any future credit facilities and indebtedness, and result in a default and potentially an acceleration event, which non-compliance could negatively impact our or our tenants’ ability to make additional borrowings, including borrowings under our Revolving Credit Facility, issue additional indebtedness and otherwise operate our respective businesses.</w:t>
      </w:r>
    </w:p>
    <w:p>
      <w:pPr>
        <w:spacing w:after="0" w:line="137" w:lineRule="exact"/>
        <w:rPr>
          <w:rFonts w:ascii="Arial" w:cs="Arial" w:eastAsia="Arial" w:hAnsi="Arial"/>
          <w:sz w:val="17"/>
          <w:szCs w:val="17"/>
          <w:color w:val="0000FF"/>
        </w:rPr>
      </w:pPr>
    </w:p>
    <w:p>
      <w:pPr>
        <w:jc w:val="both"/>
        <w:spacing w:after="0" w:line="257" w:lineRule="auto"/>
        <w:rPr>
          <w:sz w:val="20"/>
          <w:szCs w:val="20"/>
          <w:color w:val="auto"/>
        </w:rPr>
      </w:pPr>
      <w:r>
        <w:rPr>
          <w:rFonts w:ascii="Arial" w:cs="Arial" w:eastAsia="Arial" w:hAnsi="Arial"/>
          <w:sz w:val="18"/>
          <w:szCs w:val="18"/>
          <w:color w:val="auto"/>
        </w:rPr>
        <w:t>In addition, many experts predict that the outbreak will trigger a period of material global economic slowdown or a global economic recession, which may continue well beyond the lifting of governmental restrictions related to COVID-19 and the reopening of our tenants’ businesses and change consumer behavior, thereby negatively affecting an economic recovery in the gaming sector. Any sustained economic slowdown or recession, or the impact thereof, such as through decreased rates of employment that extend after our tenants’ businesses are permitted to reopen or broader changes in consumer behavior, may</w:t>
      </w:r>
    </w:p>
    <w:p>
      <w:pPr>
        <w:spacing w:after="0" w:line="200" w:lineRule="exact"/>
        <w:rPr>
          <w:rFonts w:ascii="Arial" w:cs="Arial" w:eastAsia="Arial" w:hAnsi="Arial"/>
          <w:sz w:val="17"/>
          <w:szCs w:val="17"/>
          <w:color w:val="0000FF"/>
        </w:rPr>
      </w:pPr>
    </w:p>
    <w:p>
      <w:pPr>
        <w:spacing w:after="0" w:line="366" w:lineRule="exact"/>
        <w:rPr>
          <w:rFonts w:ascii="Arial" w:cs="Arial" w:eastAsia="Arial" w:hAnsi="Arial"/>
          <w:sz w:val="17"/>
          <w:szCs w:val="17"/>
          <w:color w:val="0000FF"/>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materially and adversely affect our tenants’ financial performance and ability to meet such obligations. We cannot predict with confidence when government or regulatory shutdown orders, or travel and other restrictions, will end or whether and on what timeline our tenants’ performance will meaningfully improve after their businesses are permitted to reopen. In addition, due to the current disruption in the debt and equity markets, we may be unable to obtain financing for future acquisitions on satisfactory terms, or at all. Continuing disruption and instability in the global financial markets or deteriorations in credit and financing conditions may affect our access to debt and equity capital in order to fund business operations, if necessary, or address maturing liabilities on a timely basis as well as our tenants’ ability to fund their business operations, meet their obligations to us, and secure financing for any future or pending acquisitions. With respect to any such future transactions and acquisitions, we may face additional uncertainty, such as with respect to timing of regulatory evaluations and obtaining regulatory approvals due to limited operations at the relevant government and regulatory bodies.</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full extent to which our business and results of operations will ultimately be affected by the COVID-19 pandemic or any resulting economic slowdown or recession will largely depend on future developments, which are highly uncertain and cannot be predicted with confidence at this time, including the scope, severity and duration of the pandemic, the actions taken to contain the pandemic or mitigate its impact, and the direct and indirect economic effects of the pandemic and containment measures on our tenants, including the length of time our tenants’ operations at our properties remain closed and our tenants’ financial performance during the closure and following reopening. In addition, new information may continue to emerge concerning the severity of the COVID-19 pandemic, actions required to be undertaken to contain the COVID-19 pandemic or address its future impact, the response of the U.S. and global economies and the short- and long-term impact of the COVID-19 pandemic on our tenants’ operations at our properties, which could further materially and adversely impact our business and results and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foregoing events or any other related matters could materially and adversely affect our business, financial condition, liquidity, results of operations, prospects and the value of our common stock.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immediate and long-term effects of the COVID-19 pandemic on the gaming industry could materially and adversely affect our business, financial condition, liquidity, results of operations and prospects.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had a severe and unprecedented impact on the gaming industry. Measures implemented to prevent its spread, including mandatory closure of non-essential businesses and government-imposed restrictions on social gatherings, have had a significant adverse effect on the gaming industry. As a result of these measures, gaming facilities throughout the United States, including all of our tenants’ facilities at our properties, have temporarily closed. During this period, many gaming companies are not generating material revenue and have sought or taken measures intended to maintain liquidity and solvency, including employee furloughs, reduced operating and capital expenditure budgets, and contractual relief or other accommodations with creditors, lenders and other counterparties. There is no guarantee that any government-imposed restrictions will be lifted in the near term. Moreover, the ultimate impact of the COVID-19 pandemic on the gaming industry, if and when such government-imposed restrictions are lifted and gaming facilities are reopened, is highly uncertain and cannot be predicted with confidence.</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Historically, economic indicators such as GDP growth, consumer confidence and employment are correlated with demand for gaming, entertainment and leisure properties, such as casinos and racetracks, and economic recessions or slowdowns have generally led to a decrease in discretionary spending on associated leisure activities. Long-term impacts of the COVID-19 pandemic, such as decreases in discretionary spending or changing consumer preferences brought about by instability in global, national and regional economic activity and financial markets as a result of the COVID-19 pandemic, could have a material adverse effect on leisure and business travel, discretionary spending and other areas of economic behavior that directly impact the gaming industry. Because we are dependent on the gaming industry, the immediate and long-term effects of the COVID-19 pandemic on the gaming industry could be material and adverse to our business, financial condition, liquidity,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7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three months ended March 31, 2020, certain employees surrendered shares of common stock owned by them to us to satisfy their statutory minimum federal and state income tax obligations associated with the vesting of shares of restricted common stock issued under our stock incentive plan.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such common stock repurchases during the three months ended March 31,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 Number Of</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5"/>
              </w:rPr>
              <w:t>Maximum Number</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1"/>
              </w:rPr>
              <w:t>Of Shares That</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As Part Of</w:t>
            </w:r>
          </w:p>
        </w:tc>
        <w:tc>
          <w:tcPr>
            <w:tcW w:w="1880" w:type="dxa"/>
            <w:vAlign w:val="bottom"/>
          </w:tcPr>
          <w:p>
            <w:pPr>
              <w:jc w:val="right"/>
              <w:ind w:right="75"/>
              <w:spacing w:after="0"/>
              <w:rPr>
                <w:sz w:val="20"/>
                <w:szCs w:val="20"/>
                <w:color w:val="auto"/>
              </w:rPr>
            </w:pPr>
            <w:r>
              <w:rPr>
                <w:rFonts w:ascii="Arial" w:cs="Arial" w:eastAsia="Arial" w:hAnsi="Arial"/>
                <w:sz w:val="16"/>
                <w:szCs w:val="16"/>
                <w:b w:val="1"/>
                <w:bCs w:val="1"/>
                <w:color w:val="auto"/>
                <w:w w:val="99"/>
              </w:rPr>
              <w:t>May Yet Be Purchased</w:t>
            </w:r>
          </w:p>
        </w:tc>
        <w:tc>
          <w:tcPr>
            <w:tcW w:w="0" w:type="dxa"/>
            <w:vAlign w:val="bottom"/>
          </w:tcPr>
          <w:p>
            <w:pPr>
              <w:spacing w:after="0"/>
              <w:rPr>
                <w:sz w:val="1"/>
                <w:szCs w:val="1"/>
                <w:color w:val="auto"/>
              </w:rPr>
            </w:pPr>
          </w:p>
        </w:tc>
      </w:tr>
      <w:tr>
        <w:trPr>
          <w:trHeight w:val="230"/>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00" w:type="dxa"/>
            <w:vAlign w:val="bottom"/>
            <w:vMerge w:val="restart"/>
          </w:tcPr>
          <w:p>
            <w:pPr>
              <w:spacing w:after="0"/>
              <w:rPr>
                <w:sz w:val="19"/>
                <w:szCs w:val="19"/>
                <w:color w:val="auto"/>
              </w:rPr>
            </w:pPr>
          </w:p>
        </w:tc>
        <w:tc>
          <w:tcPr>
            <w:tcW w:w="17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Average Price Paid</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Publicly Announced</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3"/>
              </w:rPr>
              <w:t>Under The Plans Or</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3"/>
              <w:spacing w:after="0" w:line="216" w:lineRule="exact"/>
              <w:rPr>
                <w:sz w:val="20"/>
                <w:szCs w:val="20"/>
                <w:color w:val="auto"/>
              </w:rPr>
            </w:pPr>
            <w:r>
              <w:rPr>
                <w:rFonts w:ascii="Arial" w:cs="Arial" w:eastAsia="Arial" w:hAnsi="Arial"/>
                <w:sz w:val="16"/>
                <w:szCs w:val="16"/>
                <w:b w:val="1"/>
                <w:bCs w:val="1"/>
                <w:color w:val="auto"/>
              </w:rPr>
              <w:t xml:space="preserve">per Share </w:t>
            </w:r>
            <w:r>
              <w:rPr>
                <w:rFonts w:ascii="Arial" w:cs="Arial" w:eastAsia="Arial" w:hAnsi="Arial"/>
                <w:sz w:val="21"/>
                <w:szCs w:val="21"/>
                <w:b w:val="1"/>
                <w:bCs w:val="1"/>
                <w:i w:val="1"/>
                <w:i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Plans Or Programs</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1, 2020 through January 31, 2020</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February 1, 2020 through February 29, 2020</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73"/>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1"/>
                <w:szCs w:val="21"/>
                <w:color w:val="auto"/>
              </w:rPr>
            </w:pP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2020 through March 31, 2020</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8,628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23.91</w:t>
            </w:r>
          </w:p>
        </w:tc>
        <w:tc>
          <w:tcPr>
            <w:tcW w:w="100" w:type="dxa"/>
            <w:vAlign w:val="bottom"/>
          </w:tcPr>
          <w:p>
            <w:pPr>
              <w:spacing w:after="0"/>
              <w:rPr>
                <w:sz w:val="20"/>
                <w:szCs w:val="20"/>
                <w:color w:val="auto"/>
              </w:rPr>
            </w:pPr>
          </w:p>
        </w:tc>
        <w:tc>
          <w:tcPr>
            <w:tcW w:w="1740" w:type="dxa"/>
            <w:vAlign w:val="bottom"/>
            <w:tcBorders>
              <w:top w:val="single" w:sz="8" w:color="auto"/>
            </w:tcBorders>
          </w:tcPr>
          <w:p>
            <w:pPr>
              <w:ind w:left="1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The price paid per share is based on the closing price of our common stock as of the date of the determination of the statutory minimum federal income tax.</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otherwise repurchase any equity securities registered pursuant to Section 12 of the Exchange Act during the three months ended March 31, 2020.</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40" w:type="dxa"/>
            <w:vAlign w:val="bottom"/>
            <w:gridSpan w:val="5"/>
          </w:tcPr>
          <w:p>
            <w:pPr>
              <w:spacing w:after="0"/>
              <w:rPr>
                <w:sz w:val="20"/>
                <w:szCs w:val="20"/>
                <w:color w:val="auto"/>
              </w:rPr>
            </w:pPr>
            <w:r>
              <w:rPr>
                <w:rFonts w:ascii="Arial" w:cs="Arial" w:eastAsia="Arial" w:hAnsi="Arial"/>
                <w:sz w:val="22"/>
                <w:szCs w:val="22"/>
                <w:b w:val="1"/>
                <w:bCs w:val="1"/>
                <w:color w:val="auto"/>
              </w:rPr>
              <w:t>Item 6.</w:t>
            </w:r>
          </w:p>
        </w:tc>
        <w:tc>
          <w:tcPr>
            <w:tcW w:w="5820" w:type="dxa"/>
            <w:vAlign w:val="bottom"/>
            <w:gridSpan w:val="11"/>
          </w:tcPr>
          <w:p>
            <w:pPr>
              <w:ind w:left="260"/>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534"/>
        </w:trPr>
        <w:tc>
          <w:tcPr>
            <w:tcW w:w="40" w:type="dxa"/>
            <w:vAlign w:val="bottom"/>
          </w:tcPr>
          <w:p>
            <w:pPr>
              <w:spacing w:after="0"/>
              <w:rPr>
                <w:sz w:val="24"/>
                <w:szCs w:val="2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2100" w:type="dxa"/>
            <w:vAlign w:val="bottom"/>
          </w:tcPr>
          <w:p>
            <w:pPr>
              <w:spacing w:after="0"/>
              <w:rPr>
                <w:sz w:val="24"/>
                <w:szCs w:val="24"/>
                <w:color w:val="auto"/>
              </w:rPr>
            </w:pPr>
          </w:p>
        </w:tc>
        <w:tc>
          <w:tcPr>
            <w:tcW w:w="372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8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40" w:type="dxa"/>
            <w:vAlign w:val="bottom"/>
            <w:gridSpan w:val="3"/>
          </w:tcPr>
          <w:p>
            <w:pPr>
              <w:jc w:val="center"/>
              <w:ind w:left="208"/>
              <w:spacing w:after="0"/>
              <w:rPr>
                <w:rFonts w:ascii="Arial" w:cs="Arial" w:eastAsia="Arial" w:hAnsi="Arial"/>
                <w:sz w:val="18"/>
                <w:szCs w:val="18"/>
                <w:u w:val="single" w:color="auto"/>
                <w:color w:val="0000FF"/>
                <w:w w:val="87"/>
              </w:rPr>
            </w:pPr>
            <w:hyperlink r:id="rId116">
              <w:r>
                <w:rPr>
                  <w:rFonts w:ascii="Arial" w:cs="Arial" w:eastAsia="Arial" w:hAnsi="Arial"/>
                  <w:sz w:val="18"/>
                  <w:szCs w:val="18"/>
                  <w:u w:val="single" w:color="auto"/>
                  <w:color w:val="0000FF"/>
                  <w:w w:val="87"/>
                </w:rPr>
                <w:t>2.1</w:t>
              </w:r>
            </w:hyperlink>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gridSpan w:val="11"/>
          </w:tcPr>
          <w:p>
            <w:pPr>
              <w:spacing w:after="0"/>
              <w:rPr>
                <w:rFonts w:ascii="Arial" w:cs="Arial" w:eastAsia="Arial" w:hAnsi="Arial"/>
                <w:sz w:val="18"/>
                <w:szCs w:val="18"/>
                <w:color w:val="0000FF"/>
                <w:w w:val="94"/>
              </w:rPr>
            </w:pPr>
            <w:hyperlink r:id="rId116">
              <w:r>
                <w:rPr>
                  <w:rFonts w:ascii="Arial" w:cs="Arial" w:eastAsia="Arial" w:hAnsi="Arial"/>
                  <w:sz w:val="18"/>
                  <w:szCs w:val="18"/>
                  <w:color w:val="0000FF"/>
                  <w:w w:val="94"/>
                </w:rPr>
                <w:t>First Amendment to Purchase and Sale Agreement, dated as of February 20,</w:t>
              </w:r>
            </w:hyperlink>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Borders>
              <w:top w:val="single" w:sz="8" w:color="0000FF"/>
            </w:tcBorders>
            <w:gridSpan w:val="8"/>
          </w:tcPr>
          <w:p>
            <w:pPr>
              <w:spacing w:after="0"/>
              <w:rPr>
                <w:rFonts w:ascii="Arial" w:cs="Arial" w:eastAsia="Arial" w:hAnsi="Arial"/>
                <w:sz w:val="18"/>
                <w:szCs w:val="18"/>
                <w:u w:val="single" w:color="auto"/>
                <w:color w:val="0000FF"/>
                <w:w w:val="98"/>
              </w:rPr>
            </w:pPr>
            <w:hyperlink r:id="rId116">
              <w:r>
                <w:rPr>
                  <w:rFonts w:ascii="Arial" w:cs="Arial" w:eastAsia="Arial" w:hAnsi="Arial"/>
                  <w:sz w:val="18"/>
                  <w:szCs w:val="18"/>
                  <w:u w:val="single" w:color="auto"/>
                  <w:color w:val="0000FF"/>
                  <w:w w:val="98"/>
                </w:rPr>
                <w:t>2020, by and between Eldorado Resorts Inc. and VICI Properties L.P.</w:t>
              </w:r>
            </w:hyperlink>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 w:type="dxa"/>
            <w:vAlign w:val="bottom"/>
            <w:gridSpan w:val="3"/>
          </w:tcPr>
          <w:p>
            <w:pPr>
              <w:jc w:val="center"/>
              <w:ind w:left="208"/>
              <w:spacing w:after="0"/>
              <w:rPr>
                <w:rFonts w:ascii="Arial" w:cs="Arial" w:eastAsia="Arial" w:hAnsi="Arial"/>
                <w:sz w:val="18"/>
                <w:szCs w:val="18"/>
                <w:u w:val="single" w:color="auto"/>
                <w:color w:val="0000FF"/>
                <w:w w:val="87"/>
              </w:rPr>
            </w:pPr>
            <w:hyperlink r:id="rId117">
              <w:r>
                <w:rPr>
                  <w:rFonts w:ascii="Arial" w:cs="Arial" w:eastAsia="Arial" w:hAnsi="Arial"/>
                  <w:sz w:val="18"/>
                  <w:szCs w:val="18"/>
                  <w:u w:val="single" w:color="auto"/>
                  <w:color w:val="0000FF"/>
                  <w:w w:val="87"/>
                </w:rPr>
                <w:t>4.1</w:t>
              </w:r>
            </w:hyperlink>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11"/>
          </w:tcPr>
          <w:p>
            <w:pPr>
              <w:spacing w:after="0"/>
              <w:rPr>
                <w:rFonts w:ascii="Arial" w:cs="Arial" w:eastAsia="Arial" w:hAnsi="Arial"/>
                <w:sz w:val="18"/>
                <w:szCs w:val="18"/>
                <w:color w:val="0000FF"/>
                <w:w w:val="97"/>
              </w:rPr>
            </w:pPr>
            <w:hyperlink r:id="rId117">
              <w:r>
                <w:rPr>
                  <w:rFonts w:ascii="Arial" w:cs="Arial" w:eastAsia="Arial" w:hAnsi="Arial"/>
                  <w:sz w:val="18"/>
                  <w:szCs w:val="18"/>
                  <w:color w:val="0000FF"/>
                  <w:w w:val="97"/>
                </w:rPr>
                <w:t>3.</w:t>
              </w:r>
              <w:r>
                <w:rPr>
                  <w:rFonts w:ascii="Arial" w:cs="Arial" w:eastAsia="Arial" w:hAnsi="Arial"/>
                  <w:sz w:val="18"/>
                  <w:szCs w:val="18"/>
                  <w:u w:val="single" w:color="auto"/>
                  <w:color w:val="0000FF"/>
                  <w:w w:val="97"/>
                </w:rPr>
                <w:t>500%</w:t>
              </w:r>
              <w:r>
                <w:rPr>
                  <w:rFonts w:ascii="Arial" w:cs="Arial" w:eastAsia="Arial" w:hAnsi="Arial"/>
                  <w:sz w:val="18"/>
                  <w:szCs w:val="18"/>
                  <w:color w:val="0000FF"/>
                  <w:w w:val="97"/>
                </w:rPr>
                <w:t xml:space="preserve"> Senior Notes Indenture, dated as of February 5, 2020, among VICI</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Properties L.P., VICI Note Co. Inc., the subsidiary guarantors party thereto</w:t>
              </w:r>
            </w:hyperlink>
          </w:p>
        </w:tc>
        <w:tc>
          <w:tcPr>
            <w:tcW w:w="400" w:type="dxa"/>
            <w:vAlign w:val="bottom"/>
            <w:gridSpan w:val="4"/>
          </w:tcPr>
          <w:p>
            <w:pPr>
              <w:ind w:left="20"/>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UMB Bank, National Association, as trustee.</w:t>
              </w:r>
            </w:hyperlink>
          </w:p>
        </w:tc>
        <w:tc>
          <w:tcPr>
            <w:tcW w:w="244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40" w:type="dxa"/>
            <w:vAlign w:val="bottom"/>
            <w:gridSpan w:val="3"/>
          </w:tcPr>
          <w:p>
            <w:pPr>
              <w:jc w:val="center"/>
              <w:ind w:left="208"/>
              <w:spacing w:after="0"/>
              <w:rPr>
                <w:rFonts w:ascii="Arial" w:cs="Arial" w:eastAsia="Arial" w:hAnsi="Arial"/>
                <w:sz w:val="18"/>
                <w:szCs w:val="18"/>
                <w:u w:val="single" w:color="auto"/>
                <w:color w:val="0000FF"/>
                <w:w w:val="87"/>
              </w:rPr>
            </w:pPr>
            <w:hyperlink r:id="rId118">
              <w:r>
                <w:rPr>
                  <w:rFonts w:ascii="Arial" w:cs="Arial" w:eastAsia="Arial" w:hAnsi="Arial"/>
                  <w:sz w:val="18"/>
                  <w:szCs w:val="18"/>
                  <w:u w:val="single" w:color="auto"/>
                  <w:color w:val="0000FF"/>
                  <w:w w:val="87"/>
                </w:rPr>
                <w:t>4.2</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w w:val="97"/>
              </w:rPr>
            </w:pPr>
            <w:hyperlink r:id="rId118">
              <w:r>
                <w:rPr>
                  <w:rFonts w:ascii="Arial" w:cs="Arial" w:eastAsia="Arial" w:hAnsi="Arial"/>
                  <w:sz w:val="18"/>
                  <w:szCs w:val="18"/>
                  <w:color w:val="0000FF"/>
                  <w:w w:val="97"/>
                </w:rPr>
                <w:t>3.</w:t>
              </w:r>
              <w:r>
                <w:rPr>
                  <w:rFonts w:ascii="Arial" w:cs="Arial" w:eastAsia="Arial" w:hAnsi="Arial"/>
                  <w:sz w:val="18"/>
                  <w:szCs w:val="18"/>
                  <w:u w:val="single" w:color="auto"/>
                  <w:color w:val="0000FF"/>
                  <w:w w:val="97"/>
                </w:rPr>
                <w:t>750%</w:t>
              </w:r>
              <w:r>
                <w:rPr>
                  <w:rFonts w:ascii="Arial" w:cs="Arial" w:eastAsia="Arial" w:hAnsi="Arial"/>
                  <w:sz w:val="18"/>
                  <w:szCs w:val="18"/>
                  <w:color w:val="0000FF"/>
                  <w:w w:val="97"/>
                </w:rPr>
                <w:t xml:space="preserve"> Senior Notes Indenture, dated as of February 5, 2020, among VICI</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Properties L.P., VICI Note Co. Inc., the subsidiary guarantors party thereto</w:t>
              </w:r>
            </w:hyperlink>
          </w:p>
        </w:tc>
        <w:tc>
          <w:tcPr>
            <w:tcW w:w="400" w:type="dxa"/>
            <w:vAlign w:val="bottom"/>
            <w:gridSpan w:val="4"/>
          </w:tcPr>
          <w:p>
            <w:pPr>
              <w:ind w:left="20"/>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UMB Bank, National Association, as trustee.</w:t>
              </w:r>
            </w:hyperlink>
          </w:p>
        </w:tc>
        <w:tc>
          <w:tcPr>
            <w:tcW w:w="244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40" w:type="dxa"/>
            <w:vAlign w:val="bottom"/>
            <w:gridSpan w:val="3"/>
          </w:tcPr>
          <w:p>
            <w:pPr>
              <w:jc w:val="center"/>
              <w:ind w:left="208"/>
              <w:spacing w:after="0"/>
              <w:rPr>
                <w:rFonts w:ascii="Arial" w:cs="Arial" w:eastAsia="Arial" w:hAnsi="Arial"/>
                <w:sz w:val="18"/>
                <w:szCs w:val="18"/>
                <w:u w:val="single" w:color="auto"/>
                <w:color w:val="0000FF"/>
                <w:w w:val="87"/>
              </w:rPr>
            </w:pPr>
            <w:hyperlink r:id="rId119">
              <w:r>
                <w:rPr>
                  <w:rFonts w:ascii="Arial" w:cs="Arial" w:eastAsia="Arial" w:hAnsi="Arial"/>
                  <w:sz w:val="18"/>
                  <w:szCs w:val="18"/>
                  <w:u w:val="single" w:color="auto"/>
                  <w:color w:val="0000FF"/>
                  <w:w w:val="87"/>
                </w:rPr>
                <w:t>4.3</w:t>
              </w:r>
            </w:hyperlink>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w w:val="97"/>
              </w:rPr>
            </w:pPr>
            <w:hyperlink r:id="rId119">
              <w:r>
                <w:rPr>
                  <w:rFonts w:ascii="Arial" w:cs="Arial" w:eastAsia="Arial" w:hAnsi="Arial"/>
                  <w:sz w:val="18"/>
                  <w:szCs w:val="18"/>
                  <w:color w:val="0000FF"/>
                  <w:w w:val="97"/>
                </w:rPr>
                <w:t>4.</w:t>
              </w:r>
              <w:r>
                <w:rPr>
                  <w:rFonts w:ascii="Arial" w:cs="Arial" w:eastAsia="Arial" w:hAnsi="Arial"/>
                  <w:sz w:val="18"/>
                  <w:szCs w:val="18"/>
                  <w:u w:val="single" w:color="auto"/>
                  <w:color w:val="0000FF"/>
                  <w:w w:val="97"/>
                </w:rPr>
                <w:t>125%</w:t>
              </w:r>
              <w:r>
                <w:rPr>
                  <w:rFonts w:ascii="Arial" w:cs="Arial" w:eastAsia="Arial" w:hAnsi="Arial"/>
                  <w:sz w:val="18"/>
                  <w:szCs w:val="18"/>
                  <w:color w:val="0000FF"/>
                  <w:w w:val="97"/>
                </w:rPr>
                <w:t xml:space="preserve"> Senior Notes Indenture, dated as of February 5, 2020, among VICI</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2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Properties L.P., VICI Note Co. Inc., the subsidiary guarantors party thereto</w:t>
              </w:r>
            </w:hyperlink>
          </w:p>
        </w:tc>
        <w:tc>
          <w:tcPr>
            <w:tcW w:w="400" w:type="dxa"/>
            <w:vAlign w:val="bottom"/>
            <w:gridSpan w:val="4"/>
          </w:tcPr>
          <w:p>
            <w:pPr>
              <w:ind w:left="20"/>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UMB Bank, National Association, as trustee.</w:t>
              </w:r>
            </w:hyperlink>
          </w:p>
        </w:tc>
        <w:tc>
          <w:tcPr>
            <w:tcW w:w="244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20" w:type="dxa"/>
            <w:vAlign w:val="bottom"/>
            <w:gridSpan w:val="4"/>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10.</w:t>
            </w:r>
            <w:hyperlink r:id="rId120">
              <w:r>
                <w:rPr>
                  <w:rFonts w:ascii="Arial" w:cs="Arial" w:eastAsia="Arial" w:hAnsi="Arial"/>
                  <w:sz w:val="18"/>
                  <w:szCs w:val="18"/>
                  <w:u w:val="single" w:color="auto"/>
                  <w:color w:val="0000FF"/>
                  <w:w w:val="91"/>
                </w:rPr>
                <w:t>1</w:t>
              </w:r>
            </w:hyperlink>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w w:val="93"/>
              </w:rPr>
            </w:pPr>
            <w:hyperlink r:id="rId120">
              <w:r>
                <w:rPr>
                  <w:rFonts w:ascii="Arial" w:cs="Arial" w:eastAsia="Arial" w:hAnsi="Arial"/>
                  <w:sz w:val="18"/>
                  <w:szCs w:val="18"/>
                  <w:color w:val="0000FF"/>
                  <w:w w:val="93"/>
                </w:rPr>
                <w:t>First Amendment to Amended and Restated Credit Agreement, dated January</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0" w:type="dxa"/>
            <w:vAlign w:val="bottom"/>
            <w:tcBorders>
              <w:top w:val="single" w:sz="8" w:color="0000FF"/>
            </w:tcBorders>
            <w:gridSpan w:val="9"/>
          </w:tcPr>
          <w:p>
            <w:pPr>
              <w:spacing w:after="0" w:line="156" w:lineRule="exact"/>
              <w:rPr>
                <w:rFonts w:ascii="Arial" w:cs="Arial" w:eastAsia="Arial" w:hAnsi="Arial"/>
                <w:sz w:val="18"/>
                <w:szCs w:val="18"/>
                <w:color w:val="0000FF"/>
                <w:w w:val="98"/>
              </w:rPr>
            </w:pPr>
            <w:hyperlink r:id="rId120">
              <w:r>
                <w:rPr>
                  <w:rFonts w:ascii="Arial" w:cs="Arial" w:eastAsia="Arial" w:hAnsi="Arial"/>
                  <w:sz w:val="18"/>
                  <w:szCs w:val="18"/>
                  <w:color w:val="0000FF"/>
                  <w:w w:val="98"/>
                </w:rPr>
                <w:t>24, 2020, among VICI Properties 1 LLC, the lenders named therein and</w:t>
              </w:r>
            </w:hyperlink>
          </w:p>
        </w:tc>
        <w:tc>
          <w:tcPr>
            <w:tcW w:w="2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8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120">
              <w:r>
                <w:rPr>
                  <w:rFonts w:ascii="Arial" w:cs="Arial" w:eastAsia="Arial" w:hAnsi="Arial"/>
                  <w:sz w:val="18"/>
                  <w:szCs w:val="18"/>
                  <w:color w:val="0000FF"/>
                </w:rPr>
                <w:t>Goldman Sachs Bank USA, as administrative agent.</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4"/>
          </w:tcPr>
          <w:p>
            <w:pPr>
              <w:jc w:val="center"/>
              <w:spacing w:after="0"/>
              <w:rPr>
                <w:rFonts w:ascii="Arial" w:cs="Arial" w:eastAsia="Arial" w:hAnsi="Arial"/>
                <w:sz w:val="18"/>
                <w:szCs w:val="18"/>
                <w:u w:val="single" w:color="auto"/>
                <w:color w:val="0000FF"/>
                <w:w w:val="91"/>
              </w:rPr>
            </w:pPr>
            <w:hyperlink w:anchor="page72">
              <w:r>
                <w:rPr>
                  <w:rFonts w:ascii="Arial" w:cs="Arial" w:eastAsia="Arial" w:hAnsi="Arial"/>
                  <w:sz w:val="18"/>
                  <w:szCs w:val="18"/>
                  <w:u w:val="single" w:color="auto"/>
                  <w:color w:val="0000FF"/>
                  <w:w w:val="91"/>
                </w:rPr>
                <w:t>31.1</w:t>
              </w:r>
            </w:hyperlink>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 of Principal Executive Officer Pursuant to Section 302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Sarbanes-Oxley Act of 2002.</w:t>
              </w:r>
            </w:hyperlink>
          </w:p>
        </w:tc>
        <w:tc>
          <w:tcPr>
            <w:tcW w:w="4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4"/>
          </w:tcPr>
          <w:p>
            <w:pPr>
              <w:jc w:val="center"/>
              <w:spacing w:after="0"/>
              <w:rPr>
                <w:rFonts w:ascii="Arial" w:cs="Arial" w:eastAsia="Arial" w:hAnsi="Arial"/>
                <w:sz w:val="18"/>
                <w:szCs w:val="18"/>
                <w:u w:val="single" w:color="auto"/>
                <w:color w:val="0000FF"/>
                <w:w w:val="91"/>
              </w:rPr>
            </w:pPr>
            <w:hyperlink w:anchor="page73">
              <w:r>
                <w:rPr>
                  <w:rFonts w:ascii="Arial" w:cs="Arial" w:eastAsia="Arial" w:hAnsi="Arial"/>
                  <w:sz w:val="18"/>
                  <w:szCs w:val="18"/>
                  <w:u w:val="single" w:color="auto"/>
                  <w:color w:val="0000FF"/>
                  <w:w w:val="91"/>
                </w:rPr>
                <w:t>31.2</w:t>
              </w:r>
            </w:hyperlink>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Certification of Principal Financial Officer Pursuant to Section 302 of the</w:t>
              </w:r>
            </w:hyperlink>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3">
              <w:r>
                <w:rPr>
                  <w:rFonts w:ascii="Arial" w:cs="Arial" w:eastAsia="Arial" w:hAnsi="Arial"/>
                  <w:sz w:val="18"/>
                  <w:szCs w:val="18"/>
                  <w:color w:val="0000FF"/>
                </w:rPr>
                <w:t>Sarbanes-Oxley Act of 2002.</w:t>
              </w:r>
            </w:hyperlink>
          </w:p>
        </w:tc>
        <w:tc>
          <w:tcPr>
            <w:tcW w:w="5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gridSpan w:val="4"/>
          </w:tcPr>
          <w:p>
            <w:pPr>
              <w:jc w:val="center"/>
              <w:spacing w:after="0"/>
              <w:rPr>
                <w:rFonts w:ascii="Arial" w:cs="Arial" w:eastAsia="Arial" w:hAnsi="Arial"/>
                <w:sz w:val="18"/>
                <w:szCs w:val="18"/>
                <w:u w:val="single" w:color="auto"/>
                <w:color w:val="0000FF"/>
                <w:w w:val="91"/>
              </w:rPr>
            </w:pPr>
            <w:hyperlink w:anchor="page74">
              <w:r>
                <w:rPr>
                  <w:rFonts w:ascii="Arial" w:cs="Arial" w:eastAsia="Arial" w:hAnsi="Arial"/>
                  <w:sz w:val="18"/>
                  <w:szCs w:val="18"/>
                  <w:u w:val="single" w:color="auto"/>
                  <w:color w:val="0000FF"/>
                  <w:w w:val="91"/>
                </w:rPr>
                <w:t>32.1</w:t>
              </w:r>
            </w:hyperlink>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Principal Executive Officer Pursuant to Section 906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Sarbanes-Oxley Act of 2002.</w:t>
              </w:r>
            </w:hyperlink>
          </w:p>
        </w:tc>
        <w:tc>
          <w:tcPr>
            <w:tcW w:w="4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gridSpan w:val="4"/>
          </w:tcPr>
          <w:p>
            <w:pPr>
              <w:jc w:val="center"/>
              <w:spacing w:after="0"/>
              <w:rPr>
                <w:rFonts w:ascii="Arial" w:cs="Arial" w:eastAsia="Arial" w:hAnsi="Arial"/>
                <w:sz w:val="18"/>
                <w:szCs w:val="18"/>
                <w:u w:val="single" w:color="auto"/>
                <w:color w:val="0000FF"/>
                <w:w w:val="91"/>
              </w:rPr>
            </w:pPr>
            <w:hyperlink w:anchor="page75">
              <w:r>
                <w:rPr>
                  <w:rFonts w:ascii="Arial" w:cs="Arial" w:eastAsia="Arial" w:hAnsi="Arial"/>
                  <w:sz w:val="18"/>
                  <w:szCs w:val="18"/>
                  <w:u w:val="single" w:color="auto"/>
                  <w:color w:val="0000FF"/>
                  <w:w w:val="91"/>
                </w:rPr>
                <w:t>32.2</w:t>
              </w:r>
            </w:hyperlink>
          </w:p>
        </w:tc>
        <w:tc>
          <w:tcPr>
            <w:tcW w:w="120" w:type="dxa"/>
            <w:vAlign w:val="bottom"/>
          </w:tcPr>
          <w:p>
            <w:pPr>
              <w:spacing w:after="0"/>
              <w:rPr>
                <w:sz w:val="22"/>
                <w:szCs w:val="22"/>
                <w:color w:val="auto"/>
              </w:rPr>
            </w:pPr>
          </w:p>
        </w:tc>
        <w:tc>
          <w:tcPr>
            <w:tcW w:w="5820" w:type="dxa"/>
            <w:vAlign w:val="bottom"/>
            <w:gridSpan w:val="11"/>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Certification of Principal Financial Officer Pursuant to Section 906 of the</w:t>
              </w:r>
            </w:hyperlink>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Sarbanes-Oxley Act of 2002.</w:t>
              </w:r>
            </w:hyperlink>
          </w:p>
        </w:tc>
        <w:tc>
          <w:tcPr>
            <w:tcW w:w="5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6"/>
                <w:szCs w:val="16"/>
                <w:color w:val="auto"/>
                <w:w w:val="93"/>
              </w:rPr>
              <w:t>101.INS</w:t>
            </w:r>
          </w:p>
        </w:tc>
        <w:tc>
          <w:tcPr>
            <w:tcW w:w="5820" w:type="dxa"/>
            <w:vAlign w:val="bottom"/>
            <w:gridSpan w:val="11"/>
          </w:tcPr>
          <w:p>
            <w:pPr>
              <w:spacing w:after="0"/>
              <w:rPr>
                <w:sz w:val="20"/>
                <w:szCs w:val="20"/>
                <w:color w:val="auto"/>
              </w:rPr>
            </w:pPr>
            <w:r>
              <w:rPr>
                <w:rFonts w:ascii="Arial" w:cs="Arial" w:eastAsia="Arial" w:hAnsi="Arial"/>
                <w:sz w:val="18"/>
                <w:szCs w:val="18"/>
                <w:color w:val="auto"/>
                <w:w w:val="98"/>
              </w:rPr>
              <w:t>XBRL Instance Document - the instance document does not appear in the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20" w:type="dxa"/>
            <w:vAlign w:val="bottom"/>
            <w:gridSpan w:val="11"/>
          </w:tcPr>
          <w:p>
            <w:pPr>
              <w:spacing w:after="0"/>
              <w:rPr>
                <w:sz w:val="20"/>
                <w:szCs w:val="20"/>
                <w:color w:val="auto"/>
              </w:rPr>
            </w:pPr>
            <w:r>
              <w:rPr>
                <w:rFonts w:ascii="Arial" w:cs="Arial" w:eastAsia="Arial" w:hAnsi="Arial"/>
                <w:sz w:val="18"/>
                <w:szCs w:val="18"/>
                <w:color w:val="auto"/>
                <w:w w:val="97"/>
              </w:rPr>
              <w:t>Interactive Data File because its XBRL tags are embedded within the Inline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2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6"/>
                <w:szCs w:val="16"/>
                <w:color w:val="auto"/>
                <w:w w:val="92"/>
              </w:rPr>
              <w:t>101.SCH</w:t>
            </w:r>
          </w:p>
        </w:tc>
        <w:tc>
          <w:tcPr>
            <w:tcW w:w="58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6"/>
                <w:szCs w:val="16"/>
                <w:color w:val="auto"/>
                <w:w w:val="96"/>
              </w:rPr>
              <w:t>101.CAL</w:t>
            </w:r>
          </w:p>
        </w:tc>
        <w:tc>
          <w:tcPr>
            <w:tcW w:w="58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6"/>
                <w:szCs w:val="16"/>
                <w:color w:val="auto"/>
                <w:w w:val="91"/>
              </w:rPr>
              <w:t>101.DEF</w:t>
            </w:r>
          </w:p>
        </w:tc>
        <w:tc>
          <w:tcPr>
            <w:tcW w:w="58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6"/>
                <w:szCs w:val="16"/>
                <w:color w:val="auto"/>
                <w:w w:val="97"/>
              </w:rPr>
              <w:t>101.LAB</w:t>
            </w:r>
          </w:p>
        </w:tc>
        <w:tc>
          <w:tcPr>
            <w:tcW w:w="58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6"/>
                <w:szCs w:val="16"/>
                <w:color w:val="auto"/>
                <w:w w:val="90"/>
              </w:rPr>
              <w:t>101.PRE</w:t>
            </w:r>
          </w:p>
        </w:tc>
        <w:tc>
          <w:tcPr>
            <w:tcW w:w="58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040" w:right="240" w:hanging="688"/>
        <w:spacing w:after="0" w:line="277" w:lineRule="auto"/>
        <w:tabs>
          <w:tab w:leader="none" w:pos="1040" w:val="left"/>
        </w:tabs>
        <w:numPr>
          <w:ilvl w:val="1"/>
          <w:numId w:val="33"/>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8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10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Filed</w:t>
            </w:r>
          </w:p>
        </w:tc>
        <w:tc>
          <w:tcPr>
            <w:tcW w:w="740" w:type="dxa"/>
            <w:vAlign w:val="bottom"/>
            <w:vMerge w:val="restart"/>
          </w:tcPr>
          <w:p>
            <w:pPr>
              <w:jc w:val="center"/>
              <w:ind w:left="153"/>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10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153"/>
              <w:spacing w:after="0"/>
              <w:rPr>
                <w:sz w:val="20"/>
                <w:szCs w:val="20"/>
                <w:color w:val="auto"/>
              </w:rPr>
            </w:pPr>
            <w:r>
              <w:rPr>
                <w:rFonts w:ascii="Arial" w:cs="Arial" w:eastAsia="Arial" w:hAnsi="Arial"/>
                <w:sz w:val="18"/>
                <w:szCs w:val="18"/>
                <w:color w:val="auto"/>
                <w:w w:val="99"/>
              </w:rPr>
              <w:t>10-K</w:t>
            </w:r>
          </w:p>
        </w:tc>
        <w:tc>
          <w:tcPr>
            <w:tcW w:w="1340" w:type="dxa"/>
            <w:vAlign w:val="bottom"/>
            <w:gridSpan w:val="3"/>
          </w:tcPr>
          <w:p>
            <w:pPr>
              <w:jc w:val="center"/>
              <w:ind w:left="253"/>
              <w:spacing w:after="0"/>
              <w:rPr>
                <w:sz w:val="20"/>
                <w:szCs w:val="20"/>
                <w:color w:val="auto"/>
              </w:rPr>
            </w:pPr>
            <w:r>
              <w:rPr>
                <w:rFonts w:ascii="Arial" w:cs="Arial" w:eastAsia="Arial" w:hAnsi="Arial"/>
                <w:sz w:val="18"/>
                <w:szCs w:val="18"/>
                <w:color w:val="auto"/>
                <w:w w:val="95"/>
              </w:rPr>
              <w:t>2.7</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2/20/2020</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340" w:type="dxa"/>
            <w:vAlign w:val="bottom"/>
            <w:gridSpan w:val="3"/>
          </w:tcPr>
          <w:p>
            <w:pPr>
              <w:jc w:val="center"/>
              <w:ind w:left="253"/>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2/5/2020</w:t>
            </w:r>
          </w:p>
        </w:tc>
        <w:tc>
          <w:tcPr>
            <w:tcW w:w="0" w:type="dxa"/>
            <w:vAlign w:val="bottom"/>
          </w:tcPr>
          <w:p>
            <w:pPr>
              <w:spacing w:after="0"/>
              <w:rPr>
                <w:sz w:val="1"/>
                <w:szCs w:val="1"/>
                <w:color w:val="auto"/>
              </w:rPr>
            </w:pPr>
          </w:p>
        </w:tc>
      </w:tr>
      <w:tr>
        <w:trPr>
          <w:trHeight w:val="635"/>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340" w:type="dxa"/>
            <w:vAlign w:val="bottom"/>
            <w:gridSpan w:val="3"/>
          </w:tcPr>
          <w:p>
            <w:pPr>
              <w:jc w:val="center"/>
              <w:ind w:left="253"/>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2/5/2020</w:t>
            </w:r>
          </w:p>
        </w:tc>
        <w:tc>
          <w:tcPr>
            <w:tcW w:w="0" w:type="dxa"/>
            <w:vAlign w:val="bottom"/>
          </w:tcPr>
          <w:p>
            <w:pPr>
              <w:spacing w:after="0"/>
              <w:rPr>
                <w:sz w:val="1"/>
                <w:szCs w:val="1"/>
                <w:color w:val="auto"/>
              </w:rPr>
            </w:pPr>
          </w:p>
        </w:tc>
      </w:tr>
      <w:tr>
        <w:trPr>
          <w:trHeight w:val="63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340" w:type="dxa"/>
            <w:vAlign w:val="bottom"/>
            <w:gridSpan w:val="3"/>
          </w:tcPr>
          <w:p>
            <w:pPr>
              <w:jc w:val="center"/>
              <w:ind w:left="253"/>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2/5/2020</w:t>
            </w:r>
          </w:p>
        </w:tc>
        <w:tc>
          <w:tcPr>
            <w:tcW w:w="0" w:type="dxa"/>
            <w:vAlign w:val="bottom"/>
          </w:tcPr>
          <w:p>
            <w:pPr>
              <w:spacing w:after="0"/>
              <w:rPr>
                <w:sz w:val="1"/>
                <w:szCs w:val="1"/>
                <w:color w:val="auto"/>
              </w:rPr>
            </w:pPr>
          </w:p>
        </w:tc>
      </w:tr>
      <w:tr>
        <w:trPr>
          <w:trHeight w:val="63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133"/>
              <w:spacing w:after="0"/>
              <w:rPr>
                <w:sz w:val="20"/>
                <w:szCs w:val="20"/>
                <w:color w:val="auto"/>
              </w:rPr>
            </w:pPr>
            <w:r>
              <w:rPr>
                <w:rFonts w:ascii="Arial" w:cs="Arial" w:eastAsia="Arial" w:hAnsi="Arial"/>
                <w:sz w:val="18"/>
                <w:szCs w:val="18"/>
                <w:color w:val="auto"/>
                <w:w w:val="99"/>
              </w:rPr>
              <w:t>8-K</w:t>
            </w:r>
          </w:p>
        </w:tc>
        <w:tc>
          <w:tcPr>
            <w:tcW w:w="1340" w:type="dxa"/>
            <w:vAlign w:val="bottom"/>
            <w:gridSpan w:val="3"/>
          </w:tcPr>
          <w:p>
            <w:pPr>
              <w:jc w:val="center"/>
              <w:ind w:left="253"/>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1/24/2020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860" w:space="100"/>
            <w:col w:w="4260"/>
          </w:cols>
          <w:pgMar w:left="320" w:top="125" w:right="35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Title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480"/>
        </w:trPr>
        <w:tc>
          <w:tcPr>
            <w:tcW w:w="5380" w:type="dxa"/>
            <w:vAlign w:val="bottom"/>
          </w:tcPr>
          <w:p>
            <w:pPr>
              <w:jc w:val="center"/>
              <w:spacing w:after="0"/>
              <w:rPr>
                <w:sz w:val="20"/>
                <w:szCs w:val="20"/>
                <w:color w:val="auto"/>
              </w:rPr>
            </w:pPr>
            <w:r>
              <w:rPr>
                <w:rFonts w:ascii="Arial" w:cs="Arial" w:eastAsia="Arial" w:hAnsi="Arial"/>
                <w:sz w:val="18"/>
                <w:szCs w:val="18"/>
                <w:color w:val="auto"/>
                <w:w w:val="96"/>
              </w:rPr>
              <w:t>/s/ EDWARD B. PITONIAK</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Executive Officer and Director</w:t>
            </w: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April 30, 2020</w:t>
            </w:r>
          </w:p>
        </w:tc>
      </w:tr>
      <w:tr>
        <w:trPr>
          <w:trHeight w:val="27"/>
        </w:trPr>
        <w:tc>
          <w:tcPr>
            <w:tcW w:w="5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180" w:type="dxa"/>
            <w:vAlign w:val="bottom"/>
          </w:tcPr>
          <w:p>
            <w:pPr>
              <w:spacing w:after="0"/>
              <w:rPr>
                <w:sz w:val="20"/>
                <w:szCs w:val="20"/>
                <w:color w:val="auto"/>
              </w:rPr>
            </w:pPr>
          </w:p>
        </w:tc>
      </w:tr>
      <w:tr>
        <w:trPr>
          <w:trHeight w:val="527"/>
        </w:trPr>
        <w:tc>
          <w:tcPr>
            <w:tcW w:w="5380" w:type="dxa"/>
            <w:vAlign w:val="bottom"/>
          </w:tcPr>
          <w:p>
            <w:pPr>
              <w:jc w:val="center"/>
              <w:spacing w:after="0"/>
              <w:rPr>
                <w:sz w:val="20"/>
                <w:szCs w:val="20"/>
                <w:color w:val="auto"/>
              </w:rPr>
            </w:pPr>
            <w:r>
              <w:rPr>
                <w:rFonts w:ascii="Arial" w:cs="Arial" w:eastAsia="Arial" w:hAnsi="Arial"/>
                <w:sz w:val="18"/>
                <w:szCs w:val="18"/>
                <w:color w:val="auto"/>
                <w:w w:val="98"/>
              </w:rPr>
              <w:t>/s/ DAVID A. KIESKE</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Financial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April 30, 2020</w:t>
            </w:r>
          </w:p>
        </w:tc>
      </w:tr>
      <w:tr>
        <w:trPr>
          <w:trHeight w:val="27"/>
        </w:trPr>
        <w:tc>
          <w:tcPr>
            <w:tcW w:w="5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Financial Officer)</w:t>
            </w:r>
          </w:p>
        </w:tc>
        <w:tc>
          <w:tcPr>
            <w:tcW w:w="2180" w:type="dxa"/>
            <w:vAlign w:val="bottom"/>
          </w:tcPr>
          <w:p>
            <w:pPr>
              <w:spacing w:after="0"/>
              <w:rPr>
                <w:sz w:val="20"/>
                <w:szCs w:val="20"/>
                <w:color w:val="auto"/>
              </w:rPr>
            </w:pPr>
          </w:p>
        </w:tc>
      </w:tr>
      <w:tr>
        <w:trPr>
          <w:trHeight w:val="527"/>
        </w:trPr>
        <w:tc>
          <w:tcPr>
            <w:tcW w:w="538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0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Chief Accounting Officer</w:t>
            </w:r>
          </w:p>
        </w:tc>
        <w:tc>
          <w:tcPr>
            <w:tcW w:w="2180" w:type="dxa"/>
            <w:vAlign w:val="bottom"/>
          </w:tcPr>
          <w:p>
            <w:pPr>
              <w:jc w:val="center"/>
              <w:spacing w:after="0"/>
              <w:rPr>
                <w:sz w:val="20"/>
                <w:szCs w:val="20"/>
                <w:color w:val="auto"/>
              </w:rPr>
            </w:pPr>
            <w:r>
              <w:rPr>
                <w:rFonts w:ascii="Arial" w:cs="Arial" w:eastAsia="Arial" w:hAnsi="Arial"/>
                <w:sz w:val="18"/>
                <w:szCs w:val="18"/>
                <w:color w:val="auto"/>
                <w:w w:val="95"/>
              </w:rPr>
              <w:t>April 30, 2020</w:t>
            </w:r>
          </w:p>
        </w:tc>
      </w:tr>
      <w:tr>
        <w:trPr>
          <w:trHeight w:val="27"/>
        </w:trPr>
        <w:tc>
          <w:tcPr>
            <w:tcW w:w="5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7"/>
        </w:trPr>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p>
    <w:p>
      <w:pPr>
        <w:spacing w:after="0" w:line="63" w:lineRule="exact"/>
        <w:rPr>
          <w:sz w:val="20"/>
          <w:szCs w:val="20"/>
          <w:color w:val="auto"/>
        </w:rPr>
      </w:pPr>
    </w:p>
    <w:p>
      <w:pPr>
        <w:ind w:left="46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9173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53"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p>
    <w:p>
      <w:pPr>
        <w:spacing w:after="0" w:line="63" w:lineRule="exact"/>
        <w:rPr>
          <w:sz w:val="20"/>
          <w:szCs w:val="20"/>
          <w:color w:val="auto"/>
        </w:rPr>
      </w:pPr>
    </w:p>
    <w:p>
      <w:pPr>
        <w:ind w:left="462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9173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243"/>
        <w:spacing w:after="0" w:line="277"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2020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660" w:hanging="467"/>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p>
    <w:p>
      <w:pPr>
        <w:spacing w:after="0" w:line="63" w:lineRule="exact"/>
        <w:rPr>
          <w:sz w:val="20"/>
          <w:szCs w:val="20"/>
          <w:color w:val="auto"/>
        </w:rPr>
      </w:pPr>
    </w:p>
    <w:p>
      <w:pPr>
        <w:ind w:left="46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917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3"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firstLine="243"/>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2020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660" w:hanging="467"/>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30, 2020</w:t>
      </w:r>
    </w:p>
    <w:p>
      <w:pPr>
        <w:spacing w:after="0" w:line="63" w:lineRule="exact"/>
        <w:rPr>
          <w:sz w:val="20"/>
          <w:szCs w:val="20"/>
          <w:color w:val="auto"/>
        </w:rPr>
      </w:pPr>
    </w:p>
    <w:p>
      <w:pPr>
        <w:ind w:left="462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31750</wp:posOffset>
            </wp:positionV>
            <wp:extent cx="39173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5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00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Roman"/>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Roman"/>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lvl w:ilvl="1">
      <w:lvlJc w:val="left"/>
      <w:lvlText w:val="%2"/>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8" Type="http://schemas.openxmlformats.org/officeDocument/2006/relationships/hyperlink" Target="http://www.sec.gov/Archives/edgar/data/1705696/000170569620000048/vici2019form10-k.htm" TargetMode="External"/><Relationship Id="rId28" Type="http://schemas.openxmlformats.org/officeDocument/2006/relationships/hyperlink" Target="https://www.sec.gov/Archives/edgar/data/1705696/000170569620000048/vici2019form10-k.htm" TargetMode="External"/><Relationship Id="rId116" Type="http://schemas.openxmlformats.org/officeDocument/2006/relationships/hyperlink" Target="http://www.sec.gov/Archives/edgar/data/1705696/000170569620000048/exhibit27-xfirstamendm.htm" TargetMode="External"/><Relationship Id="rId117" Type="http://schemas.openxmlformats.org/officeDocument/2006/relationships/hyperlink" Target="http://www.sec.gov/Archives/edgar/data/1705696/000170569620000023/notesoffering-2025inde.htm" TargetMode="External"/><Relationship Id="rId118" Type="http://schemas.openxmlformats.org/officeDocument/2006/relationships/hyperlink" Target="http://www.sec.gov/Archives/edgar/data/1705696/000170569620000023/notesoffering-2027inde.htm" TargetMode="External"/><Relationship Id="rId119" Type="http://schemas.openxmlformats.org/officeDocument/2006/relationships/hyperlink" Target="http://www.sec.gov/Archives/edgar/data/1705696/000170569620000023/notesoffering-2030inde.htm" TargetMode="External"/><Relationship Id="rId120" Type="http://schemas.openxmlformats.org/officeDocument/2006/relationships/hyperlink" Target="http://www.sec.gov/Archives/edgar/data/1705696/000170569620000020/vici-2020repricing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2020-04-30T15:36:25Z</dcterms:created>
  <dcterms:modified xsi:type="dcterms:W3CDTF">2020-04-30T15:36:25Z</dcterms:modified>
</cp:coreProperties>
</file>