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80" w:after="283"/>
        <w:jc w:val="both"/>
        <w:rPr/>
      </w:pPr>
      <w:r>
        <w:rPr/>
      </w:r>
    </w:p>
    <w:p>
      <w:pPr>
        <w:pStyle w:val="TextBody"/>
        <w:bidi w:val="0"/>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UNITED STATES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SECURITIES AND EXCHANGE COMMISSION</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Washington, D.C. 20549</w:t>
      </w:r>
    </w:p>
    <w:p>
      <w:pPr>
        <w:pStyle w:val="TextBody"/>
        <w:bidi w:val="0"/>
        <w:spacing w:lineRule="auto" w:line="288" w:before="60" w:after="283"/>
        <w:jc w:val="center"/>
        <w:rPr>
          <w:rFonts w:ascii="Times New Roman;sans-serif" w:hAnsi="Times New Roman;sans-serif"/>
          <w:b/>
          <w:color w:val="000000"/>
          <w:sz w:val="24"/>
        </w:rPr>
      </w:pPr>
      <w:r>
        <w:rPr>
          <w:rFonts w:ascii="Times New Roman;sans-serif" w:hAnsi="Times New Roman;sans-serif"/>
          <w:b/>
          <w:color w:val="000000"/>
          <w:sz w:val="24"/>
        </w:rPr>
        <w:t xml:space="preserve">FORM 10-K </w:t>
      </w:r>
    </w:p>
    <w:tbl>
      <w:tblPr>
        <w:tblW w:w="9556" w:type="dxa"/>
        <w:jc w:val="center"/>
        <w:tblInd w:w="0" w:type="dxa"/>
        <w:tblLayout w:type="fixed"/>
        <w:tblCellMar>
          <w:top w:w="28" w:type="dxa"/>
          <w:left w:w="28" w:type="dxa"/>
          <w:bottom w:w="28" w:type="dxa"/>
          <w:right w:w="28" w:type="dxa"/>
        </w:tblCellMar>
      </w:tblPr>
      <w:tblGrid>
        <w:gridCol w:w="185"/>
        <w:gridCol w:w="162"/>
        <w:gridCol w:w="164"/>
        <w:gridCol w:w="2644"/>
        <w:gridCol w:w="2644"/>
        <w:gridCol w:w="3757"/>
      </w:tblGrid>
      <w:tr>
        <w:trPr/>
        <w:tc>
          <w:tcPr>
            <w:tcW w:w="18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644" w:type="dxa"/>
            <w:tcBorders/>
            <w:vAlign w:val="center"/>
          </w:tcPr>
          <w:p>
            <w:pPr>
              <w:pStyle w:val="TableContents"/>
              <w:bidi w:val="0"/>
              <w:spacing w:before="0" w:after="283"/>
              <w:jc w:val="left"/>
              <w:rPr>
                <w:sz w:val="4"/>
                <w:szCs w:val="4"/>
              </w:rPr>
            </w:pPr>
            <w:r>
              <w:rPr>
                <w:sz w:val="4"/>
                <w:szCs w:val="4"/>
              </w:rPr>
            </w:r>
          </w:p>
        </w:tc>
        <w:tc>
          <w:tcPr>
            <w:tcW w:w="2644" w:type="dxa"/>
            <w:tcBorders/>
            <w:vAlign w:val="center"/>
          </w:tcPr>
          <w:p>
            <w:pPr>
              <w:pStyle w:val="TableContents"/>
              <w:bidi w:val="0"/>
              <w:spacing w:before="0" w:after="283"/>
              <w:jc w:val="left"/>
              <w:rPr>
                <w:sz w:val="4"/>
                <w:szCs w:val="4"/>
              </w:rPr>
            </w:pPr>
            <w:r>
              <w:rPr>
                <w:sz w:val="4"/>
                <w:szCs w:val="4"/>
              </w:rPr>
            </w:r>
          </w:p>
        </w:tc>
        <w:tc>
          <w:tcPr>
            <w:tcW w:w="3757" w:type="dxa"/>
            <w:tcBorders/>
            <w:vAlign w:val="center"/>
          </w:tcPr>
          <w:p>
            <w:pPr>
              <w:pStyle w:val="TableContents"/>
              <w:bidi w:val="0"/>
              <w:spacing w:before="0" w:after="283"/>
              <w:jc w:val="left"/>
              <w:rPr>
                <w:sz w:val="4"/>
                <w:szCs w:val="4"/>
              </w:rPr>
            </w:pPr>
            <w:r>
              <w:rPr>
                <w:sz w:val="4"/>
                <w:szCs w:val="4"/>
              </w:rPr>
            </w:r>
          </w:p>
        </w:tc>
      </w:tr>
      <w:tr>
        <w:trPr/>
        <w:tc>
          <w:tcPr>
            <w:tcW w:w="9556"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(Mark One)</w:t>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color w:val="000000"/>
              </w:rPr>
            </w:pPr>
            <w:r>
              <w:rPr>
                <w:color w:val="000000"/>
              </w:rPr>
              <w:t>☒</w:t>
            </w:r>
          </w:p>
        </w:tc>
        <w:tc>
          <w:tcPr>
            <w:tcW w:w="9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ANNUAL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For the Fiscal Year Ended December 31, 2023 </w:t>
      </w:r>
    </w:p>
    <w:p>
      <w:pPr>
        <w:pStyle w:val="TextBody"/>
        <w:bidi w:val="0"/>
        <w:spacing w:lineRule="auto" w:line="288" w:before="0" w:after="0"/>
        <w:jc w:val="center"/>
        <w:rPr/>
      </w:pPr>
      <w:r>
        <w:rPr>
          <w:rFonts w:ascii="Times New Roman;sans-serif" w:hAnsi="Times New Roman;sans-serif"/>
          <w:b/>
          <w:color w:val="000000"/>
          <w:sz w:val="18"/>
        </w:rPr>
        <w:t>or</w:t>
      </w:r>
      <w:r>
        <w:rPr>
          <w:color w:val="000000"/>
        </w:rPr>
        <w:t> </w:t>
      </w:r>
    </w:p>
    <w:tbl>
      <w:tblPr>
        <w:tblW w:w="9761" w:type="dxa"/>
        <w:jc w:val="center"/>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TRANSITION REPORT PURSUANT TO SECTION 13 OR 15(d) OF THE SECURITIES EXCHANGE ACT OF 1934</w:t>
            </w:r>
          </w:p>
        </w:tc>
      </w:tr>
    </w:tbl>
    <w:p>
      <w:pPr>
        <w:pStyle w:val="TextBody"/>
        <w:bidi w:val="0"/>
        <w:spacing w:lineRule="auto" w:line="288" w:before="60" w:after="283"/>
        <w:jc w:val="center"/>
        <w:rPr>
          <w:rFonts w:ascii="Times New Roman;sans-serif" w:hAnsi="Times New Roman;sans-serif"/>
          <w:b/>
          <w:color w:val="000000"/>
          <w:sz w:val="18"/>
        </w:rPr>
      </w:pPr>
      <w:r>
        <w:rPr>
          <w:rFonts w:ascii="Times New Roman;sans-serif" w:hAnsi="Times New Roman;sans-serif"/>
          <w:b/>
          <w:color w:val="000000"/>
          <w:sz w:val="18"/>
        </w:rPr>
        <w:t>For the Transition Period From ________ to _________</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Commission file number: 000-55791 (VICI Properties Inc.)</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Commission file number: 333-264352-01 (VICI Properties L.P.)</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________________________________________________</w:t>
      </w:r>
    </w:p>
    <w:p>
      <w:pPr>
        <w:pStyle w:val="TextBody"/>
        <w:bidi w:val="0"/>
        <w:spacing w:lineRule="auto" w:line="288" w:before="120" w:after="283"/>
        <w:jc w:val="center"/>
        <w:rPr>
          <w:rFonts w:ascii="Times New Roman;sans-serif" w:hAnsi="Times New Roman;sans-serif"/>
          <w:b/>
          <w:color w:val="000000"/>
          <w:sz w:val="24"/>
        </w:rPr>
      </w:pPr>
      <w:r>
        <w:rPr>
          <w:rFonts w:ascii="Times New Roman;sans-serif" w:hAnsi="Times New Roman;sans-serif"/>
          <w:b/>
          <w:color w:val="000000"/>
          <w:sz w:val="24"/>
        </w:rPr>
        <w:t xml:space="preserve">VICI Properties Inc. </w:t>
      </w:r>
    </w:p>
    <w:p>
      <w:pPr>
        <w:pStyle w:val="TextBody"/>
        <w:bidi w:val="0"/>
        <w:spacing w:lineRule="auto" w:line="288" w:before="60" w:after="283"/>
        <w:jc w:val="center"/>
        <w:rPr>
          <w:rFonts w:ascii="Times New Roman;sans-serif" w:hAnsi="Times New Roman;sans-serif"/>
          <w:b/>
          <w:color w:val="000000"/>
          <w:sz w:val="24"/>
        </w:rPr>
      </w:pPr>
      <w:r>
        <w:rPr>
          <w:rFonts w:ascii="Times New Roman;sans-serif" w:hAnsi="Times New Roman;sans-serif"/>
          <w:b/>
          <w:color w:val="000000"/>
          <w:sz w:val="24"/>
        </w:rPr>
        <w:t>VICI Properties L.P.</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(Exact name of registrant as specified in its charter)</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________________________________________________</w:t>
      </w:r>
    </w:p>
    <w:p>
      <w:pPr>
        <w:pStyle w:val="TextBody"/>
        <w:bidi w:val="0"/>
        <w:spacing w:lineRule="auto" w:line="240" w:before="0" w:after="0"/>
        <w:jc w:val="both"/>
        <w:rPr>
          <w:color w:val="000000"/>
        </w:rPr>
      </w:pPr>
      <w:r>
        <w:rPr>
          <w:color w:val="000000"/>
        </w:rPr>
        <w:t> </w:t>
      </w:r>
    </w:p>
    <w:tbl>
      <w:tblPr>
        <w:tblW w:w="9028" w:type="dxa"/>
        <w:jc w:val="center"/>
        <w:tblInd w:w="0" w:type="dxa"/>
        <w:tblLayout w:type="fixed"/>
        <w:tblCellMar>
          <w:top w:w="28" w:type="dxa"/>
          <w:left w:w="28" w:type="dxa"/>
          <w:bottom w:w="28" w:type="dxa"/>
          <w:right w:w="28" w:type="dxa"/>
        </w:tblCellMar>
      </w:tblPr>
      <w:tblGrid>
        <w:gridCol w:w="1648"/>
        <w:gridCol w:w="1450"/>
        <w:gridCol w:w="1462"/>
        <w:gridCol w:w="574"/>
        <w:gridCol w:w="574"/>
        <w:gridCol w:w="576"/>
        <w:gridCol w:w="799"/>
        <w:gridCol w:w="799"/>
        <w:gridCol w:w="1146"/>
      </w:tblGrid>
      <w:tr>
        <w:trPr/>
        <w:tc>
          <w:tcPr>
            <w:tcW w:w="1648"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Maryland</w:t>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(VICI Properties Inc.)</w:t>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81-4177147</w:t>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Delaware</w:t>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(VICI Properties L.P.)</w:t>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35-2576503</w:t>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 incorporation or organization)</w:t>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 Identification No.)</w:t>
            </w:r>
          </w:p>
        </w:tc>
      </w:tr>
    </w:tbl>
    <w:p>
      <w:pPr>
        <w:pStyle w:val="TextBody"/>
        <w:bidi w:val="0"/>
        <w:spacing w:lineRule="auto" w:line="288" w:before="60" w:after="283"/>
        <w:jc w:val="center"/>
        <w:rPr>
          <w:rFonts w:ascii="Times New Roman;sans-serif" w:hAnsi="Times New Roman;sans-serif"/>
          <w:b/>
          <w:color w:val="000000"/>
          <w:sz w:val="18"/>
        </w:rPr>
      </w:pPr>
      <w:r>
        <w:rPr>
          <w:rFonts w:ascii="Times New Roman;sans-serif" w:hAnsi="Times New Roman;sans-serif"/>
          <w:b/>
          <w:color w:val="000000"/>
          <w:sz w:val="18"/>
        </w:rPr>
        <w:t xml:space="preserve">535 Madison Avenue, 20th Floor New York, New York 10022 </w:t>
      </w:r>
    </w:p>
    <w:p>
      <w:pPr>
        <w:pStyle w:val="TextBody"/>
        <w:bidi w:val="0"/>
        <w:spacing w:lineRule="auto" w:line="288" w:before="60" w:after="283"/>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 (Zip Code)</w:t>
      </w:r>
    </w:p>
    <w:p>
      <w:pPr>
        <w:pStyle w:val="TextBody"/>
        <w:bidi w:val="0"/>
        <w:spacing w:lineRule="auto" w:line="288" w:before="60" w:after="283"/>
        <w:jc w:val="center"/>
        <w:rPr>
          <w:rFonts w:ascii="Times New Roman;sans-serif" w:hAnsi="Times New Roman;sans-serif"/>
          <w:b/>
          <w:color w:val="000000"/>
          <w:sz w:val="18"/>
        </w:rPr>
      </w:pPr>
      <w:r>
        <w:rPr>
          <w:rFonts w:ascii="Times New Roman;sans-serif" w:hAnsi="Times New Roman;sans-serif"/>
          <w:b/>
          <w:color w:val="000000"/>
          <w:sz w:val="18"/>
        </w:rPr>
        <w:t xml:space="preserve">Registrant’s telephone number, including area code: (646) 949-4631 </w:t>
      </w:r>
    </w:p>
    <w:p>
      <w:pPr>
        <w:pStyle w:val="TextBody"/>
        <w:bidi w:val="0"/>
        <w:spacing w:lineRule="auto" w:line="288" w:before="120" w:after="283"/>
        <w:jc w:val="center"/>
        <w:rPr>
          <w:rFonts w:ascii="Times New Roman;sans-serif" w:hAnsi="Times New Roman;sans-serif"/>
          <w:b/>
          <w:color w:val="000000"/>
          <w:sz w:val="18"/>
        </w:rPr>
      </w:pPr>
      <w:r>
        <w:rPr>
          <w:rFonts w:ascii="Times New Roman;sans-serif" w:hAnsi="Times New Roman;sans-serif"/>
          <w:b/>
          <w:color w:val="000000"/>
          <w:sz w:val="18"/>
        </w:rPr>
        <w:t>SECURITIES REGISTERED PURSUANT TO SECTION 12(b) OF THE ACT:</w:t>
      </w:r>
    </w:p>
    <w:tbl>
      <w:tblPr>
        <w:tblW w:w="7881" w:type="dxa"/>
        <w:jc w:val="center"/>
        <w:tblInd w:w="0" w:type="dxa"/>
        <w:tblLayout w:type="fixed"/>
        <w:tblCellMar>
          <w:top w:w="28" w:type="dxa"/>
          <w:left w:w="28" w:type="dxa"/>
          <w:bottom w:w="28" w:type="dxa"/>
          <w:right w:w="28" w:type="dxa"/>
        </w:tblCellMar>
      </w:tblPr>
      <w:tblGrid>
        <w:gridCol w:w="861"/>
        <w:gridCol w:w="757"/>
        <w:gridCol w:w="766"/>
        <w:gridCol w:w="109"/>
        <w:gridCol w:w="109"/>
        <w:gridCol w:w="109"/>
        <w:gridCol w:w="454"/>
        <w:gridCol w:w="454"/>
        <w:gridCol w:w="456"/>
        <w:gridCol w:w="109"/>
        <w:gridCol w:w="109"/>
        <w:gridCol w:w="109"/>
        <w:gridCol w:w="1019"/>
        <w:gridCol w:w="1019"/>
        <w:gridCol w:w="1441"/>
      </w:tblGrid>
      <w:tr>
        <w:trPr/>
        <w:tc>
          <w:tcPr>
            <w:tcW w:w="86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Name of each exchange on which registered</w:t>
            </w:r>
          </w:p>
        </w:tc>
      </w:tr>
      <w:tr>
        <w:trPr/>
        <w:tc>
          <w:tcPr>
            <w:tcW w:w="23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Common stock, $0.01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VICI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New York Stock Exchange</w:t>
            </w:r>
          </w:p>
        </w:tc>
      </w:tr>
    </w:tbl>
    <w:p>
      <w:pPr>
        <w:pStyle w:val="TextBody"/>
        <w:bidi w:val="0"/>
        <w:spacing w:lineRule="auto" w:line="288" w:before="120" w:after="283"/>
        <w:jc w:val="center"/>
        <w:rPr>
          <w:rFonts w:ascii="Times New Roman;sans-serif" w:hAnsi="Times New Roman;sans-serif"/>
          <w:b/>
          <w:color w:val="000000"/>
          <w:sz w:val="18"/>
        </w:rPr>
      </w:pPr>
      <w:r>
        <w:rPr>
          <w:rFonts w:ascii="Times New Roman;sans-serif" w:hAnsi="Times New Roman;sans-serif"/>
          <w:b/>
          <w:color w:val="000000"/>
          <w:sz w:val="18"/>
        </w:rPr>
        <w:t>SECURITIES REGISTERED PURSUANT TO SECTION 12(g) OF THE ACT:</w:t>
      </w:r>
    </w:p>
    <w:p>
      <w:pPr>
        <w:pStyle w:val="TextBody"/>
        <w:bidi w:val="0"/>
        <w:spacing w:lineRule="auto" w:line="288" w:before="60" w:after="283"/>
        <w:jc w:val="center"/>
        <w:rPr>
          <w:rFonts w:ascii="Times New Roman;sans-serif" w:hAnsi="Times New Roman;sans-serif"/>
          <w:b/>
          <w:color w:val="000000"/>
          <w:sz w:val="16"/>
        </w:rPr>
      </w:pPr>
      <w:r>
        <w:rPr>
          <w:rFonts w:ascii="Times New Roman;sans-serif" w:hAnsi="Times New Roman;sans-serif"/>
          <w:b/>
          <w:color w:val="000000"/>
          <w:sz w:val="16"/>
        </w:rPr>
        <w:t>None</w:t>
      </w:r>
    </w:p>
    <w:p>
      <w:pPr>
        <w:pStyle w:val="TextBody"/>
        <w:bidi w:val="0"/>
        <w:spacing w:lineRule="auto" w:line="288" w:before="120" w:after="283"/>
        <w:ind w:left="0" w:right="0" w:firstLine="360"/>
        <w:jc w:val="both"/>
        <w:rPr>
          <w:rFonts w:ascii="Times New Roman;sans-serif" w:hAnsi="Times New Roman;sans-serif"/>
          <w:b w:val="false"/>
          <w:color w:val="000000"/>
          <w:sz w:val="16"/>
        </w:rPr>
      </w:pPr>
      <w:r>
        <w:rPr>
          <w:rFonts w:ascii="Times New Roman;sans-serif" w:hAnsi="Times New Roman;sans-serif"/>
          <w:b w:val="false"/>
          <w:color w:val="000000"/>
          <w:sz w:val="16"/>
        </w:rPr>
        <w:t>Indicate by check mark if the registrant is a well-known seasoned issuer, as defined in Rule 405 of the Securities Act.</w:t>
      </w:r>
    </w:p>
    <w:tbl>
      <w:tblPr>
        <w:tblW w:w="6985" w:type="dxa"/>
        <w:jc w:val="left"/>
        <w:tblInd w:w="0" w:type="dxa"/>
        <w:tblLayout w:type="fixed"/>
        <w:tblCellMar>
          <w:top w:w="28" w:type="dxa"/>
          <w:left w:w="28" w:type="dxa"/>
          <w:bottom w:w="28" w:type="dxa"/>
          <w:right w:w="28" w:type="dxa"/>
        </w:tblCellMar>
      </w:tblPr>
      <w:tblGrid>
        <w:gridCol w:w="1206"/>
        <w:gridCol w:w="1060"/>
        <w:gridCol w:w="1063"/>
        <w:gridCol w:w="109"/>
        <w:gridCol w:w="109"/>
        <w:gridCol w:w="109"/>
        <w:gridCol w:w="974"/>
        <w:gridCol w:w="974"/>
        <w:gridCol w:w="1381"/>
      </w:tblGrid>
      <w:tr>
        <w:trPr/>
        <w:tc>
          <w:tcPr>
            <w:tcW w:w="1206"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lineRule="auto" w:line="240" w:before="120" w:after="283"/>
              <w:ind w:left="0" w:right="0" w:firstLine="360"/>
              <w:jc w:val="left"/>
              <w:rPr/>
            </w:pPr>
            <w:r>
              <w:rPr>
                <w:rFonts w:ascii="Times New Roman;sans-serif" w:hAnsi="Times New Roman;sans-serif"/>
                <w:b w:val="false"/>
                <w:color w:val="000000"/>
                <w:sz w:val="16"/>
              </w:rPr>
              <w:t>VICI Properties Inc.  Yes  </w:t>
            </w:r>
            <w:r>
              <w:rPr>
                <w:color w:val="000000"/>
              </w:rPr>
              <w:t>☒    </w:t>
            </w:r>
            <w:r>
              <w:rPr>
                <w:rFonts w:ascii="Times New Roman;sans-serif" w:hAnsi="Times New Roman;sans-serif"/>
                <w:b w:val="false"/>
                <w:color w:val="000000"/>
                <w:sz w:val="16"/>
              </w:rPr>
              <w:t>No  </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tcMar>
              <w:top w:w="0" w:type="dxa"/>
              <w:left w:w="0" w:type="dxa"/>
              <w:bottom w:w="0" w:type="dxa"/>
              <w:right w:w="0" w:type="dxa"/>
            </w:tcMar>
            <w:vAlign w:val="center"/>
          </w:tcPr>
          <w:p>
            <w:pPr>
              <w:pStyle w:val="TableContents"/>
              <w:bidi w:val="0"/>
              <w:spacing w:lineRule="auto" w:line="240" w:before="120" w:after="283"/>
              <w:ind w:left="0" w:right="0" w:firstLine="360"/>
              <w:jc w:val="left"/>
              <w:rPr/>
            </w:pPr>
            <w:r>
              <w:rPr>
                <w:rFonts w:ascii="Times New Roman;sans-serif" w:hAnsi="Times New Roman;sans-serif"/>
                <w:b w:val="false"/>
                <w:color w:val="000000"/>
                <w:sz w:val="16"/>
              </w:rPr>
              <w:t>VICI Properties L.P.  Yes </w:t>
            </w:r>
            <w:r>
              <w:rPr>
                <w:color w:val="000000"/>
              </w:rPr>
              <w:t>☒    </w:t>
            </w:r>
            <w:r>
              <w:rPr>
                <w:rFonts w:ascii="Times New Roman;sans-serif" w:hAnsi="Times New Roman;sans-serif"/>
                <w:b w:val="false"/>
                <w:color w:val="000000"/>
                <w:sz w:val="16"/>
              </w:rPr>
              <w:t>No  </w:t>
            </w:r>
            <w:r>
              <w:rPr>
                <w:color w:val="000000"/>
              </w:rPr>
              <w:t xml:space="preserve">☐ </w:t>
            </w:r>
          </w:p>
        </w:tc>
      </w:tr>
    </w:tbl>
    <w:p>
      <w:pPr>
        <w:pStyle w:val="TextBody"/>
        <w:bidi w:val="0"/>
        <w:spacing w:lineRule="auto" w:line="288" w:before="60" w:after="283"/>
        <w:ind w:left="0" w:right="0" w:firstLine="360"/>
        <w:jc w:val="both"/>
        <w:rPr>
          <w:rFonts w:ascii="Times New Roman;sans-serif" w:hAnsi="Times New Roman;sans-serif"/>
          <w:b w:val="false"/>
          <w:color w:val="000000"/>
          <w:sz w:val="16"/>
        </w:rPr>
      </w:pPr>
      <w:r>
        <w:rPr>
          <w:rFonts w:ascii="Times New Roman;sans-serif" w:hAnsi="Times New Roman;sans-serif"/>
          <w:b w:val="false"/>
          <w:color w:val="000000"/>
          <w:sz w:val="16"/>
        </w:rPr>
        <w:t>Indicate by check mark if the registrant is not required to file reports pursuant to Section 13 or Section 15(d) of the Act.</w:t>
      </w:r>
    </w:p>
    <w:tbl>
      <w:tblPr>
        <w:tblW w:w="6925" w:type="dxa"/>
        <w:jc w:val="left"/>
        <w:tblInd w:w="0" w:type="dxa"/>
        <w:tblLayout w:type="fixed"/>
        <w:tblCellMar>
          <w:top w:w="28" w:type="dxa"/>
          <w:left w:w="28" w:type="dxa"/>
          <w:bottom w:w="28" w:type="dxa"/>
          <w:right w:w="28" w:type="dxa"/>
        </w:tblCellMar>
      </w:tblPr>
      <w:tblGrid>
        <w:gridCol w:w="1184"/>
        <w:gridCol w:w="1041"/>
        <w:gridCol w:w="1044"/>
        <w:gridCol w:w="109"/>
        <w:gridCol w:w="109"/>
        <w:gridCol w:w="109"/>
        <w:gridCol w:w="974"/>
        <w:gridCol w:w="974"/>
        <w:gridCol w:w="1381"/>
      </w:tblGrid>
      <w:tr>
        <w:trPr/>
        <w:tc>
          <w:tcPr>
            <w:tcW w:w="1184"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120" w:after="283"/>
              <w:ind w:left="0" w:right="0" w:firstLine="360"/>
              <w:jc w:val="left"/>
              <w:rPr/>
            </w:pPr>
            <w:r>
              <w:rPr>
                <w:rFonts w:ascii="Times New Roman;sans-serif" w:hAnsi="Times New Roman;sans-serif"/>
                <w:b w:val="false"/>
                <w:color w:val="000000"/>
                <w:sz w:val="16"/>
              </w:rPr>
              <w:t>VICI Properties Inc.  Yes  </w:t>
            </w:r>
            <w:r>
              <w:rPr>
                <w:color w:val="000000"/>
              </w:rPr>
              <w:t>☐    </w:t>
            </w:r>
            <w:r>
              <w:rPr>
                <w:rFonts w:ascii="Times New Roman;sans-serif" w:hAnsi="Times New Roman;sans-serif"/>
                <w:b w:val="false"/>
                <w:color w:val="000000"/>
                <w:sz w:val="16"/>
              </w:rPr>
              <w:t>No  </w:t>
            </w: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tcMar>
              <w:top w:w="0" w:type="dxa"/>
              <w:left w:w="0" w:type="dxa"/>
              <w:bottom w:w="0" w:type="dxa"/>
              <w:right w:w="0" w:type="dxa"/>
            </w:tcMar>
            <w:vAlign w:val="center"/>
          </w:tcPr>
          <w:p>
            <w:pPr>
              <w:pStyle w:val="TableContents"/>
              <w:bidi w:val="0"/>
              <w:spacing w:lineRule="auto" w:line="240" w:before="120" w:after="283"/>
              <w:ind w:left="0" w:right="0" w:firstLine="360"/>
              <w:jc w:val="left"/>
              <w:rPr/>
            </w:pPr>
            <w:r>
              <w:rPr>
                <w:rFonts w:ascii="Times New Roman;sans-serif" w:hAnsi="Times New Roman;sans-serif"/>
                <w:b w:val="false"/>
                <w:color w:val="000000"/>
                <w:sz w:val="16"/>
              </w:rPr>
              <w:t>VICI Properties L.P. Yes  </w:t>
            </w:r>
            <w:r>
              <w:rPr>
                <w:color w:val="000000"/>
              </w:rPr>
              <w:t>☐    </w:t>
            </w:r>
            <w:r>
              <w:rPr>
                <w:rFonts w:ascii="Times New Roman;sans-serif" w:hAnsi="Times New Roman;sans-serif"/>
                <w:b w:val="false"/>
                <w:color w:val="000000"/>
                <w:sz w:val="16"/>
              </w:rPr>
              <w:t>No  </w:t>
            </w:r>
            <w:r>
              <w:rPr>
                <w:color w:val="000000"/>
              </w:rPr>
              <w:t>☒ </w:t>
            </w:r>
          </w:p>
        </w:tc>
      </w:tr>
    </w:tbl>
    <w:p>
      <w:pPr>
        <w:pStyle w:val="TextBody"/>
        <w:bidi w:val="0"/>
        <w:spacing w:lineRule="auto" w:line="288" w:before="60" w:after="283"/>
        <w:ind w:left="0" w:right="0" w:firstLine="360"/>
        <w:jc w:val="both"/>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tbl>
      <w:tblPr>
        <w:tblW w:w="6926" w:type="dxa"/>
        <w:jc w:val="left"/>
        <w:tblInd w:w="0" w:type="dxa"/>
        <w:tblLayout w:type="fixed"/>
        <w:tblCellMar>
          <w:top w:w="28" w:type="dxa"/>
          <w:left w:w="28" w:type="dxa"/>
          <w:bottom w:w="28" w:type="dxa"/>
          <w:right w:w="28" w:type="dxa"/>
        </w:tblCellMar>
      </w:tblPr>
      <w:tblGrid>
        <w:gridCol w:w="1206"/>
        <w:gridCol w:w="1060"/>
        <w:gridCol w:w="1063"/>
        <w:gridCol w:w="109"/>
        <w:gridCol w:w="109"/>
        <w:gridCol w:w="109"/>
        <w:gridCol w:w="958"/>
        <w:gridCol w:w="958"/>
        <w:gridCol w:w="1354"/>
      </w:tblGrid>
      <w:tr>
        <w:trPr/>
        <w:tc>
          <w:tcPr>
            <w:tcW w:w="1206"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lineRule="auto" w:line="240" w:before="120" w:after="283"/>
              <w:ind w:left="0" w:right="0" w:firstLine="360"/>
              <w:jc w:val="left"/>
              <w:rPr/>
            </w:pPr>
            <w:r>
              <w:rPr>
                <w:rFonts w:ascii="Times New Roman;sans-serif" w:hAnsi="Times New Roman;sans-serif"/>
                <w:b w:val="false"/>
                <w:color w:val="000000"/>
                <w:sz w:val="16"/>
              </w:rPr>
              <w:t>VICI Properties Inc.  Yes  </w:t>
            </w:r>
            <w:r>
              <w:rPr>
                <w:color w:val="000000"/>
              </w:rPr>
              <w:t>☒    </w:t>
            </w:r>
            <w:r>
              <w:rPr>
                <w:rFonts w:ascii="Times New Roman;sans-serif" w:hAnsi="Times New Roman;sans-serif"/>
                <w:b w:val="false"/>
                <w:color w:val="000000"/>
                <w:sz w:val="16"/>
              </w:rPr>
              <w:t>No  </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3"/>
            <w:tcBorders/>
            <w:tcMar>
              <w:top w:w="0" w:type="dxa"/>
              <w:left w:w="0" w:type="dxa"/>
              <w:bottom w:w="0" w:type="dxa"/>
              <w:right w:w="0" w:type="dxa"/>
            </w:tcMar>
            <w:vAlign w:val="center"/>
          </w:tcPr>
          <w:p>
            <w:pPr>
              <w:pStyle w:val="TableContents"/>
              <w:bidi w:val="0"/>
              <w:spacing w:lineRule="auto" w:line="240" w:before="120" w:after="283"/>
              <w:ind w:left="0" w:right="0" w:firstLine="360"/>
              <w:jc w:val="left"/>
              <w:rPr/>
            </w:pPr>
            <w:r>
              <w:rPr>
                <w:rFonts w:ascii="Times New Roman;sans-serif" w:hAnsi="Times New Roman;sans-serif"/>
                <w:b w:val="false"/>
                <w:color w:val="000000"/>
                <w:sz w:val="16"/>
              </w:rPr>
              <w:t>VICI Properties L.P.  Yes </w:t>
            </w:r>
            <w:r>
              <w:rPr>
                <w:color w:val="000000"/>
              </w:rPr>
              <w:t>☒    </w:t>
            </w:r>
            <w:r>
              <w:rPr>
                <w:rFonts w:ascii="Times New Roman;sans-serif" w:hAnsi="Times New Roman;sans-serif"/>
                <w:b w:val="false"/>
                <w:color w:val="000000"/>
                <w:sz w:val="16"/>
              </w:rPr>
              <w:t>No  </w:t>
            </w:r>
            <w:r>
              <w:rPr>
                <w:color w:val="000000"/>
              </w:rPr>
              <w:t>☐</w:t>
            </w:r>
          </w:p>
        </w:tc>
      </w:tr>
    </w:tbl>
    <w:p>
      <w:pPr>
        <w:pStyle w:val="TextBody"/>
        <w:bidi w:val="0"/>
        <w:spacing w:lineRule="auto" w:line="288" w:before="60" w:after="283"/>
        <w:ind w:left="0" w:right="0" w:firstLine="360"/>
        <w:jc w:val="both"/>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p>
    <w:tbl>
      <w:tblPr>
        <w:tblW w:w="6971" w:type="dxa"/>
        <w:jc w:val="left"/>
        <w:tblInd w:w="0" w:type="dxa"/>
        <w:tblLayout w:type="fixed"/>
        <w:tblCellMar>
          <w:top w:w="28" w:type="dxa"/>
          <w:left w:w="28" w:type="dxa"/>
          <w:bottom w:w="28" w:type="dxa"/>
          <w:right w:w="28" w:type="dxa"/>
        </w:tblCellMar>
      </w:tblPr>
      <w:tblGrid>
        <w:gridCol w:w="1206"/>
        <w:gridCol w:w="1060"/>
        <w:gridCol w:w="1063"/>
        <w:gridCol w:w="109"/>
        <w:gridCol w:w="109"/>
        <w:gridCol w:w="109"/>
        <w:gridCol w:w="971"/>
        <w:gridCol w:w="971"/>
        <w:gridCol w:w="1373"/>
      </w:tblGrid>
      <w:tr>
        <w:trPr/>
        <w:tc>
          <w:tcPr>
            <w:tcW w:w="1206"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lineRule="auto" w:line="240" w:before="120" w:after="283"/>
              <w:ind w:left="0" w:right="0" w:firstLine="360"/>
              <w:jc w:val="left"/>
              <w:rPr/>
            </w:pPr>
            <w:r>
              <w:rPr>
                <w:rFonts w:ascii="Times New Roman;sans-serif" w:hAnsi="Times New Roman;sans-serif"/>
                <w:b w:val="false"/>
                <w:color w:val="000000"/>
                <w:sz w:val="16"/>
              </w:rPr>
              <w:t>VICI Properties Inc.  Yes  </w:t>
            </w:r>
            <w:r>
              <w:rPr>
                <w:color w:val="000000"/>
              </w:rPr>
              <w:t>☒    </w:t>
            </w:r>
            <w:r>
              <w:rPr>
                <w:rFonts w:ascii="Times New Roman;sans-serif" w:hAnsi="Times New Roman;sans-serif"/>
                <w:b w:val="false"/>
                <w:color w:val="000000"/>
                <w:sz w:val="16"/>
              </w:rPr>
              <w:t>No  </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cMar>
              <w:top w:w="0" w:type="dxa"/>
              <w:left w:w="0" w:type="dxa"/>
              <w:bottom w:w="0" w:type="dxa"/>
              <w:right w:w="0" w:type="dxa"/>
            </w:tcMar>
            <w:vAlign w:val="center"/>
          </w:tcPr>
          <w:p>
            <w:pPr>
              <w:pStyle w:val="TableContents"/>
              <w:bidi w:val="0"/>
              <w:spacing w:lineRule="auto" w:line="240" w:before="120" w:after="283"/>
              <w:ind w:left="0" w:right="0" w:firstLine="360"/>
              <w:jc w:val="left"/>
              <w:rPr/>
            </w:pPr>
            <w:r>
              <w:rPr>
                <w:rFonts w:ascii="Times New Roman;sans-serif" w:hAnsi="Times New Roman;sans-serif"/>
                <w:b w:val="false"/>
                <w:color w:val="000000"/>
                <w:sz w:val="16"/>
              </w:rPr>
              <w:t>VICI Properties L.P.  Yes  </w:t>
            </w:r>
            <w:r>
              <w:rPr>
                <w:color w:val="000000"/>
              </w:rPr>
              <w:t>☒    </w:t>
            </w:r>
            <w:r>
              <w:rPr>
                <w:rFonts w:ascii="Times New Roman;sans-serif" w:hAnsi="Times New Roman;sans-serif"/>
                <w:b w:val="false"/>
                <w:color w:val="000000"/>
                <w:sz w:val="16"/>
              </w:rPr>
              <w:t>No  </w:t>
            </w:r>
            <w:r>
              <w:rPr>
                <w:color w:val="000000"/>
              </w:rPr>
              <w:t>☐</w:t>
            </w:r>
          </w:p>
        </w:tc>
      </w:tr>
    </w:tbl>
    <w:p>
      <w:pPr>
        <w:pStyle w:val="TextBody"/>
        <w:bidi w:val="0"/>
        <w:spacing w:lineRule="auto" w:line="288" w:before="0" w:after="0"/>
        <w:jc w:val="both"/>
        <w:rPr>
          <w:color w:val="000000"/>
        </w:rPr>
      </w:pPr>
      <w:r>
        <w:rPr>
          <w:color w:val="000000"/>
        </w:rPr>
        <w:t>    </w:t>
      </w:r>
    </w:p>
    <w:p>
      <w:pPr>
        <w:pStyle w:val="TextBody"/>
        <w:bidi w:val="0"/>
        <w:spacing w:lineRule="auto" w:line="288" w:before="60" w:after="283"/>
        <w:ind w:left="0" w:right="0" w:firstLine="360"/>
        <w:jc w:val="both"/>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9235" w:type="dxa"/>
        <w:jc w:val="center"/>
        <w:tblInd w:w="0" w:type="dxa"/>
        <w:tblLayout w:type="fixed"/>
        <w:tblCellMar>
          <w:top w:w="28" w:type="dxa"/>
          <w:left w:w="28" w:type="dxa"/>
          <w:bottom w:w="28" w:type="dxa"/>
          <w:right w:w="28" w:type="dxa"/>
        </w:tblCellMar>
      </w:tblPr>
      <w:tblGrid>
        <w:gridCol w:w="603"/>
        <w:gridCol w:w="530"/>
        <w:gridCol w:w="532"/>
        <w:gridCol w:w="124"/>
        <w:gridCol w:w="124"/>
        <w:gridCol w:w="124"/>
        <w:gridCol w:w="673"/>
        <w:gridCol w:w="673"/>
        <w:gridCol w:w="678"/>
        <w:gridCol w:w="124"/>
        <w:gridCol w:w="124"/>
        <w:gridCol w:w="124"/>
        <w:gridCol w:w="109"/>
        <w:gridCol w:w="109"/>
        <w:gridCol w:w="109"/>
        <w:gridCol w:w="549"/>
        <w:gridCol w:w="549"/>
        <w:gridCol w:w="551"/>
        <w:gridCol w:w="125"/>
        <w:gridCol w:w="125"/>
        <w:gridCol w:w="125"/>
        <w:gridCol w:w="673"/>
        <w:gridCol w:w="673"/>
        <w:gridCol w:w="678"/>
        <w:gridCol w:w="125"/>
        <w:gridCol w:w="125"/>
        <w:gridCol w:w="177"/>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4433"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VICI Properties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VICI Properties L.P.</w:t>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Large 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Large accelerated filer</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Accelerated filer</w:t>
            </w:r>
          </w:p>
        </w:tc>
        <w:tc>
          <w:tcPr>
            <w:tcW w:w="4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Non-accelerated filer</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Smaller reporting company</w:t>
            </w:r>
          </w:p>
        </w:tc>
        <w:tc>
          <w:tcPr>
            <w:tcW w:w="4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Emerging growth company</w:t>
            </w:r>
          </w:p>
        </w:tc>
        <w:tc>
          <w:tcPr>
            <w:tcW w:w="4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r>
    </w:tbl>
    <w:p>
      <w:pPr>
        <w:pStyle w:val="TextBody"/>
        <w:bidi w:val="0"/>
        <w:spacing w:lineRule="auto" w:line="288" w:before="60" w:after="283"/>
        <w:ind w:left="0" w:right="0" w:firstLine="360"/>
        <w:jc w:val="both"/>
        <w:rPr>
          <w:rFonts w:ascii="Times New Roman;sans-serif" w:hAnsi="Times New Roman;sans-serif"/>
          <w:b w:val="false"/>
          <w:color w:val="000000"/>
          <w:sz w:val="16"/>
        </w:rPr>
      </w:pPr>
      <w:r>
        <w:rPr>
          <w:rFonts w:ascii="Times New Roman;sans-serif" w:hAnsi="Times New Roman;sans-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w:t>
      </w:r>
    </w:p>
    <w:tbl>
      <w:tblPr>
        <w:tblW w:w="4782" w:type="dxa"/>
        <w:jc w:val="left"/>
        <w:tblInd w:w="0" w:type="dxa"/>
        <w:tblLayout w:type="fixed"/>
        <w:tblCellMar>
          <w:top w:w="28" w:type="dxa"/>
          <w:left w:w="28" w:type="dxa"/>
          <w:bottom w:w="28" w:type="dxa"/>
          <w:right w:w="28" w:type="dxa"/>
        </w:tblCellMar>
      </w:tblPr>
      <w:tblGrid>
        <w:gridCol w:w="809"/>
        <w:gridCol w:w="712"/>
        <w:gridCol w:w="714"/>
        <w:gridCol w:w="109"/>
        <w:gridCol w:w="109"/>
        <w:gridCol w:w="109"/>
        <w:gridCol w:w="649"/>
        <w:gridCol w:w="649"/>
        <w:gridCol w:w="922"/>
      </w:tblGrid>
      <w:tr>
        <w:trPr/>
        <w:tc>
          <w:tcPr>
            <w:tcW w:w="80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lineRule="auto" w:line="240" w:before="120" w:after="283"/>
              <w:ind w:left="0" w:right="0" w:firstLine="360"/>
              <w:jc w:val="left"/>
              <w:rPr/>
            </w:pPr>
            <w:r>
              <w:rPr>
                <w:rFonts w:ascii="Times New Roman;sans-serif" w:hAnsi="Times New Roman;sans-serif"/>
                <w:b w:val="false"/>
                <w:color w:val="000000"/>
                <w:sz w:val="16"/>
              </w:rPr>
              <w:t>VICI Properties Inc.  </w:t>
            </w: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3"/>
            <w:tcBorders/>
            <w:tcMar>
              <w:top w:w="0" w:type="dxa"/>
              <w:left w:w="0" w:type="dxa"/>
              <w:bottom w:w="0" w:type="dxa"/>
              <w:right w:w="0" w:type="dxa"/>
            </w:tcMar>
            <w:vAlign w:val="center"/>
          </w:tcPr>
          <w:p>
            <w:pPr>
              <w:pStyle w:val="TableContents"/>
              <w:bidi w:val="0"/>
              <w:spacing w:lineRule="auto" w:line="240" w:before="120" w:after="283"/>
              <w:ind w:left="0" w:right="0" w:firstLine="360"/>
              <w:jc w:val="left"/>
              <w:rPr/>
            </w:pPr>
            <w:r>
              <w:rPr>
                <w:rFonts w:ascii="Times New Roman;sans-serif" w:hAnsi="Times New Roman;sans-serif"/>
                <w:b w:val="false"/>
                <w:color w:val="000000"/>
                <w:sz w:val="16"/>
              </w:rPr>
              <w:t>VICI Properties L.P.  </w:t>
            </w:r>
            <w:r>
              <w:rPr>
                <w:color w:val="000000"/>
              </w:rPr>
              <w:t>☐</w:t>
            </w:r>
          </w:p>
        </w:tc>
      </w:tr>
    </w:tbl>
    <w:p>
      <w:pPr>
        <w:pStyle w:val="TextBody"/>
        <w:bidi w:val="0"/>
        <w:spacing w:lineRule="auto" w:line="288" w:before="60" w:after="283"/>
        <w:ind w:left="0" w:right="0" w:firstLine="36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Indicate by check mark whether the registrant has filed a report on and attestation to its management’s assessment of the effectiveness of its internal control over financial reporting under Section 404(b) of the Sarbanes-Oxley Act (15 U.S.C.7262(b)) by the registered public accounting firm that prepared or issued its audit report. </w:t>
      </w:r>
    </w:p>
    <w:tbl>
      <w:tblPr>
        <w:tblW w:w="4735" w:type="dxa"/>
        <w:jc w:val="left"/>
        <w:tblInd w:w="0" w:type="dxa"/>
        <w:tblLayout w:type="fixed"/>
        <w:tblCellMar>
          <w:top w:w="28" w:type="dxa"/>
          <w:left w:w="28" w:type="dxa"/>
          <w:bottom w:w="28" w:type="dxa"/>
          <w:right w:w="28" w:type="dxa"/>
        </w:tblCellMar>
      </w:tblPr>
      <w:tblGrid>
        <w:gridCol w:w="798"/>
        <w:gridCol w:w="702"/>
        <w:gridCol w:w="704"/>
        <w:gridCol w:w="109"/>
        <w:gridCol w:w="109"/>
        <w:gridCol w:w="109"/>
        <w:gridCol w:w="644"/>
        <w:gridCol w:w="644"/>
        <w:gridCol w:w="916"/>
      </w:tblGrid>
      <w:tr>
        <w:trPr/>
        <w:tc>
          <w:tcPr>
            <w:tcW w:w="798"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lineRule="auto" w:line="240" w:before="120" w:after="283"/>
              <w:ind w:left="0" w:right="0" w:firstLine="360"/>
              <w:jc w:val="left"/>
              <w:rPr>
                <w:rFonts w:ascii="Times New Roman;sans-serif" w:hAnsi="Times New Roman;sans-serif"/>
                <w:b w:val="false"/>
                <w:color w:val="000000"/>
                <w:sz w:val="16"/>
              </w:rPr>
            </w:pPr>
            <w:r>
              <w:rPr>
                <w:rFonts w:ascii="Times New Roman;sans-serif" w:hAnsi="Times New Roman;sans-serif"/>
                <w:b w:val="false"/>
                <w:color w:val="000000"/>
                <w:sz w:val="16"/>
              </w:rPr>
              <w:t>VICI Properties Inc.  ☒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cMar>
              <w:top w:w="0" w:type="dxa"/>
              <w:left w:w="0" w:type="dxa"/>
              <w:bottom w:w="0" w:type="dxa"/>
              <w:right w:w="0" w:type="dxa"/>
            </w:tcMar>
            <w:vAlign w:val="center"/>
          </w:tcPr>
          <w:p>
            <w:pPr>
              <w:pStyle w:val="TableContents"/>
              <w:bidi w:val="0"/>
              <w:spacing w:lineRule="auto" w:line="240" w:before="120" w:after="283"/>
              <w:ind w:left="0" w:right="0" w:firstLine="360"/>
              <w:jc w:val="left"/>
              <w:rPr>
                <w:rFonts w:ascii="Times New Roman;sans-serif" w:hAnsi="Times New Roman;sans-serif"/>
                <w:b w:val="false"/>
                <w:color w:val="000000"/>
                <w:sz w:val="16"/>
              </w:rPr>
            </w:pPr>
            <w:r>
              <w:rPr>
                <w:rFonts w:ascii="Times New Roman;sans-serif" w:hAnsi="Times New Roman;sans-serif"/>
                <w:b w:val="false"/>
                <w:color w:val="000000"/>
                <w:sz w:val="16"/>
              </w:rPr>
              <w:t>VICI Properties L.P.  ☒ </w:t>
            </w:r>
          </w:p>
        </w:tc>
      </w:tr>
    </w:tbl>
    <w:p>
      <w:pPr>
        <w:pStyle w:val="TextBody"/>
        <w:bidi w:val="0"/>
        <w:spacing w:lineRule="auto" w:line="288" w:before="60" w:after="283"/>
        <w:ind w:left="0" w:right="0" w:firstLine="360"/>
        <w:jc w:val="left"/>
        <w:rPr>
          <w:rFonts w:ascii="Times New Roman;sans-serif" w:hAnsi="Times New Roman;sans-serif"/>
          <w:b w:val="false"/>
          <w:color w:val="000000"/>
          <w:sz w:val="16"/>
        </w:rPr>
      </w:pPr>
      <w:r>
        <w:rPr>
          <w:rFonts w:ascii="Times New Roman;sans-serif" w:hAnsi="Times New Roman;sans-serif"/>
          <w:b w:val="false"/>
          <w:color w:val="000000"/>
          <w:sz w:val="16"/>
        </w:rPr>
        <w:t>If securities are registered pursuant to Section 12(b) of the Act, indicate by check mark whether the financial statements of the registrant included in the filing reflect the correction of an error to previously issued financial statements.</w:t>
      </w:r>
    </w:p>
    <w:tbl>
      <w:tblPr>
        <w:tblW w:w="4782" w:type="dxa"/>
        <w:jc w:val="left"/>
        <w:tblInd w:w="0" w:type="dxa"/>
        <w:tblLayout w:type="fixed"/>
        <w:tblCellMar>
          <w:top w:w="28" w:type="dxa"/>
          <w:left w:w="28" w:type="dxa"/>
          <w:bottom w:w="28" w:type="dxa"/>
          <w:right w:w="28" w:type="dxa"/>
        </w:tblCellMar>
      </w:tblPr>
      <w:tblGrid>
        <w:gridCol w:w="809"/>
        <w:gridCol w:w="712"/>
        <w:gridCol w:w="714"/>
        <w:gridCol w:w="109"/>
        <w:gridCol w:w="109"/>
        <w:gridCol w:w="109"/>
        <w:gridCol w:w="649"/>
        <w:gridCol w:w="649"/>
        <w:gridCol w:w="922"/>
      </w:tblGrid>
      <w:tr>
        <w:trPr/>
        <w:tc>
          <w:tcPr>
            <w:tcW w:w="80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lineRule="auto" w:line="240" w:before="120" w:after="283"/>
              <w:ind w:left="0" w:right="0" w:firstLine="360"/>
              <w:jc w:val="left"/>
              <w:rPr/>
            </w:pPr>
            <w:r>
              <w:rPr>
                <w:rFonts w:ascii="Times New Roman;sans-serif" w:hAnsi="Times New Roman;sans-serif"/>
                <w:b w:val="false"/>
                <w:color w:val="000000"/>
                <w:sz w:val="16"/>
              </w:rPr>
              <w:t>VICI Properties Inc.  </w:t>
            </w: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3"/>
            <w:tcBorders/>
            <w:tcMar>
              <w:top w:w="0" w:type="dxa"/>
              <w:left w:w="0" w:type="dxa"/>
              <w:bottom w:w="0" w:type="dxa"/>
              <w:right w:w="0" w:type="dxa"/>
            </w:tcMar>
            <w:vAlign w:val="center"/>
          </w:tcPr>
          <w:p>
            <w:pPr>
              <w:pStyle w:val="TableContents"/>
              <w:bidi w:val="0"/>
              <w:spacing w:lineRule="auto" w:line="240" w:before="120" w:after="283"/>
              <w:ind w:left="0" w:right="0" w:firstLine="360"/>
              <w:jc w:val="left"/>
              <w:rPr/>
            </w:pPr>
            <w:r>
              <w:rPr>
                <w:rFonts w:ascii="Times New Roman;sans-serif" w:hAnsi="Times New Roman;sans-serif"/>
                <w:b w:val="false"/>
                <w:color w:val="000000"/>
                <w:sz w:val="16"/>
              </w:rPr>
              <w:t>VICI Properties L.P.  </w:t>
            </w:r>
            <w:r>
              <w:rPr>
                <w:color w:val="000000"/>
              </w:rPr>
              <w:t>☐</w:t>
            </w:r>
          </w:p>
        </w:tc>
      </w:tr>
    </w:tbl>
    <w:p>
      <w:pPr>
        <w:pStyle w:val="TextBody"/>
        <w:bidi w:val="0"/>
        <w:spacing w:lineRule="auto" w:line="288" w:before="60" w:after="283"/>
        <w:ind w:left="0" w:right="0" w:firstLine="360"/>
        <w:jc w:val="left"/>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any of those error corrections are restatements that required a recovery analysis of incentive-based compensation received by any of the registrant’s executive officers during the relevant recovery period pursuant to §240.10D-1(b).</w:t>
      </w:r>
    </w:p>
    <w:tbl>
      <w:tblPr>
        <w:tblW w:w="4782" w:type="dxa"/>
        <w:jc w:val="left"/>
        <w:tblInd w:w="0" w:type="dxa"/>
        <w:tblLayout w:type="fixed"/>
        <w:tblCellMar>
          <w:top w:w="28" w:type="dxa"/>
          <w:left w:w="28" w:type="dxa"/>
          <w:bottom w:w="28" w:type="dxa"/>
          <w:right w:w="28" w:type="dxa"/>
        </w:tblCellMar>
      </w:tblPr>
      <w:tblGrid>
        <w:gridCol w:w="809"/>
        <w:gridCol w:w="712"/>
        <w:gridCol w:w="714"/>
        <w:gridCol w:w="109"/>
        <w:gridCol w:w="109"/>
        <w:gridCol w:w="109"/>
        <w:gridCol w:w="649"/>
        <w:gridCol w:w="649"/>
        <w:gridCol w:w="922"/>
      </w:tblGrid>
      <w:tr>
        <w:trPr/>
        <w:tc>
          <w:tcPr>
            <w:tcW w:w="80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lineRule="auto" w:line="240" w:before="120" w:after="283"/>
              <w:ind w:left="0" w:right="0" w:firstLine="360"/>
              <w:jc w:val="left"/>
              <w:rPr/>
            </w:pPr>
            <w:r>
              <w:rPr>
                <w:rFonts w:ascii="Times New Roman;sans-serif" w:hAnsi="Times New Roman;sans-serif"/>
                <w:b w:val="false"/>
                <w:color w:val="000000"/>
                <w:sz w:val="16"/>
              </w:rPr>
              <w:t>VICI Properties Inc.  </w:t>
            </w: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3"/>
            <w:tcBorders/>
            <w:tcMar>
              <w:top w:w="0" w:type="dxa"/>
              <w:left w:w="0" w:type="dxa"/>
              <w:bottom w:w="0" w:type="dxa"/>
              <w:right w:w="0" w:type="dxa"/>
            </w:tcMar>
            <w:vAlign w:val="center"/>
          </w:tcPr>
          <w:p>
            <w:pPr>
              <w:pStyle w:val="TableContents"/>
              <w:bidi w:val="0"/>
              <w:spacing w:lineRule="auto" w:line="240" w:before="120" w:after="283"/>
              <w:ind w:left="0" w:right="0" w:firstLine="360"/>
              <w:jc w:val="left"/>
              <w:rPr/>
            </w:pPr>
            <w:r>
              <w:rPr>
                <w:rFonts w:ascii="Times New Roman;sans-serif" w:hAnsi="Times New Roman;sans-serif"/>
                <w:b w:val="false"/>
                <w:color w:val="000000"/>
                <w:sz w:val="16"/>
              </w:rPr>
              <w:t>VICI Properties L.P.  </w:t>
            </w:r>
            <w:r>
              <w:rPr>
                <w:color w:val="000000"/>
              </w:rPr>
              <w:t>☐</w:t>
            </w:r>
          </w:p>
        </w:tc>
      </w:tr>
    </w:tbl>
    <w:p>
      <w:pPr>
        <w:pStyle w:val="TextBody"/>
        <w:bidi w:val="0"/>
        <w:spacing w:lineRule="auto" w:line="288" w:before="60" w:after="283"/>
        <w:ind w:left="0" w:right="0" w:firstLine="36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Indicate by check mark whether the registrant is a shell company (as defined in Rule 12b-2 of the Act). </w:t>
      </w:r>
    </w:p>
    <w:tbl>
      <w:tblPr>
        <w:tblW w:w="6746" w:type="dxa"/>
        <w:jc w:val="left"/>
        <w:tblInd w:w="0" w:type="dxa"/>
        <w:tblLayout w:type="fixed"/>
        <w:tblCellMar>
          <w:top w:w="28" w:type="dxa"/>
          <w:left w:w="28" w:type="dxa"/>
          <w:bottom w:w="28" w:type="dxa"/>
          <w:right w:w="28" w:type="dxa"/>
        </w:tblCellMar>
      </w:tblPr>
      <w:tblGrid>
        <w:gridCol w:w="1164"/>
        <w:gridCol w:w="1022"/>
        <w:gridCol w:w="1024"/>
        <w:gridCol w:w="109"/>
        <w:gridCol w:w="109"/>
        <w:gridCol w:w="109"/>
        <w:gridCol w:w="939"/>
        <w:gridCol w:w="939"/>
        <w:gridCol w:w="1331"/>
      </w:tblGrid>
      <w:tr>
        <w:trPr/>
        <w:tc>
          <w:tcPr>
            <w:tcW w:w="1164"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120" w:after="283"/>
              <w:ind w:left="0" w:right="0" w:firstLine="360"/>
              <w:jc w:val="left"/>
              <w:rPr/>
            </w:pPr>
            <w:r>
              <w:rPr>
                <w:rFonts w:ascii="Times New Roman;sans-serif" w:hAnsi="Times New Roman;sans-serif"/>
                <w:b w:val="false"/>
                <w:color w:val="000000"/>
                <w:sz w:val="16"/>
              </w:rPr>
              <w:t>VICI Properties Inc.  Yes  </w:t>
            </w:r>
            <w:r>
              <w:rPr>
                <w:color w:val="000000"/>
              </w:rPr>
              <w:t>☐    </w:t>
            </w:r>
            <w:r>
              <w:rPr>
                <w:rFonts w:ascii="Times New Roman;sans-serif" w:hAnsi="Times New Roman;sans-serif"/>
                <w:b w:val="false"/>
                <w:color w:val="000000"/>
                <w:sz w:val="16"/>
              </w:rPr>
              <w:t>No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120" w:after="283"/>
              <w:ind w:left="0" w:right="0" w:firstLine="360"/>
              <w:jc w:val="left"/>
              <w:rPr/>
            </w:pPr>
            <w:r>
              <w:rPr>
                <w:rFonts w:ascii="Times New Roman;sans-serif" w:hAnsi="Times New Roman;sans-serif"/>
                <w:b w:val="false"/>
                <w:color w:val="000000"/>
                <w:sz w:val="16"/>
              </w:rPr>
              <w:t>VICI Properties L.P. Yes  </w:t>
            </w:r>
            <w:r>
              <w:rPr>
                <w:color w:val="000000"/>
              </w:rPr>
              <w:t>☐    </w:t>
            </w:r>
            <w:r>
              <w:rPr>
                <w:rFonts w:ascii="Times New Roman;sans-serif" w:hAnsi="Times New Roman;sans-serif"/>
                <w:b w:val="false"/>
                <w:color w:val="000000"/>
                <w:sz w:val="16"/>
              </w:rPr>
              <w:t>No  ☒</w:t>
            </w:r>
          </w:p>
        </w:tc>
      </w:tr>
    </w:tbl>
    <w:p>
      <w:pPr>
        <w:pStyle w:val="TextBody"/>
        <w:bidi w:val="0"/>
        <w:spacing w:lineRule="auto" w:line="288" w:before="60" w:after="283"/>
        <w:ind w:left="0" w:right="0" w:firstLine="36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As of June 30, 2023 (the last business day of VICI Properties Inc.’s most recently completed second fiscal quarter), the aggregate market value of the common stock held by non-affiliates of VICI Properties Inc. was approximately $31.6 billion, based on the closing price of the common stock as reported on the NYSE on that date. VICI Properties L.P. had no publicly-traded voting equity as of June 30, 2023. </w:t>
      </w:r>
    </w:p>
    <w:p>
      <w:pPr>
        <w:pStyle w:val="TextBody"/>
        <w:bidi w:val="0"/>
        <w:spacing w:lineRule="auto" w:line="288" w:before="60" w:after="283"/>
        <w:ind w:left="0" w:right="0" w:firstLine="360"/>
        <w:jc w:val="both"/>
        <w:rPr>
          <w:rFonts w:ascii="Times New Roman;sans-serif" w:hAnsi="Times New Roman;sans-serif"/>
          <w:b w:val="false"/>
          <w:color w:val="000000"/>
          <w:sz w:val="16"/>
        </w:rPr>
      </w:pPr>
      <w:r>
        <w:rPr>
          <w:rFonts w:ascii="Times New Roman;sans-serif" w:hAnsi="Times New Roman;sans-serif"/>
          <w:b w:val="false"/>
          <w:color w:val="000000"/>
          <w:sz w:val="16"/>
        </w:rPr>
        <w:t>As of February 21, 2024, VICI Properties Inc. had 1,042,679,525 shares of common stock, $0.01 par value per share, outstanding. VICI Properties L.P. has no common stock outstanding.</w:t>
      </w:r>
    </w:p>
    <w:p>
      <w:pPr>
        <w:pStyle w:val="TextBody"/>
        <w:bidi w:val="0"/>
        <w:spacing w:lineRule="auto" w:line="288" w:before="120" w:after="283"/>
        <w:jc w:val="center"/>
        <w:rPr>
          <w:rFonts w:ascii="Times New Roman;sans-serif" w:hAnsi="Times New Roman;sans-serif"/>
          <w:b/>
          <w:color w:val="000000"/>
          <w:sz w:val="18"/>
        </w:rPr>
      </w:pPr>
      <w:r>
        <w:rPr>
          <w:rFonts w:ascii="Times New Roman;sans-serif" w:hAnsi="Times New Roman;sans-serif"/>
          <w:b/>
          <w:color w:val="000000"/>
          <w:sz w:val="18"/>
        </w:rPr>
        <w:t xml:space="preserve">DOCUMENTS INCORPORATED BY REFERENCE </w:t>
      </w:r>
    </w:p>
    <w:p>
      <w:pPr>
        <w:pStyle w:val="TextBody"/>
        <w:bidi w:val="0"/>
        <w:spacing w:lineRule="auto" w:line="288" w:before="60" w:after="283"/>
        <w:jc w:val="both"/>
        <w:rPr>
          <w:rFonts w:ascii="Times New Roman;sans-serif" w:hAnsi="Times New Roman;sans-serif"/>
          <w:b w:val="false"/>
          <w:color w:val="000000"/>
          <w:sz w:val="16"/>
        </w:rPr>
      </w:pPr>
      <w:r>
        <w:rPr>
          <w:rFonts w:ascii="Times New Roman;sans-serif" w:hAnsi="Times New Roman;sans-serif"/>
          <w:b w:val="false"/>
          <w:color w:val="000000"/>
          <w:sz w:val="16"/>
        </w:rPr>
        <w:t>Portions of the VICI Properties Inc.’s definitive proxy statement relating to the 2024 Annual Meeting of Stockholders, to be filed with the Securities and Exchange Commission within 120 days after the end of the calendar year to which this report relates, are incorporated by reference into Part III, Items 10-14 of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289560"/>
                <wp:effectExtent l="0" t="0" r="0" b="0"/>
                <wp:wrapNone/>
                <wp:docPr id="1" name="Frame1"/>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before="18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jc w:val="both"/>
                        <w:rPr/>
                      </w:pPr>
                      <w:r>
                        <w:rPr/>
                      </w:r>
                    </w:p>
                  </w:txbxContent>
                </v:textbox>
                <w10:wrap type="none"/>
              </v:rect>
            </w:pict>
          </mc:Fallback>
        </mc:AlternateContent>
      </w:r>
    </w:p>
    <w:p>
      <w:pPr>
        <w:pStyle w:val="TextBody"/>
        <w:bidi w:val="0"/>
        <w:spacing w:before="180" w:after="283"/>
        <w:jc w:val="both"/>
        <w:rPr/>
      </w:pPr>
      <w:r>
        <w:rPr/>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EXPLANATORY NOTE</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This report combines the annual reports on Form 10-K for the year ended December 31, 2023 of VICI Properties Inc. and VICI Properties L.P. Unless stated otherwise or the context otherwise requires, references to “VICI” mean VICI Properties Inc. and its consolidated subsidiaries, including VICI Properties OP LLC (“VICI OP”), and references to “VICI LP” mean VICI Properties L.P. and its consolidated subsidiaries. Unless stated otherwise or the context otherwise requires, the terms “the Company,” “we,” “our” and “us” mean VICI and VICI LP, including, collectively, their consolidated subsidiaries.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order to highlight the differences between VICI and VICI LP, the separate sections in this report for VICI and VICI LP are described below and specifically refer to VICI and VICI LP. In the sections that combine disclosure of VICI and VICI LP, this report refers to actions or holdings of VICI and VICI LP as being “our” actions or holdings. Although VICI LP is the entity that generally, directly or indirectly, enters into contracts and joint ventures, holds assets and incurs debt, we believe that references to “we,” “us” or “our” in this context is appropriate because the business is one enterprise and we operate substantially all of our business and own, either directly or through subsidiaries, substantially all of our assets through VICI LP.</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VICI is a real estate investment trust (“REIT”) that is the sole owner of VICI Properties GP LLC, the sole general partner of VICI LP. As of December 31, 2023, VICI owns 100% of the limited liability company interests of VICI Properties HoldCo LLC (“HoldCo”), which in turn owns approximately 98.8% of the limited liability company interest of VICI OP (such interests, “VICI OP Units”), our operating partnership, which in turns owns 100% of the limited partnership interest in VICI LP. The balance of the VICI OP Units not held by HoldCo are held by third-party unit holders.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diagram details VICI’s organizational structure as of December 31, 2023.</w:t>
      </w:r>
    </w:p>
    <w:p>
      <w:pPr>
        <w:pStyle w:val="TextBody"/>
        <w:bidi w:val="0"/>
        <w:spacing w:before="180" w:after="283"/>
        <w:jc w:val="center"/>
        <w:rPr/>
      </w:pPr>
      <w:r>
        <w:rPr/>
        <w:drawing>
          <wp:inline distT="0" distB="0" distL="0" distR="0">
            <wp:extent cx="4762500" cy="2933700"/>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4762500" cy="2933700"/>
                    </a:xfrm>
                    <a:prstGeom prst="rect">
                      <a:avLst/>
                    </a:prstGeom>
                  </pic:spPr>
                </pic:pic>
              </a:graphicData>
            </a:graphic>
          </wp:inline>
        </w:drawing>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believe combining the annual reports on Form 10-K of VICI and VICI LP into this single report:</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enhances investors’ understanding of VICI and VICI LP by enabling investors to view the business as a whole in the same manner as management views and operates the business;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eliminates duplicative disclosure and provides a more streamlined and readable presentation; and</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creates time and cost efficiencies through the preparation of one combined report instead of two separate reports.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operate VICI and VICI LP as one business. Because VICI LP is managed by VICI, and VICI conducts substantially all of its operations and owns, either directly or through subsidiaries, substantially all of its assets indirectly through VICI LP, VICI’s executive officers are VICI LP’s executive officers, although, as a partnership, VICI LP does not have a board of directors.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it is important to understand the few differences between VICI and VICI LP in the context of how VICI and VICI LP operate as a consolidated company. VICI is a REIT whose only material asset is its indirect investment in VICI LP, through which it conducts its real property business. VICI also conducts its golf course business through a taxable REIT subsidiary (a “TRS”), VICI Golf LLC, a Delaware limited liability company (“VICI Golf”). As a result, VICI does not conduct business itself other than issuing public equity from time to time, and does not directly incur any material indebtedness, rather VICI LP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289560"/>
                <wp:effectExtent l="0" t="0" r="0" b="0"/>
                <wp:wrapNone/>
                <wp:docPr id="3" name="Frame2"/>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before="18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jc w:val="both"/>
                        <w:rPr/>
                      </w:pPr>
                      <w:r>
                        <w:rPr/>
                      </w:r>
                    </w:p>
                  </w:txbxContent>
                </v:textbox>
                <w10:wrap type="none"/>
              </v:rect>
            </w:pict>
          </mc:Fallback>
        </mc:AlternateContent>
      </w:r>
    </w:p>
    <w:p>
      <w:pPr>
        <w:pStyle w:val="TextBody"/>
        <w:bidi w:val="0"/>
        <w:spacing w:before="180" w:after="283"/>
        <w:jc w:val="both"/>
        <w:rPr/>
      </w:pPr>
      <w:r>
        <w:rPr/>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holds substantially all of our assets, except for those held in VICI Golf. Except for net proceeds from public equity issuances by VICI, VICI LP generates all capital required by the Company’s business, which sources include VICI LP’s operations and its direct or indirect incurrence of indebtedness.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VICI consolidates VICI LP for financial reporting purposes, and VICI does not have material assets other than its indirect investment in VICI LP. Therefore, while there are some areas of difference between the Consolidated Financial Statements of VICI and those of VICI LP, the assets and liabilities of VICI and VICI LP are materially the same on their respective financial statements. As of December 31, 2023, the primary areas of difference between the Consolidated Financial Statements of VICI and those of VICI LP were cash and cash equivalents, stockholders’ equity and partners’ capital, non-controlling interests, and golf operations, which include the assets and liabilities and income and expenses of VICI Golf.</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 help investors understand the differences between VICI and VICI LP, this report provides: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separate consolidated financial statements for VICI and VICI LP;</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a single set of notes to such consolidated financial statements that includes separate discussions of stockholders’ equity or partners’ equity and per share and per unit data, as applicable;</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 xml:space="preserve">a combined Management’s Discussion and Analysis of Financial Condition and Results of Operations section that also includes discrete information related to each entity, as applicable; </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 xml:space="preserve">separate Part II, Item 5. Market for the Company’s Common Equity, Related Stockholder Matters and Issuer Purchases of Equity Securities; </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separate Part II, Item 9A. Controls and Procedures sections; and</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 xml:space="preserve">separate Exhibits 31 and 32 certifications for each VICI and VICI LP in order to establish that the requisite certifications have been made and that VICI and VICI LP are each compliant with Rule 13a-14(a) or Rule 15d-14(a) of the Securities Exchange Act of 1934 and 18 U.S.C. §1350.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separate discussions of VICI and VICI LP in this report should be read in conjunction with each other to understand our results on a consolidated basis and how management operates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289560"/>
                <wp:effectExtent l="0" t="0" r="0" b="0"/>
                <wp:wrapNone/>
                <wp:docPr id="4" name="Frame3"/>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before="18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jc w:val="both"/>
                        <w:rPr/>
                      </w:pPr>
                      <w:r>
                        <w:rPr/>
                      </w:r>
                    </w:p>
                  </w:txbxContent>
                </v:textbox>
                <w10:wrap type="none"/>
              </v:rect>
            </w:pict>
          </mc:Fallback>
        </mc:AlternateContent>
      </w:r>
    </w:p>
    <w:p>
      <w:pPr>
        <w:pStyle w:val="TextBody"/>
        <w:bidi w:val="0"/>
        <w:spacing w:lineRule="auto" w:line="288" w:before="60" w:after="283"/>
        <w:jc w:val="both"/>
        <w:rPr/>
      </w:pPr>
      <w:hyperlink w:anchor="ib2fc48f0ddf244d9844b8de22bde2e36_10">
        <w:r>
          <w:rPr>
            <w:rStyle w:val="InternetLink"/>
            <w:rFonts w:ascii="Times New Roman;sans-serif" w:hAnsi="Times New Roman;sans-serif"/>
            <w:b w:val="false"/>
            <w:color w:val="000080"/>
            <w:sz w:val="20"/>
            <w:u w:val="single"/>
          </w:rPr>
          <w:t>Table of Cont</w:t>
        </w:r>
      </w:hyperlink>
      <w:hyperlink w:anchor="ib2fc48f0ddf244d9844b8de22bde2e36_10">
        <w:r>
          <w:rPr>
            <w:rStyle w:val="InternetLink"/>
            <w:rFonts w:ascii="Times New Roman;sans-serif" w:hAnsi="Times New Roman;sans-serif"/>
            <w:b w:val="false"/>
            <w:color w:val="000080"/>
            <w:sz w:val="20"/>
            <w:u w:val="single"/>
          </w:rPr>
          <w:t>ents</w:t>
        </w:r>
      </w:hyperlink>
    </w:p>
    <w:tbl>
      <w:tblPr>
        <w:tblW w:w="10205" w:type="dxa"/>
        <w:jc w:val="left"/>
        <w:tblInd w:w="0" w:type="dxa"/>
        <w:tblLayout w:type="fixed"/>
        <w:tblCellMar>
          <w:top w:w="28" w:type="dxa"/>
          <w:left w:w="28" w:type="dxa"/>
          <w:bottom w:w="28" w:type="dxa"/>
          <w:right w:w="28" w:type="dxa"/>
        </w:tblCellMar>
      </w:tblPr>
      <w:tblGrid>
        <w:gridCol w:w="243"/>
        <w:gridCol w:w="214"/>
        <w:gridCol w:w="219"/>
        <w:gridCol w:w="2993"/>
        <w:gridCol w:w="2979"/>
        <w:gridCol w:w="2984"/>
        <w:gridCol w:w="167"/>
        <w:gridCol w:w="167"/>
        <w:gridCol w:w="239"/>
      </w:tblGrid>
      <w:tr>
        <w:trPr/>
        <w:tc>
          <w:tcPr>
            <w:tcW w:w="24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993" w:type="dxa"/>
            <w:tcBorders/>
            <w:vAlign w:val="center"/>
          </w:tcPr>
          <w:p>
            <w:pPr>
              <w:pStyle w:val="TableContents"/>
              <w:bidi w:val="0"/>
              <w:spacing w:before="0" w:after="283"/>
              <w:jc w:val="left"/>
              <w:rPr>
                <w:sz w:val="4"/>
                <w:szCs w:val="4"/>
              </w:rPr>
            </w:pPr>
            <w:r>
              <w:rPr>
                <w:sz w:val="4"/>
                <w:szCs w:val="4"/>
              </w:rPr>
            </w:r>
          </w:p>
        </w:tc>
        <w:tc>
          <w:tcPr>
            <w:tcW w:w="2979" w:type="dxa"/>
            <w:tcBorders/>
            <w:vAlign w:val="center"/>
          </w:tcPr>
          <w:p>
            <w:pPr>
              <w:pStyle w:val="TableContents"/>
              <w:bidi w:val="0"/>
              <w:spacing w:before="0" w:after="283"/>
              <w:jc w:val="left"/>
              <w:rPr>
                <w:sz w:val="4"/>
                <w:szCs w:val="4"/>
              </w:rPr>
            </w:pPr>
            <w:r>
              <w:rPr>
                <w:sz w:val="4"/>
                <w:szCs w:val="4"/>
              </w:rPr>
            </w:r>
          </w:p>
        </w:tc>
        <w:tc>
          <w:tcPr>
            <w:tcW w:w="298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5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u w:val="single"/>
              </w:rPr>
            </w:pPr>
            <w:r>
              <w:rPr>
                <w:color w:val="000000"/>
                <w:u w:val="single"/>
              </w:rPr>
              <w:t> </w:t>
            </w:r>
            <w:r>
              <w:rPr>
                <w:rFonts w:ascii="Times New Roman;sans-serif" w:hAnsi="Times New Roman;sans-serif"/>
                <w:b/>
                <w:color w:val="000000"/>
                <w:sz w:val="22"/>
                <w:u w:val="single"/>
              </w:rPr>
              <w:t>TABLE OF CONTENTS</w:t>
            </w:r>
          </w:p>
        </w:tc>
        <w:tc>
          <w:tcPr>
            <w:tcW w:w="5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2fc48f0ddf244d9844b8de22bde2e36_13">
              <w:r>
                <w:rPr>
                  <w:rStyle w:val="InternetLink"/>
                  <w:rFonts w:ascii="Times New Roman;sans-serif" w:hAnsi="Times New Roman;sans-serif"/>
                  <w:b w:val="false"/>
                  <w:strike w:val="false"/>
                  <w:dstrike w:val="false"/>
                  <w:color w:val="0000FF"/>
                  <w:sz w:val="20"/>
                  <w:u w:val="none"/>
                  <w:effect w:val="none"/>
                </w:rPr>
                <w:t>Part I</w:t>
              </w:r>
            </w:hyperlink>
          </w:p>
        </w:tc>
        <w:tc>
          <w:tcPr>
            <w:tcW w:w="89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2fc48f0ddf244d9844b8de22bde2e36_16">
              <w:r>
                <w:rPr>
                  <w:rStyle w:val="InternetLink"/>
                  <w:rFonts w:ascii="Times New Roman;sans-serif" w:hAnsi="Times New Roman;sans-serif"/>
                  <w:b w:val="false"/>
                  <w:color w:val="0000FF"/>
                  <w:sz w:val="20"/>
                  <w:u w:val="single"/>
                </w:rPr>
                <w:t>Item 1 – Business</w:t>
              </w:r>
            </w:hyperlink>
          </w:p>
        </w:tc>
        <w:tc>
          <w:tcPr>
            <w:tcW w:w="5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b2fc48f0ddf244d9844b8de22bde2e36_16">
              <w:r>
                <w:rPr>
                  <w:rStyle w:val="InternetLink"/>
                  <w:rFonts w:ascii="Times New Roman;sans-serif" w:hAnsi="Times New Roman;sans-serif"/>
                  <w:b w:val="false"/>
                  <w:color w:val="0000FF"/>
                  <w:sz w:val="20"/>
                  <w:u w:val="single"/>
                </w:rPr>
                <w:t>2</w:t>
              </w:r>
            </w:hyperlink>
          </w:p>
        </w:tc>
      </w:tr>
      <w:tr>
        <w:trPr/>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2fc48f0ddf244d9844b8de22bde2e36_22">
              <w:r>
                <w:rPr>
                  <w:rStyle w:val="InternetLink"/>
                  <w:rFonts w:ascii="Times New Roman;sans-serif" w:hAnsi="Times New Roman;sans-serif"/>
                  <w:b w:val="false"/>
                  <w:color w:val="0000FF"/>
                  <w:sz w:val="20"/>
                  <w:u w:val="single"/>
                </w:rPr>
                <w:t>Item 1A – Risk Factors</w:t>
              </w:r>
            </w:hyperlink>
          </w:p>
        </w:tc>
        <w:tc>
          <w:tcPr>
            <w:tcW w:w="5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b2fc48f0ddf244d9844b8de22bde2e36_22">
              <w:r>
                <w:rPr>
                  <w:rStyle w:val="InternetLink"/>
                  <w:rFonts w:ascii="Times New Roman;sans-serif" w:hAnsi="Times New Roman;sans-serif"/>
                  <w:b w:val="false"/>
                  <w:color w:val="0000FF"/>
                  <w:sz w:val="20"/>
                  <w:u w:val="single"/>
                </w:rPr>
                <w:t>17</w:t>
              </w:r>
            </w:hyperlink>
          </w:p>
        </w:tc>
      </w:tr>
      <w:tr>
        <w:trPr/>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2fc48f0ddf244d9844b8de22bde2e36_25">
              <w:r>
                <w:rPr>
                  <w:rStyle w:val="InternetLink"/>
                  <w:rFonts w:ascii="Times New Roman;sans-serif" w:hAnsi="Times New Roman;sans-serif"/>
                  <w:b w:val="false"/>
                  <w:color w:val="0000FF"/>
                  <w:sz w:val="20"/>
                  <w:u w:val="single"/>
                </w:rPr>
                <w:t>Item 1B – Unresolved Staff Comments</w:t>
              </w:r>
            </w:hyperlink>
          </w:p>
        </w:tc>
        <w:tc>
          <w:tcPr>
            <w:tcW w:w="5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b2fc48f0ddf244d9844b8de22bde2e36_25">
              <w:r>
                <w:rPr>
                  <w:rStyle w:val="InternetLink"/>
                  <w:rFonts w:ascii="Times New Roman;sans-serif" w:hAnsi="Times New Roman;sans-serif"/>
                  <w:b w:val="false"/>
                  <w:color w:val="0000FF"/>
                  <w:sz w:val="20"/>
                  <w:u w:val="single"/>
                </w:rPr>
                <w:t>36</w:t>
              </w:r>
            </w:hyperlink>
          </w:p>
        </w:tc>
      </w:tr>
      <w:tr>
        <w:trPr/>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2fc48f0ddf244d9844b8de22bde2e36_1497">
              <w:r>
                <w:rPr>
                  <w:rStyle w:val="InternetLink"/>
                  <w:rFonts w:ascii="Times New Roman;sans-serif" w:hAnsi="Times New Roman;sans-serif"/>
                  <w:b w:val="false"/>
                  <w:color w:val="0000FF"/>
                  <w:sz w:val="20"/>
                  <w:u w:val="single"/>
                </w:rPr>
                <w:t>Item 1C – Cybersecurity</w:t>
              </w:r>
            </w:hyperlink>
          </w:p>
        </w:tc>
        <w:tc>
          <w:tcPr>
            <w:tcW w:w="5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b2fc48f0ddf244d9844b8de22bde2e36_1497">
              <w:r>
                <w:rPr>
                  <w:rStyle w:val="InternetLink"/>
                  <w:rFonts w:ascii="Times New Roman;sans-serif" w:hAnsi="Times New Roman;sans-serif"/>
                  <w:b w:val="false"/>
                  <w:color w:val="0000FF"/>
                  <w:sz w:val="20"/>
                  <w:u w:val="single"/>
                </w:rPr>
                <w:t>36</w:t>
              </w:r>
            </w:hyperlink>
          </w:p>
        </w:tc>
      </w:tr>
      <w:tr>
        <w:trPr/>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2fc48f0ddf244d9844b8de22bde2e36_28">
              <w:r>
                <w:rPr>
                  <w:rStyle w:val="InternetLink"/>
                  <w:rFonts w:ascii="Times New Roman;sans-serif" w:hAnsi="Times New Roman;sans-serif"/>
                  <w:b w:val="false"/>
                  <w:color w:val="0000FF"/>
                  <w:sz w:val="20"/>
                  <w:u w:val="single"/>
                </w:rPr>
                <w:t>Item 2 – Properties</w:t>
              </w:r>
            </w:hyperlink>
          </w:p>
        </w:tc>
        <w:tc>
          <w:tcPr>
            <w:tcW w:w="5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b2fc48f0ddf244d9844b8de22bde2e36_28">
              <w:r>
                <w:rPr>
                  <w:rStyle w:val="InternetLink"/>
                  <w:rFonts w:ascii="Times New Roman;sans-serif" w:hAnsi="Times New Roman;sans-serif"/>
                  <w:b w:val="false"/>
                  <w:color w:val="0000FF"/>
                  <w:sz w:val="20"/>
                  <w:u w:val="single"/>
                </w:rPr>
                <w:t>37</w:t>
              </w:r>
            </w:hyperlink>
          </w:p>
        </w:tc>
      </w:tr>
      <w:tr>
        <w:trPr/>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2fc48f0ddf244d9844b8de22bde2e36_31">
              <w:r>
                <w:rPr>
                  <w:rStyle w:val="InternetLink"/>
                  <w:rFonts w:ascii="Times New Roman;sans-serif" w:hAnsi="Times New Roman;sans-serif"/>
                  <w:b w:val="false"/>
                  <w:color w:val="0000FF"/>
                  <w:sz w:val="20"/>
                  <w:u w:val="single"/>
                </w:rPr>
                <w:t>Item 3 – Legal Proceedings</w:t>
              </w:r>
            </w:hyperlink>
          </w:p>
        </w:tc>
        <w:tc>
          <w:tcPr>
            <w:tcW w:w="5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b2fc48f0ddf244d9844b8de22bde2e36_31">
              <w:r>
                <w:rPr>
                  <w:rStyle w:val="InternetLink"/>
                  <w:rFonts w:ascii="Times New Roman;sans-serif" w:hAnsi="Times New Roman;sans-serif"/>
                  <w:b w:val="false"/>
                  <w:color w:val="0000FF"/>
                  <w:sz w:val="20"/>
                  <w:u w:val="single"/>
                </w:rPr>
                <w:t>37</w:t>
              </w:r>
            </w:hyperlink>
          </w:p>
        </w:tc>
      </w:tr>
      <w:tr>
        <w:trPr/>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2fc48f0ddf244d9844b8de22bde2e36_34">
              <w:r>
                <w:rPr>
                  <w:rStyle w:val="InternetLink"/>
                  <w:rFonts w:ascii="Times New Roman;sans-serif" w:hAnsi="Times New Roman;sans-serif"/>
                  <w:b w:val="false"/>
                  <w:color w:val="0000FF"/>
                  <w:sz w:val="20"/>
                  <w:u w:val="single"/>
                </w:rPr>
                <w:t>Item 4 – Mine Safety Disclosures</w:t>
              </w:r>
            </w:hyperlink>
          </w:p>
        </w:tc>
        <w:tc>
          <w:tcPr>
            <w:tcW w:w="5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b2fc48f0ddf244d9844b8de22bde2e36_34">
              <w:r>
                <w:rPr>
                  <w:rStyle w:val="InternetLink"/>
                  <w:rFonts w:ascii="Times New Roman;sans-serif" w:hAnsi="Times New Roman;sans-serif"/>
                  <w:b w:val="false"/>
                  <w:color w:val="0000FF"/>
                  <w:sz w:val="20"/>
                  <w:u w:val="single"/>
                </w:rPr>
                <w:t>37</w:t>
              </w:r>
            </w:hyperlink>
          </w:p>
        </w:tc>
      </w:tr>
      <w:tr>
        <w:trPr/>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2fc48f0ddf244d9844b8de22bde2e36_37">
              <w:r>
                <w:rPr>
                  <w:rStyle w:val="InternetLink"/>
                  <w:rFonts w:ascii="Times New Roman;sans-serif" w:hAnsi="Times New Roman;sans-serif"/>
                  <w:b w:val="false"/>
                  <w:strike w:val="false"/>
                  <w:dstrike w:val="false"/>
                  <w:color w:val="0000FF"/>
                  <w:sz w:val="20"/>
                  <w:u w:val="none"/>
                  <w:effect w:val="none"/>
                </w:rPr>
                <w:t>Part II</w:t>
              </w:r>
            </w:hyperlink>
          </w:p>
        </w:tc>
        <w:tc>
          <w:tcPr>
            <w:tcW w:w="89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2fc48f0ddf244d9844b8de22bde2e36_40">
              <w:r>
                <w:rPr>
                  <w:rStyle w:val="InternetLink"/>
                  <w:rFonts w:ascii="Times New Roman;sans-serif" w:hAnsi="Times New Roman;sans-serif"/>
                  <w:b w:val="false"/>
                  <w:color w:val="0000FF"/>
                  <w:sz w:val="20"/>
                  <w:u w:val="single"/>
                </w:rPr>
                <w:t>Item 5 – Market for the Registrant’s Common Equity, Related Stockholder Matters and Issuer Purchases of Equity Securities</w:t>
              </w:r>
            </w:hyperlink>
          </w:p>
        </w:tc>
        <w:tc>
          <w:tcPr>
            <w:tcW w:w="5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b2fc48f0ddf244d9844b8de22bde2e36_40">
              <w:r>
                <w:rPr>
                  <w:rStyle w:val="InternetLink"/>
                  <w:rFonts w:ascii="Times New Roman;sans-serif" w:hAnsi="Times New Roman;sans-serif"/>
                  <w:b w:val="false"/>
                  <w:color w:val="0000FF"/>
                  <w:sz w:val="20"/>
                  <w:u w:val="single"/>
                </w:rPr>
                <w:t>38</w:t>
              </w:r>
            </w:hyperlink>
          </w:p>
        </w:tc>
      </w:tr>
      <w:tr>
        <w:trPr/>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2fc48f0ddf244d9844b8de22bde2e36_43">
              <w:r>
                <w:rPr>
                  <w:rStyle w:val="InternetLink"/>
                  <w:rFonts w:ascii="Times New Roman;sans-serif" w:hAnsi="Times New Roman;sans-serif"/>
                  <w:b w:val="false"/>
                  <w:color w:val="0000FF"/>
                  <w:sz w:val="20"/>
                  <w:u w:val="single"/>
                </w:rPr>
                <w:t>Item 6 – [Reserved]</w:t>
              </w:r>
            </w:hyperlink>
          </w:p>
        </w:tc>
        <w:tc>
          <w:tcPr>
            <w:tcW w:w="5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b2fc48f0ddf244d9844b8de22bde2e36_43">
              <w:r>
                <w:rPr>
                  <w:rStyle w:val="InternetLink"/>
                  <w:rFonts w:ascii="Times New Roman;sans-serif" w:hAnsi="Times New Roman;sans-serif"/>
                  <w:b w:val="false"/>
                  <w:color w:val="0000FF"/>
                  <w:sz w:val="20"/>
                  <w:u w:val="single"/>
                </w:rPr>
                <w:t>40</w:t>
              </w:r>
            </w:hyperlink>
          </w:p>
        </w:tc>
      </w:tr>
      <w:tr>
        <w:trPr/>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2fc48f0ddf244d9844b8de22bde2e36_46">
              <w:r>
                <w:rPr>
                  <w:rStyle w:val="InternetLink"/>
                  <w:rFonts w:ascii="Times New Roman;sans-serif" w:hAnsi="Times New Roman;sans-serif"/>
                  <w:b w:val="false"/>
                  <w:color w:val="0000FF"/>
                  <w:sz w:val="20"/>
                  <w:u w:val="single"/>
                </w:rPr>
                <w:t>Item 7 – Management’s Discussion and Analysis of Financial Condition and Results of Operations</w:t>
              </w:r>
            </w:hyperlink>
          </w:p>
        </w:tc>
        <w:tc>
          <w:tcPr>
            <w:tcW w:w="5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b2fc48f0ddf244d9844b8de22bde2e36_46">
              <w:r>
                <w:rPr>
                  <w:rStyle w:val="InternetLink"/>
                  <w:rFonts w:ascii="Times New Roman;sans-serif" w:hAnsi="Times New Roman;sans-serif"/>
                  <w:b w:val="false"/>
                  <w:color w:val="0000FF"/>
                  <w:sz w:val="20"/>
                  <w:u w:val="single"/>
                </w:rPr>
                <w:t>40</w:t>
              </w:r>
            </w:hyperlink>
          </w:p>
        </w:tc>
      </w:tr>
      <w:tr>
        <w:trPr/>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2fc48f0ddf244d9844b8de22bde2e36_55">
              <w:r>
                <w:rPr>
                  <w:rStyle w:val="InternetLink"/>
                  <w:rFonts w:ascii="Times New Roman;sans-serif" w:hAnsi="Times New Roman;sans-serif"/>
                  <w:b w:val="false"/>
                  <w:color w:val="0000FF"/>
                  <w:sz w:val="20"/>
                  <w:u w:val="single"/>
                </w:rPr>
                <w:t>Item 7A – Quantitative and Qualitative Disclosures About Market Risk</w:t>
              </w:r>
            </w:hyperlink>
          </w:p>
        </w:tc>
        <w:tc>
          <w:tcPr>
            <w:tcW w:w="5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b2fc48f0ddf244d9844b8de22bde2e36_55">
              <w:r>
                <w:rPr>
                  <w:rStyle w:val="InternetLink"/>
                  <w:rFonts w:ascii="Times New Roman;sans-serif" w:hAnsi="Times New Roman;sans-serif"/>
                  <w:b w:val="false"/>
                  <w:color w:val="0000FF"/>
                  <w:sz w:val="20"/>
                  <w:u w:val="single"/>
                </w:rPr>
                <w:t>55</w:t>
              </w:r>
            </w:hyperlink>
          </w:p>
        </w:tc>
      </w:tr>
      <w:tr>
        <w:trPr/>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2fc48f0ddf244d9844b8de22bde2e36_58">
              <w:r>
                <w:rPr>
                  <w:rStyle w:val="InternetLink"/>
                  <w:rFonts w:ascii="Times New Roman;sans-serif" w:hAnsi="Times New Roman;sans-serif"/>
                  <w:b w:val="false"/>
                  <w:color w:val="0000FF"/>
                  <w:sz w:val="20"/>
                  <w:u w:val="single"/>
                </w:rPr>
                <w:t>Item 8 – Financial Statements and Supplementary Data</w:t>
              </w:r>
            </w:hyperlink>
          </w:p>
        </w:tc>
        <w:tc>
          <w:tcPr>
            <w:tcW w:w="5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b2fc48f0ddf244d9844b8de22bde2e36_58">
              <w:r>
                <w:rPr>
                  <w:rStyle w:val="InternetLink"/>
                  <w:rFonts w:ascii="Times New Roman;sans-serif" w:hAnsi="Times New Roman;sans-serif"/>
                  <w:b w:val="false"/>
                  <w:color w:val="0000FF"/>
                  <w:sz w:val="20"/>
                  <w:u w:val="single"/>
                </w:rPr>
                <w:t>55</w:t>
              </w:r>
            </w:hyperlink>
          </w:p>
        </w:tc>
      </w:tr>
      <w:tr>
        <w:trPr/>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2fc48f0ddf244d9844b8de22bde2e36_61">
              <w:r>
                <w:rPr>
                  <w:rStyle w:val="InternetLink"/>
                  <w:rFonts w:ascii="Times New Roman;sans-serif" w:hAnsi="Times New Roman;sans-serif"/>
                  <w:b w:val="false"/>
                  <w:color w:val="0000FF"/>
                  <w:sz w:val="20"/>
                  <w:u w:val="single"/>
                </w:rPr>
                <w:t>Item 9 – Changes in and Disagreements with Accountants on Accounting and Financial Disclosure</w:t>
              </w:r>
            </w:hyperlink>
          </w:p>
        </w:tc>
        <w:tc>
          <w:tcPr>
            <w:tcW w:w="5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b2fc48f0ddf244d9844b8de22bde2e36_61">
              <w:r>
                <w:rPr>
                  <w:rStyle w:val="InternetLink"/>
                  <w:rFonts w:ascii="Times New Roman;sans-serif" w:hAnsi="Times New Roman;sans-serif"/>
                  <w:b w:val="false"/>
                  <w:color w:val="0000FF"/>
                  <w:sz w:val="20"/>
                  <w:u w:val="single"/>
                </w:rPr>
                <w:t>56</w:t>
              </w:r>
            </w:hyperlink>
          </w:p>
        </w:tc>
      </w:tr>
      <w:tr>
        <w:trPr/>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2fc48f0ddf244d9844b8de22bde2e36_64">
              <w:r>
                <w:rPr>
                  <w:rStyle w:val="InternetLink"/>
                  <w:rFonts w:ascii="Times New Roman;sans-serif" w:hAnsi="Times New Roman;sans-serif"/>
                  <w:b w:val="false"/>
                  <w:color w:val="0000FF"/>
                  <w:sz w:val="20"/>
                  <w:u w:val="single"/>
                </w:rPr>
                <w:t>Item 9A – Controls and Procedures</w:t>
              </w:r>
            </w:hyperlink>
          </w:p>
        </w:tc>
        <w:tc>
          <w:tcPr>
            <w:tcW w:w="5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b2fc48f0ddf244d9844b8de22bde2e36_64">
              <w:r>
                <w:rPr>
                  <w:rStyle w:val="InternetLink"/>
                  <w:rFonts w:ascii="Times New Roman;sans-serif" w:hAnsi="Times New Roman;sans-serif"/>
                  <w:b w:val="false"/>
                  <w:color w:val="0000FF"/>
                  <w:sz w:val="20"/>
                  <w:u w:val="single"/>
                </w:rPr>
                <w:t>56</w:t>
              </w:r>
            </w:hyperlink>
          </w:p>
        </w:tc>
      </w:tr>
      <w:tr>
        <w:trPr/>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2fc48f0ddf244d9844b8de22bde2e36_67">
              <w:r>
                <w:rPr>
                  <w:rStyle w:val="InternetLink"/>
                  <w:rFonts w:ascii="Times New Roman;sans-serif" w:hAnsi="Times New Roman;sans-serif"/>
                  <w:b w:val="false"/>
                  <w:color w:val="0000FF"/>
                  <w:sz w:val="20"/>
                  <w:u w:val="single"/>
                </w:rPr>
                <w:t>Item 9B – Other Information</w:t>
              </w:r>
            </w:hyperlink>
          </w:p>
        </w:tc>
        <w:tc>
          <w:tcPr>
            <w:tcW w:w="5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b2fc48f0ddf244d9844b8de22bde2e36_67">
              <w:r>
                <w:rPr>
                  <w:rStyle w:val="InternetLink"/>
                  <w:rFonts w:ascii="Times New Roman;sans-serif" w:hAnsi="Times New Roman;sans-serif"/>
                  <w:b w:val="false"/>
                  <w:color w:val="0000FF"/>
                  <w:sz w:val="20"/>
                  <w:u w:val="single"/>
                </w:rPr>
                <w:t>57</w:t>
              </w:r>
            </w:hyperlink>
          </w:p>
        </w:tc>
      </w:tr>
      <w:tr>
        <w:trPr/>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2fc48f0ddf244d9844b8de22bde2e36_70">
              <w:r>
                <w:rPr>
                  <w:rStyle w:val="InternetLink"/>
                  <w:rFonts w:ascii="Times New Roman;sans-serif" w:hAnsi="Times New Roman;sans-serif"/>
                  <w:b w:val="false"/>
                  <w:color w:val="0000FF"/>
                  <w:sz w:val="20"/>
                  <w:u w:val="single"/>
                </w:rPr>
                <w:t>Item 9C – Disclosure Regarding Foreign Jurisdictions that Prevent Inspections</w:t>
              </w:r>
            </w:hyperlink>
          </w:p>
        </w:tc>
        <w:tc>
          <w:tcPr>
            <w:tcW w:w="5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b2fc48f0ddf244d9844b8de22bde2e36_70">
              <w:r>
                <w:rPr>
                  <w:rStyle w:val="InternetLink"/>
                  <w:rFonts w:ascii="Times New Roman;sans-serif" w:hAnsi="Times New Roman;sans-serif"/>
                  <w:b w:val="false"/>
                  <w:color w:val="0000FF"/>
                  <w:sz w:val="20"/>
                  <w:u w:val="single"/>
                </w:rPr>
                <w:t>57</w:t>
              </w:r>
            </w:hyperlink>
          </w:p>
        </w:tc>
      </w:tr>
      <w:tr>
        <w:trPr/>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2fc48f0ddf244d9844b8de22bde2e36_73">
              <w:r>
                <w:rPr>
                  <w:rStyle w:val="InternetLink"/>
                  <w:rFonts w:ascii="Times New Roman;sans-serif" w:hAnsi="Times New Roman;sans-serif"/>
                  <w:b w:val="false"/>
                  <w:strike w:val="false"/>
                  <w:dstrike w:val="false"/>
                  <w:color w:val="0000FF"/>
                  <w:sz w:val="20"/>
                  <w:u w:val="none"/>
                  <w:effect w:val="none"/>
                </w:rPr>
                <w:t>Part III</w:t>
              </w:r>
            </w:hyperlink>
          </w:p>
        </w:tc>
        <w:tc>
          <w:tcPr>
            <w:tcW w:w="89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2fc48f0ddf244d9844b8de22bde2e36_76">
              <w:r>
                <w:rPr>
                  <w:rStyle w:val="InternetLink"/>
                  <w:rFonts w:ascii="Times New Roman;sans-serif" w:hAnsi="Times New Roman;sans-serif"/>
                  <w:b w:val="false"/>
                  <w:color w:val="0000FF"/>
                  <w:sz w:val="20"/>
                  <w:u w:val="single"/>
                </w:rPr>
                <w:t>Item 10 – Directors, Executive Officers and Corporate Governance</w:t>
              </w:r>
            </w:hyperlink>
          </w:p>
        </w:tc>
        <w:tc>
          <w:tcPr>
            <w:tcW w:w="5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b2fc48f0ddf244d9844b8de22bde2e36_76">
              <w:r>
                <w:rPr>
                  <w:rStyle w:val="InternetLink"/>
                  <w:rFonts w:ascii="Times New Roman;sans-serif" w:hAnsi="Times New Roman;sans-serif"/>
                  <w:b w:val="false"/>
                  <w:color w:val="0000FF"/>
                  <w:sz w:val="20"/>
                  <w:u w:val="single"/>
                </w:rPr>
                <w:t>58</w:t>
              </w:r>
            </w:hyperlink>
          </w:p>
        </w:tc>
      </w:tr>
      <w:tr>
        <w:trPr/>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2fc48f0ddf244d9844b8de22bde2e36_79">
              <w:r>
                <w:rPr>
                  <w:rStyle w:val="InternetLink"/>
                  <w:rFonts w:ascii="Times New Roman;sans-serif" w:hAnsi="Times New Roman;sans-serif"/>
                  <w:b w:val="false"/>
                  <w:color w:val="0000FF"/>
                  <w:sz w:val="20"/>
                  <w:u w:val="single"/>
                </w:rPr>
                <w:t>Item 11 – Executive Compensation</w:t>
              </w:r>
            </w:hyperlink>
          </w:p>
        </w:tc>
        <w:tc>
          <w:tcPr>
            <w:tcW w:w="5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b2fc48f0ddf244d9844b8de22bde2e36_79">
              <w:r>
                <w:rPr>
                  <w:rStyle w:val="InternetLink"/>
                  <w:rFonts w:ascii="Times New Roman;sans-serif" w:hAnsi="Times New Roman;sans-serif"/>
                  <w:b w:val="false"/>
                  <w:color w:val="0000FF"/>
                  <w:sz w:val="20"/>
                  <w:u w:val="single"/>
                </w:rPr>
                <w:t>58</w:t>
              </w:r>
            </w:hyperlink>
          </w:p>
        </w:tc>
      </w:tr>
      <w:tr>
        <w:trPr/>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2fc48f0ddf244d9844b8de22bde2e36_82">
              <w:r>
                <w:rPr>
                  <w:rStyle w:val="InternetLink"/>
                  <w:rFonts w:ascii="Times New Roman;sans-serif" w:hAnsi="Times New Roman;sans-serif"/>
                  <w:b w:val="false"/>
                  <w:color w:val="0000FF"/>
                  <w:sz w:val="20"/>
                  <w:u w:val="single"/>
                </w:rPr>
                <w:t>Item 12 – Security Ownership of Certain Beneficial Owners and Management and Related Stockholder Matters</w:t>
              </w:r>
            </w:hyperlink>
          </w:p>
        </w:tc>
        <w:tc>
          <w:tcPr>
            <w:tcW w:w="5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b2fc48f0ddf244d9844b8de22bde2e36_82">
              <w:r>
                <w:rPr>
                  <w:rStyle w:val="InternetLink"/>
                  <w:rFonts w:ascii="Times New Roman;sans-serif" w:hAnsi="Times New Roman;sans-serif"/>
                  <w:b w:val="false"/>
                  <w:color w:val="0000FF"/>
                  <w:sz w:val="20"/>
                  <w:u w:val="single"/>
                </w:rPr>
                <w:t>58</w:t>
              </w:r>
            </w:hyperlink>
          </w:p>
        </w:tc>
      </w:tr>
      <w:tr>
        <w:trPr/>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2fc48f0ddf244d9844b8de22bde2e36_85">
              <w:r>
                <w:rPr>
                  <w:rStyle w:val="InternetLink"/>
                  <w:rFonts w:ascii="Times New Roman;sans-serif" w:hAnsi="Times New Roman;sans-serif"/>
                  <w:b w:val="false"/>
                  <w:color w:val="0000FF"/>
                  <w:sz w:val="20"/>
                  <w:u w:val="single"/>
                </w:rPr>
                <w:t>Item 13 – Certain Relationships and Related Transactions, and Director Independence</w:t>
              </w:r>
            </w:hyperlink>
          </w:p>
        </w:tc>
        <w:tc>
          <w:tcPr>
            <w:tcW w:w="5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b2fc48f0ddf244d9844b8de22bde2e36_85">
              <w:r>
                <w:rPr>
                  <w:rStyle w:val="InternetLink"/>
                  <w:rFonts w:ascii="Times New Roman;sans-serif" w:hAnsi="Times New Roman;sans-serif"/>
                  <w:b w:val="false"/>
                  <w:color w:val="0000FF"/>
                  <w:sz w:val="20"/>
                  <w:u w:val="single"/>
                </w:rPr>
                <w:t>58</w:t>
              </w:r>
            </w:hyperlink>
          </w:p>
        </w:tc>
      </w:tr>
      <w:tr>
        <w:trPr/>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2fc48f0ddf244d9844b8de22bde2e36_88">
              <w:r>
                <w:rPr>
                  <w:rStyle w:val="InternetLink"/>
                  <w:rFonts w:ascii="Times New Roman;sans-serif" w:hAnsi="Times New Roman;sans-serif"/>
                  <w:b w:val="false"/>
                  <w:color w:val="0000FF"/>
                  <w:sz w:val="20"/>
                  <w:u w:val="single"/>
                </w:rPr>
                <w:t>Item 14 – Principal Accountant Fees and Services</w:t>
              </w:r>
            </w:hyperlink>
          </w:p>
        </w:tc>
        <w:tc>
          <w:tcPr>
            <w:tcW w:w="5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b2fc48f0ddf244d9844b8de22bde2e36_88">
              <w:r>
                <w:rPr>
                  <w:rStyle w:val="InternetLink"/>
                  <w:rFonts w:ascii="Times New Roman;sans-serif" w:hAnsi="Times New Roman;sans-serif"/>
                  <w:b w:val="false"/>
                  <w:color w:val="0000FF"/>
                  <w:sz w:val="20"/>
                  <w:u w:val="single"/>
                </w:rPr>
                <w:t>58</w:t>
              </w:r>
            </w:hyperlink>
          </w:p>
        </w:tc>
      </w:tr>
      <w:tr>
        <w:trPr/>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2fc48f0ddf244d9844b8de22bde2e36_91">
              <w:r>
                <w:rPr>
                  <w:rStyle w:val="InternetLink"/>
                  <w:rFonts w:ascii="Times New Roman;sans-serif" w:hAnsi="Times New Roman;sans-serif"/>
                  <w:b w:val="false"/>
                  <w:strike w:val="false"/>
                  <w:dstrike w:val="false"/>
                  <w:color w:val="0000FF"/>
                  <w:sz w:val="20"/>
                  <w:u w:val="none"/>
                  <w:effect w:val="none"/>
                </w:rPr>
                <w:t>Part IV</w:t>
              </w:r>
            </w:hyperlink>
          </w:p>
        </w:tc>
        <w:tc>
          <w:tcPr>
            <w:tcW w:w="89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6" w:type="dxa"/>
            <w:gridSpan w:val="3"/>
            <w:tcBorders/>
            <w:shd w:fill="FFFFFF" w:val="clear"/>
            <w:tcMar>
              <w:top w:w="0" w:type="dxa"/>
              <w:left w:w="0" w:type="dxa"/>
              <w:bottom w:w="0" w:type="dxa"/>
              <w:right w:w="0" w:type="dxa"/>
            </w:tcMar>
            <w:vAlign w:val="center"/>
          </w:tcPr>
          <w:p>
            <w:pPr>
              <w:pStyle w:val="TableContents"/>
              <w:bidi w:val="0"/>
              <w:spacing w:lineRule="auto" w:line="240" w:before="40" w:after="40"/>
              <w:jc w:val="left"/>
              <w:rPr/>
            </w:pPr>
            <w:hyperlink w:anchor="ib2fc48f0ddf244d9844b8de22bde2e36_94">
              <w:r>
                <w:rPr>
                  <w:rStyle w:val="InternetLink"/>
                  <w:rFonts w:ascii="Times New Roman;sans-serif" w:hAnsi="Times New Roman;sans-serif"/>
                  <w:b w:val="false"/>
                  <w:color w:val="0000FF"/>
                  <w:sz w:val="20"/>
                  <w:u w:val="single"/>
                </w:rPr>
                <w:t>Item 15 – Exhibits and Financial Statement Schedules</w:t>
              </w:r>
            </w:hyperlink>
          </w:p>
        </w:tc>
        <w:tc>
          <w:tcPr>
            <w:tcW w:w="5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b2fc48f0ddf244d9844b8de22bde2e36_94">
              <w:r>
                <w:rPr>
                  <w:rStyle w:val="InternetLink"/>
                  <w:rFonts w:ascii="Times New Roman;sans-serif" w:hAnsi="Times New Roman;sans-serif"/>
                  <w:b w:val="false"/>
                  <w:color w:val="0000FF"/>
                  <w:sz w:val="20"/>
                  <w:u w:val="single"/>
                </w:rPr>
                <w:t>59</w:t>
              </w:r>
            </w:hyperlink>
          </w:p>
        </w:tc>
      </w:tr>
      <w:tr>
        <w:trPr/>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6" w:type="dxa"/>
            <w:gridSpan w:val="3"/>
            <w:tcBorders/>
            <w:shd w:fill="CCEEFF" w:val="clear"/>
            <w:tcMar>
              <w:top w:w="0" w:type="dxa"/>
              <w:left w:w="0" w:type="dxa"/>
              <w:bottom w:w="0" w:type="dxa"/>
              <w:right w:w="0" w:type="dxa"/>
            </w:tcMar>
            <w:vAlign w:val="center"/>
          </w:tcPr>
          <w:p>
            <w:pPr>
              <w:pStyle w:val="TableContents"/>
              <w:bidi w:val="0"/>
              <w:spacing w:lineRule="auto" w:line="240" w:before="40" w:after="40"/>
              <w:jc w:val="left"/>
              <w:rPr/>
            </w:pPr>
            <w:hyperlink w:anchor="ib2fc48f0ddf244d9844b8de22bde2e36_100">
              <w:r>
                <w:rPr>
                  <w:rStyle w:val="InternetLink"/>
                  <w:rFonts w:ascii="Times New Roman;sans-serif" w:hAnsi="Times New Roman;sans-serif"/>
                  <w:b w:val="false"/>
                  <w:color w:val="0000FF"/>
                  <w:sz w:val="20"/>
                  <w:u w:val="single"/>
                </w:rPr>
                <w:t>Item 16 – Form 10-K Summary</w:t>
              </w:r>
            </w:hyperlink>
          </w:p>
        </w:tc>
        <w:tc>
          <w:tcPr>
            <w:tcW w:w="5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b2fc48f0ddf244d9844b8de22bde2e36_100">
              <w:r>
                <w:rPr>
                  <w:rStyle w:val="InternetLink"/>
                  <w:rFonts w:ascii="Times New Roman;sans-serif" w:hAnsi="Times New Roman;sans-serif"/>
                  <w:b w:val="false"/>
                  <w:color w:val="0000FF"/>
                  <w:sz w:val="20"/>
                  <w:u w:val="single"/>
                </w:rPr>
                <w:t>65</w:t>
              </w:r>
            </w:hyperlink>
          </w:p>
        </w:tc>
      </w:tr>
      <w:tr>
        <w:trPr/>
        <w:tc>
          <w:tcPr>
            <w:tcW w:w="9632"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2fc48f0ddf244d9844b8de22bde2e36_103">
              <w:r>
                <w:rPr>
                  <w:rStyle w:val="InternetLink"/>
                  <w:rFonts w:ascii="Times New Roman;sans-serif" w:hAnsi="Times New Roman;sans-serif"/>
                  <w:b w:val="false"/>
                  <w:color w:val="0000FF"/>
                  <w:sz w:val="20"/>
                  <w:u w:val="single"/>
                </w:rPr>
                <w:t>Signatures</w:t>
              </w:r>
            </w:hyperlink>
          </w:p>
        </w:tc>
        <w:tc>
          <w:tcPr>
            <w:tcW w:w="5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b2fc48f0ddf244d9844b8de22bde2e36_103">
              <w:r>
                <w:rPr>
                  <w:rStyle w:val="InternetLink"/>
                  <w:rFonts w:ascii="Times New Roman;sans-serif" w:hAnsi="Times New Roman;sans-serif"/>
                  <w:b w:val="false"/>
                  <w:color w:val="0000FF"/>
                  <w:sz w:val="20"/>
                  <w:u w:val="single"/>
                </w:rPr>
                <w:t>66</w:t>
              </w:r>
            </w:hyperlink>
          </w:p>
        </w:tc>
      </w:tr>
      <w:tr>
        <w:trPr/>
        <w:tc>
          <w:tcPr>
            <w:tcW w:w="9632"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2fc48f0ddf244d9844b8de22bde2e36_106">
              <w:r>
                <w:rPr>
                  <w:rStyle w:val="InternetLink"/>
                  <w:rFonts w:ascii="Times New Roman;sans-serif" w:hAnsi="Times New Roman;sans-serif"/>
                  <w:b w:val="false"/>
                  <w:color w:val="0000FF"/>
                  <w:sz w:val="20"/>
                  <w:u w:val="single"/>
                </w:rPr>
                <w:t>Index to Consolidated Financial Statements and Schedule</w:t>
              </w:r>
            </w:hyperlink>
          </w:p>
        </w:tc>
        <w:tc>
          <w:tcPr>
            <w:tcW w:w="5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b2fc48f0ddf244d9844b8de22bde2e36_106">
              <w:r>
                <w:rPr>
                  <w:rStyle w:val="InternetLink"/>
                  <w:rFonts w:ascii="Times New Roman;sans-serif" w:hAnsi="Times New Roman;sans-serif"/>
                  <w:b w:val="false"/>
                  <w:color w:val="0000FF"/>
                  <w:sz w:val="20"/>
                  <w:u w:val="single"/>
                </w:rPr>
                <w:t>F - 1</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289560"/>
                <wp:effectExtent l="0" t="0" r="0" b="0"/>
                <wp:wrapNone/>
                <wp:docPr id="5" name="Frame4"/>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before="18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jc w:val="both"/>
                        <w:rPr/>
                      </w:pPr>
                      <w:r>
                        <w:rPr/>
                      </w:r>
                    </w:p>
                  </w:txbxContent>
                </v:textbox>
                <w10:wrap type="none"/>
              </v:rect>
            </w:pict>
          </mc:Fallback>
        </mc:AlternateContent>
      </w:r>
    </w:p>
    <w:p>
      <w:pPr>
        <w:pStyle w:val="TextBody"/>
        <w:bidi w:val="0"/>
        <w:spacing w:lineRule="auto" w:line="288" w:before="60" w:after="283"/>
        <w:jc w:val="both"/>
        <w:rPr/>
      </w:pPr>
      <w:hyperlink w:anchor="ib2fc48f0ddf244d9844b8de22bde2e36_10">
        <w:r>
          <w:rPr>
            <w:rStyle w:val="InternetLink"/>
            <w:rFonts w:ascii="Times New Roman;sans-serif" w:hAnsi="Times New Roman;sans-serif"/>
            <w:b w:val="false"/>
            <w:color w:val="000080"/>
            <w:sz w:val="20"/>
            <w:u w:val="single"/>
          </w:rPr>
          <w:t>Table of Cont</w:t>
        </w:r>
      </w:hyperlink>
      <w:hyperlink w:anchor="ib2fc48f0ddf244d9844b8de22bde2e36_10">
        <w:r>
          <w:rPr>
            <w:rStyle w:val="InternetLink"/>
            <w:rFonts w:ascii="Times New Roman;sans-serif" w:hAnsi="Times New Roman;sans-serif"/>
            <w:b w:val="false"/>
            <w:color w:val="000080"/>
            <w:sz w:val="20"/>
            <w:u w:val="single"/>
          </w:rPr>
          <w:t>ents</w:t>
        </w:r>
      </w:hyperlink>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PART I</w:t>
      </w: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In this Annual Report on Form 10-K, the words the “Company,” “VICI,” “we,” “our,” and “us” refer to VICI Properties Inc. and its subsidiaries, including VICI LP, on a consolidated basis, unless otherwise stated or the context requires otherwise. </w:t>
      </w: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We refer to (i) our Consolidated Financial Statements as our “Financial Statements,” (ii) our Consolidated Balance Sheets as our “Balance Sheets,” (iii) our Consolidated Statements of Operations and Comprehensive Income as our “Statement of Operations,” and (iv) our Consolidated Statement of Cash Flows as our “Statement of Cash Flows.” References to numbered “Notes” refer to the Notes to our Consolidated Financial Statements.</w:t>
      </w:r>
    </w:p>
    <w:p>
      <w:pPr>
        <w:pStyle w:val="TextBody"/>
        <w:bidi w:val="0"/>
        <w:spacing w:lineRule="auto" w:line="288" w:before="180" w:after="283"/>
        <w:jc w:val="both"/>
        <w:rPr>
          <w:rFonts w:ascii="Times New Roman;sans-serif" w:hAnsi="Times New Roman;sans-serif"/>
          <w:b/>
          <w:color w:val="000000"/>
          <w:sz w:val="24"/>
        </w:rPr>
      </w:pPr>
      <w:r>
        <w:rPr>
          <w:rFonts w:ascii="Times New Roman;sans-serif" w:hAnsi="Times New Roman;sans-serif"/>
          <w:b/>
          <w:color w:val="000000"/>
          <w:sz w:val="24"/>
        </w:rPr>
        <w:t>Summary of Risk Factors</w:t>
      </w:r>
    </w:p>
    <w:p>
      <w:pPr>
        <w:pStyle w:val="TextBody"/>
        <w:bidi w:val="0"/>
        <w:spacing w:lineRule="auto" w:line="288" w:before="120" w:after="283"/>
        <w:jc w:val="both"/>
        <w:rPr>
          <w:rFonts w:ascii="Times New Roman;sans-serif" w:hAnsi="Times New Roman;sans-serif"/>
          <w:b w:val="false"/>
          <w:i/>
          <w:color w:val="231F20"/>
          <w:sz w:val="20"/>
        </w:rPr>
      </w:pPr>
      <w:r>
        <w:rPr>
          <w:rFonts w:ascii="Times New Roman;sans-serif" w:hAnsi="Times New Roman;sans-serif"/>
          <w:b w:val="false"/>
          <w:i/>
          <w:color w:val="231F20"/>
          <w:sz w:val="20"/>
        </w:rPr>
        <w:t>Our business is subject to a number of risks, including risks that may prevent us from achieving our business objectives or may adversely affect our business, financial condition, liquidity, results of operations and prospects. These risks are discussed more fully in Item 1A. Risk Factors. These risks include, but are not limited to, the following:</w:t>
      </w:r>
    </w:p>
    <w:p>
      <w:pPr>
        <w:pStyle w:val="TextBody"/>
        <w:bidi w:val="0"/>
        <w:spacing w:lineRule="auto" w:line="288" w:before="18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Risks Related to Our Business and Operations</w:t>
      </w:r>
    </w:p>
    <w:p>
      <w:pPr>
        <w:pStyle w:val="TextBody"/>
        <w:bidi w:val="0"/>
        <w:spacing w:lineRule="auto" w:line="288" w:before="40" w:after="283"/>
        <w:ind w:left="0" w:right="0" w:hanging="360"/>
        <w:jc w:val="both"/>
        <w:rPr/>
      </w:pPr>
      <w:r>
        <w:rPr>
          <w:color w:val="000000"/>
        </w:rPr>
        <w:t>•</w:t>
      </w:r>
      <w:r>
        <w:rPr>
          <w:rFonts w:ascii="Times New Roman;sans-serif" w:hAnsi="Times New Roman;sans-serif"/>
          <w:b w:val="false"/>
          <w:color w:val="000000"/>
          <w:sz w:val="20"/>
        </w:rPr>
        <w:t>We are and expect to continue to be significantly dependent on our tenants for substantially all of our revenues and, because our tenants are required to pay a significant portion of their cash flow from operations to us pursuant to, and subject to the terms and conditions of, our respective lease agreements and other agreements with them, an event that has a material adverse effect on any of our significant tenants could have a material adverse effect on us.</w:t>
      </w:r>
    </w:p>
    <w:p>
      <w:pPr>
        <w:pStyle w:val="TextBody"/>
        <w:bidi w:val="0"/>
        <w:spacing w:lineRule="auto" w:line="288" w:before="40" w:after="283"/>
        <w:ind w:left="0" w:right="0" w:hanging="360"/>
        <w:jc w:val="both"/>
        <w:rPr/>
      </w:pPr>
      <w:r>
        <w:rPr>
          <w:color w:val="000000"/>
        </w:rPr>
        <w:t>•</w:t>
      </w:r>
      <w:r>
        <w:rPr>
          <w:rFonts w:ascii="Times New Roman;sans-serif" w:hAnsi="Times New Roman;sans-serif"/>
          <w:b w:val="false"/>
          <w:color w:val="000000"/>
          <w:sz w:val="20"/>
        </w:rPr>
        <w:t>We are dependent on the gaming industry and may be susceptible to risks associated with it, including heightened competition, changes in consumer behavior and discretionary spending as a result of an economic slowdown, increased inflation, rising interest rates, or otherwise, which could materially and adversely affect our business, financial condition, liquidity, results of operations and prospects.</w:t>
      </w:r>
    </w:p>
    <w:p>
      <w:pPr>
        <w:pStyle w:val="TextBody"/>
        <w:bidi w:val="0"/>
        <w:spacing w:lineRule="auto" w:line="288" w:before="40" w:after="283"/>
        <w:ind w:left="0" w:right="0" w:hanging="360"/>
        <w:jc w:val="both"/>
        <w:rPr/>
      </w:pPr>
      <w:r>
        <w:rPr>
          <w:color w:val="000000"/>
        </w:rPr>
        <w:t>•</w:t>
      </w:r>
      <w:r>
        <w:rPr>
          <w:rFonts w:ascii="Times New Roman;sans-serif" w:hAnsi="Times New Roman;sans-serif"/>
          <w:b w:val="false"/>
          <w:color w:val="000000"/>
          <w:sz w:val="20"/>
        </w:rPr>
        <w:t>Because a concentrated portion of our revenues are generated from the Las Vegas Strip, we are subject to greater risks than a company that is more geographically diversified.</w:t>
      </w:r>
    </w:p>
    <w:p>
      <w:pPr>
        <w:pStyle w:val="TextBody"/>
        <w:bidi w:val="0"/>
        <w:spacing w:lineRule="auto" w:line="288" w:before="40" w:after="283"/>
        <w:ind w:left="0" w:right="0" w:hanging="360"/>
        <w:jc w:val="both"/>
        <w:rPr/>
      </w:pPr>
      <w:r>
        <w:rPr>
          <w:color w:val="000000"/>
        </w:rPr>
        <w:t>•</w:t>
      </w:r>
      <w:r>
        <w:rPr>
          <w:rFonts w:ascii="Times New Roman;sans-serif" w:hAnsi="Times New Roman;sans-serif"/>
          <w:b w:val="false"/>
          <w:color w:val="000000"/>
          <w:sz w:val="20"/>
        </w:rPr>
        <w:t xml:space="preserve">Our pursuit of investments in, and acquisitions of, experiential assets and other strategic opportunities are in a highly competitive industry and may be unsuccessful or fail to meet our expectations, and we may not identify all potential costs and liabilities in connection with our acquisitions or investments. </w:t>
      </w:r>
    </w:p>
    <w:p>
      <w:pPr>
        <w:pStyle w:val="TextBody"/>
        <w:bidi w:val="0"/>
        <w:spacing w:lineRule="auto" w:line="288" w:before="40" w:after="283"/>
        <w:ind w:left="0" w:right="0" w:hanging="360"/>
        <w:jc w:val="both"/>
        <w:rPr/>
      </w:pPr>
      <w:r>
        <w:rPr>
          <w:color w:val="000000"/>
        </w:rPr>
        <w:t>•</w:t>
      </w:r>
      <w:r>
        <w:rPr>
          <w:rFonts w:ascii="Times New Roman;sans-serif" w:hAnsi="Times New Roman;sans-serif"/>
          <w:b w:val="false"/>
          <w:color w:val="000000"/>
          <w:sz w:val="20"/>
        </w:rPr>
        <w:t>We and our tenants face extensive regulation from gaming and other regulatory authorities, and our charter provides that any of our shares held by investors who are found to be unsuitable by state gaming regulatory authorities are subject to redemption.</w:t>
      </w:r>
    </w:p>
    <w:p>
      <w:pPr>
        <w:pStyle w:val="TextBody"/>
        <w:bidi w:val="0"/>
        <w:spacing w:lineRule="auto" w:line="288" w:before="40" w:after="283"/>
        <w:ind w:left="0" w:right="0" w:hanging="360"/>
        <w:jc w:val="both"/>
        <w:rPr/>
      </w:pPr>
      <w:r>
        <w:rPr>
          <w:color w:val="000000"/>
        </w:rPr>
        <w:t>•</w:t>
      </w:r>
      <w:r>
        <w:rPr>
          <w:rFonts w:ascii="Times New Roman;sans-serif" w:hAnsi="Times New Roman;sans-serif"/>
          <w:b w:val="false"/>
          <w:color w:val="000000"/>
          <w:sz w:val="20"/>
        </w:rPr>
        <w:t>Required regulatory approvals can delay or prohibit transfers of our gaming properties or the consummation of transactions (including pursuant to our put-call and right of first refusal agreements), which could result in periods in which we are unable to receive rent related to, or otherwise realize the benefits of, such transactions, which may have a material adverse effect on our business, financial condition, liquidity, results of operations and prospects.</w:t>
      </w:r>
    </w:p>
    <w:p>
      <w:pPr>
        <w:pStyle w:val="TextBody"/>
        <w:bidi w:val="0"/>
        <w:spacing w:lineRule="auto" w:line="288" w:before="40" w:after="283"/>
        <w:ind w:left="0" w:right="0" w:hanging="360"/>
        <w:jc w:val="both"/>
        <w:rPr/>
      </w:pPr>
      <w:r>
        <w:rPr>
          <w:color w:val="000000"/>
        </w:rPr>
        <w:t>•</w:t>
      </w:r>
      <w:r>
        <w:rPr>
          <w:rFonts w:ascii="Times New Roman;sans-serif" w:hAnsi="Times New Roman;sans-serif"/>
          <w:b w:val="false"/>
          <w:color w:val="000000"/>
          <w:sz w:val="20"/>
        </w:rPr>
        <w:t>We are subject to additional risks due to our international investments and acquisitions, including properties that we own, or may acquire in the future, outside the United States.</w:t>
      </w:r>
    </w:p>
    <w:p>
      <w:pPr>
        <w:pStyle w:val="TextBody"/>
        <w:bidi w:val="0"/>
        <w:spacing w:lineRule="auto" w:line="288" w:before="40" w:after="283"/>
        <w:ind w:left="0" w:right="0" w:hanging="360"/>
        <w:jc w:val="both"/>
        <w:rPr/>
      </w:pPr>
      <w:r>
        <w:rPr>
          <w:color w:val="000000"/>
        </w:rPr>
        <w:t>•</w:t>
      </w:r>
      <w:r>
        <w:rPr>
          <w:rFonts w:ascii="Times New Roman;sans-serif" w:hAnsi="Times New Roman;sans-serif"/>
          <w:b w:val="false"/>
          <w:color w:val="000000"/>
          <w:sz w:val="20"/>
        </w:rPr>
        <w:t>Our long-term, triple-net leases include rent escalations over specified periods that will generally continue to apply regardless of the amount of cash flows generated by the properties subject to such lease agreements, and such lease agreements may not result in fair market lease rates over time, which could negatively impact our financial condition, results of operations and cash flows and reduce the amount of funds available to make distributions to stockholders.</w:t>
      </w:r>
    </w:p>
    <w:p>
      <w:pPr>
        <w:pStyle w:val="TextBody"/>
        <w:bidi w:val="0"/>
        <w:spacing w:lineRule="auto" w:line="288" w:before="40" w:after="283"/>
        <w:ind w:left="0" w:right="0" w:hanging="360"/>
        <w:jc w:val="both"/>
        <w:rPr/>
      </w:pPr>
      <w:r>
        <w:rPr>
          <w:color w:val="000000"/>
        </w:rPr>
        <w:t>•</w:t>
      </w:r>
      <w:r>
        <w:rPr>
          <w:rFonts w:ascii="Times New Roman;sans-serif" w:hAnsi="Times New Roman;sans-serif"/>
          <w:b w:val="false"/>
          <w:color w:val="000000"/>
          <w:sz w:val="20"/>
        </w:rPr>
        <w:t>We may not be able to purchase properties pursuant to our rights under certain agreements, including put-call, call right, right of first refusal agreements and right of first offer agreements, including if we are unable to obtain additional financing.</w:t>
      </w:r>
    </w:p>
    <w:p>
      <w:pPr>
        <w:pStyle w:val="TextBody"/>
        <w:bidi w:val="0"/>
        <w:spacing w:lineRule="auto" w:line="288" w:before="40" w:after="283"/>
        <w:ind w:left="0" w:right="0" w:hanging="360"/>
        <w:jc w:val="both"/>
        <w:rPr/>
      </w:pPr>
      <w:r>
        <w:rPr>
          <w:color w:val="000000"/>
        </w:rPr>
        <w:t>•</w:t>
      </w:r>
      <w:r>
        <w:rPr>
          <w:rFonts w:ascii="Times New Roman;sans-serif" w:hAnsi="Times New Roman;sans-serif"/>
          <w:b w:val="false"/>
          <w:color w:val="000000"/>
          <w:sz w:val="20"/>
        </w:rPr>
        <w:t>The bankruptcy or insolvency of any tenant, borrower or guarantor could result in the termination of the lease agreements, the related guarantees or loan agreements and certain lease agreements being re-characterized as disguised financing transactions, resulting in material losses to us.</w:t>
      </w:r>
    </w:p>
    <w:p>
      <w:pPr>
        <w:pStyle w:val="TextBody"/>
        <w:bidi w:val="0"/>
        <w:spacing w:lineRule="auto" w:line="288" w:before="40" w:after="283"/>
        <w:ind w:left="0" w:right="0" w:hanging="360"/>
        <w:jc w:val="both"/>
        <w:rPr/>
      </w:pPr>
      <w:r>
        <w:rPr>
          <w:color w:val="000000"/>
        </w:rPr>
        <w:t>•</w:t>
      </w:r>
      <w:r>
        <w:rPr>
          <w:rFonts w:ascii="Times New Roman;sans-serif" w:hAnsi="Times New Roman;sans-serif"/>
          <w:b w:val="false"/>
          <w:color w:val="000000"/>
          <w:sz w:val="20"/>
        </w:rPr>
        <w:t>We may sell or divest different properties or assets after an evaluation of our portfolio of businesses. Such sales or divestitures could affect our costs, revenues, results of operations, financial condition and liquidity.</w:t>
      </w:r>
    </w:p>
    <w:p>
      <w:pPr>
        <w:pStyle w:val="TextBody"/>
        <w:bidi w:val="0"/>
        <w:spacing w:lineRule="auto" w:line="288" w:before="40" w:after="283"/>
        <w:ind w:left="0" w:right="0" w:hanging="360"/>
        <w:jc w:val="both"/>
        <w:rPr/>
      </w:pPr>
      <w:r>
        <w:rPr>
          <w:color w:val="000000"/>
        </w:rPr>
        <w:t>•</w:t>
      </w:r>
      <w:r>
        <w:rPr>
          <w:rFonts w:ascii="Times New Roman;sans-serif" w:hAnsi="Times New Roman;sans-serif"/>
          <w:b w:val="false"/>
          <w:color w:val="000000"/>
          <w:sz w:val="20"/>
        </w:rPr>
        <w:t xml:space="preserve">Our properties and the properties securing our loans are subject to risks from climate change, natural disasters, other adverse or extreme weather conditions, casualty and condemnation risks, and terrorist attacks or other acts of violence, the occurrence of which may adversely affect our results of operations, financial condition and liquidity. </w:t>
      </w:r>
    </w:p>
    <w:p>
      <w:pPr>
        <w:pStyle w:val="TextBody"/>
        <w:bidi w:val="0"/>
        <w:spacing w:lineRule="auto" w:line="288" w:before="40" w:after="283"/>
        <w:ind w:left="0" w:right="0" w:hanging="360"/>
        <w:jc w:val="both"/>
        <w:rPr/>
      </w:pPr>
      <w:r>
        <w:rPr>
          <w:color w:val="000000"/>
        </w:rPr>
        <w:t>•</w:t>
      </w:r>
      <w:r>
        <w:rPr>
          <w:rFonts w:ascii="Times New Roman;sans-serif" w:hAnsi="Times New Roman;sans-serif"/>
          <w:b w:val="false"/>
          <w:color w:val="000000"/>
          <w:sz w:val="20"/>
        </w:rPr>
        <w:t>The loss of the services of key personnel could have a material adverse effect on our business.</w:t>
      </w:r>
    </w:p>
    <w:p>
      <w:pPr>
        <w:pStyle w:val="TextBody"/>
        <w:bidi w:val="0"/>
        <w:spacing w:lineRule="auto" w:line="288" w:before="40" w:after="283"/>
        <w:ind w:left="0" w:right="0" w:hanging="360"/>
        <w:jc w:val="both"/>
        <w:rPr/>
      </w:pPr>
      <w:r>
        <w:rPr>
          <w:color w:val="000000"/>
        </w:rPr>
        <w:t>•</w:t>
      </w:r>
      <w:r>
        <w:rPr>
          <w:rFonts w:ascii="Times New Roman;sans-serif" w:hAnsi="Times New Roman;sans-serif"/>
          <w:b w:val="false"/>
          <w:color w:val="000000"/>
          <w:sz w:val="20"/>
        </w:rPr>
        <w:t>We face risks associated with cybersecurity incidents and other significant disruptions of our information technology (IT) networks and related systems or those IT networks and systems of third parties.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222885"/>
                <wp:effectExtent l="0" t="0" r="0" b="0"/>
                <wp:wrapNone/>
                <wp:docPr id="6" name="Frame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60" w:after="283"/>
        <w:jc w:val="both"/>
        <w:rPr/>
      </w:pPr>
      <w:hyperlink w:anchor="ib2fc48f0ddf244d9844b8de22bde2e36_10">
        <w:r>
          <w:rPr>
            <w:rStyle w:val="InternetLink"/>
            <w:rFonts w:ascii="Times New Roman;sans-serif" w:hAnsi="Times New Roman;sans-serif"/>
            <w:b w:val="false"/>
            <w:color w:val="000080"/>
            <w:sz w:val="20"/>
            <w:u w:val="single"/>
          </w:rPr>
          <w:t>Table of Cont</w:t>
        </w:r>
      </w:hyperlink>
      <w:hyperlink w:anchor="ib2fc48f0ddf244d9844b8de22bde2e36_10">
        <w:r>
          <w:rPr>
            <w:rStyle w:val="InternetLink"/>
            <w:rFonts w:ascii="Times New Roman;sans-serif" w:hAnsi="Times New Roman;sans-serif"/>
            <w:b w:val="false"/>
            <w:color w:val="000080"/>
            <w:sz w:val="20"/>
            <w:u w:val="single"/>
          </w:rPr>
          <w:t>ents</w:t>
        </w:r>
      </w:hyperlink>
    </w:p>
    <w:p>
      <w:pPr>
        <w:pStyle w:val="TextBody"/>
        <w:bidi w:val="0"/>
        <w:spacing w:lineRule="auto" w:line="288" w:before="40" w:after="283"/>
        <w:ind w:left="0" w:right="0" w:hanging="360"/>
        <w:jc w:val="both"/>
        <w:rPr/>
      </w:pPr>
      <w:r>
        <w:rPr>
          <w:color w:val="000000"/>
        </w:rPr>
        <w:t>•</w:t>
      </w:r>
      <w:r>
        <w:rPr>
          <w:rFonts w:ascii="Times New Roman;sans-serif" w:hAnsi="Times New Roman;sans-serif"/>
          <w:b w:val="false"/>
          <w:color w:val="000000"/>
          <w:sz w:val="20"/>
        </w:rPr>
        <w:t>The market price and trading volume of shares of our common stock may be volatile.</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Risks Related to our Indebtedness and Financing</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 xml:space="preserve">We have a substantial amount of indebtedness, and expect to incur additional indebtedness in the future. Our indebtedness exposes us to the risk of default under our debt obligations, increases the risks associated with a downturn in our business or in the businesses of our tenants, and requires us to use a significant portion of our cash to service our debt obligations. </w:t>
      </w:r>
    </w:p>
    <w:p>
      <w:pPr>
        <w:pStyle w:val="TextBody"/>
        <w:bidi w:val="0"/>
        <w:spacing w:lineRule="auto" w:line="288" w:before="40" w:after="283"/>
        <w:ind w:left="0" w:right="0" w:hanging="360"/>
        <w:jc w:val="both"/>
        <w:rPr/>
      </w:pPr>
      <w:r>
        <w:rPr>
          <w:color w:val="000000"/>
        </w:rPr>
        <w:t>•</w:t>
      </w:r>
      <w:r>
        <w:rPr>
          <w:rFonts w:ascii="Times New Roman;sans-serif" w:hAnsi="Times New Roman;sans-serif"/>
          <w:b w:val="false"/>
          <w:color w:val="000000"/>
          <w:sz w:val="20"/>
        </w:rPr>
        <w:t>Interest rates have increased, and may continue to do so, increasing our overall interest rate expense, which could adversely affect our stock price.</w:t>
      </w:r>
    </w:p>
    <w:p>
      <w:pPr>
        <w:pStyle w:val="TextBody"/>
        <w:bidi w:val="0"/>
        <w:spacing w:lineRule="auto" w:line="288" w:before="40" w:after="283"/>
        <w:ind w:left="0" w:right="0" w:hanging="360"/>
        <w:jc w:val="both"/>
        <w:rPr/>
      </w:pPr>
      <w:r>
        <w:rPr>
          <w:color w:val="000000"/>
        </w:rPr>
        <w:t>•</w:t>
      </w:r>
      <w:r>
        <w:rPr>
          <w:rFonts w:ascii="Times New Roman;sans-serif" w:hAnsi="Times New Roman;sans-serif"/>
          <w:b w:val="false"/>
          <w:color w:val="000000"/>
          <w:sz w:val="20"/>
        </w:rPr>
        <w:t>Disruption in the equity capital and credit markets may adversely affect our ability to access external funding for our growth and ongoing debt service requirements.</w:t>
      </w:r>
    </w:p>
    <w:p>
      <w:pPr>
        <w:pStyle w:val="TextBody"/>
        <w:bidi w:val="0"/>
        <w:spacing w:lineRule="auto" w:line="288" w:before="40" w:after="283"/>
        <w:ind w:left="0" w:right="0" w:hanging="360"/>
        <w:jc w:val="both"/>
        <w:rPr/>
      </w:pPr>
      <w:r>
        <w:rPr>
          <w:color w:val="000000"/>
        </w:rPr>
        <w:t>•</w:t>
      </w:r>
      <w:r>
        <w:rPr>
          <w:rFonts w:ascii="Times New Roman;sans-serif" w:hAnsi="Times New Roman;sans-serif"/>
          <w:b w:val="false"/>
          <w:color w:val="000000"/>
          <w:sz w:val="20"/>
        </w:rPr>
        <w:t>Adverse changes in our credit ratings may affect our borrowing terms and capacity.</w:t>
      </w:r>
    </w:p>
    <w:p>
      <w:pPr>
        <w:pStyle w:val="TextBody"/>
        <w:bidi w:val="0"/>
        <w:spacing w:lineRule="auto" w:line="288" w:before="40" w:after="283"/>
        <w:ind w:left="0" w:right="0" w:hanging="360"/>
        <w:jc w:val="both"/>
        <w:rPr/>
      </w:pPr>
      <w:r>
        <w:rPr>
          <w:color w:val="000000"/>
        </w:rPr>
        <w:t>•</w:t>
      </w:r>
      <w:r>
        <w:rPr>
          <w:rFonts w:ascii="Times New Roman;sans-serif" w:hAnsi="Times New Roman;sans-serif"/>
          <w:b w:val="false"/>
          <w:color w:val="000000"/>
          <w:sz w:val="20"/>
        </w:rPr>
        <w:t>A breach or default of covenants in our debt agreements could materially and adversely affect our business, financial condition, liquidity, results of operations and prospects.</w:t>
      </w:r>
    </w:p>
    <w:p>
      <w:pPr>
        <w:pStyle w:val="TextBody"/>
        <w:bidi w:val="0"/>
        <w:spacing w:lineRule="auto" w:line="288" w:before="40" w:after="283"/>
        <w:ind w:left="0" w:right="0" w:hanging="360"/>
        <w:jc w:val="both"/>
        <w:rPr/>
      </w:pPr>
      <w:r>
        <w:rPr>
          <w:color w:val="000000"/>
        </w:rPr>
        <w:t>•</w:t>
      </w:r>
      <w:r>
        <w:rPr>
          <w:rFonts w:ascii="Times New Roman;sans-serif" w:hAnsi="Times New Roman;sans-serif"/>
          <w:b w:val="false"/>
          <w:color w:val="000000"/>
          <w:sz w:val="20"/>
        </w:rPr>
        <w:t xml:space="preserve">We have engaged and may engage in hedging or other derivative transactions that may limit gains or result in losses. </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Risks Related to our Status as a REIT</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We may incur adverse tax consequences if we have failed or fail, to qualify as a REIT for U.S. federal income tax purposes.</w:t>
      </w:r>
    </w:p>
    <w:p>
      <w:pPr>
        <w:pStyle w:val="TextBody"/>
        <w:bidi w:val="0"/>
        <w:spacing w:lineRule="auto" w:line="288" w:before="40" w:after="283"/>
        <w:ind w:left="0" w:right="0" w:hanging="360"/>
        <w:jc w:val="both"/>
        <w:rPr/>
      </w:pPr>
      <w:r>
        <w:rPr>
          <w:color w:val="000000"/>
        </w:rPr>
        <w:t>•</w:t>
      </w:r>
      <w:r>
        <w:rPr>
          <w:rFonts w:ascii="Times New Roman;sans-serif" w:hAnsi="Times New Roman;sans-serif"/>
          <w:b w:val="false"/>
          <w:color w:val="000000"/>
          <w:sz w:val="20"/>
        </w:rPr>
        <w:t>Qualification to be taxed as a REIT involves highly technical and complex provisions of the Code, and violations of these provisions could jeopardize our REIT qualification.</w:t>
      </w:r>
    </w:p>
    <w:p>
      <w:pPr>
        <w:pStyle w:val="TextBody"/>
        <w:bidi w:val="0"/>
        <w:spacing w:lineRule="auto" w:line="288" w:before="40" w:after="283"/>
        <w:ind w:left="0" w:right="0" w:hanging="360"/>
        <w:jc w:val="both"/>
        <w:rPr/>
      </w:pPr>
      <w:r>
        <w:rPr>
          <w:color w:val="000000"/>
        </w:rPr>
        <w:t>•</w:t>
      </w:r>
      <w:r>
        <w:rPr>
          <w:rFonts w:ascii="Times New Roman;sans-serif" w:hAnsi="Times New Roman;sans-serif"/>
          <w:b w:val="false"/>
          <w:color w:val="000000"/>
          <w:sz w:val="20"/>
        </w:rPr>
        <w:t>The cash available for distribution to stockholders may not be sufficient to pay dividends at expected levels, nor can we make assurances of our ability to make distributions in the future. We may use borrowed funds to make distributions.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Risks Related to Our Organizational Structure</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VICI is a holding company with no direct operations and relies on distributions received from VICI OP to make distributions to its stockholders.</w:t>
      </w:r>
    </w:p>
    <w:p>
      <w:pPr>
        <w:pStyle w:val="TextBody"/>
        <w:bidi w:val="0"/>
        <w:spacing w:lineRule="auto" w:line="288" w:before="40" w:after="283"/>
        <w:ind w:left="0" w:right="0" w:hanging="360"/>
        <w:jc w:val="both"/>
        <w:rPr/>
      </w:pPr>
      <w:r>
        <w:rPr>
          <w:color w:val="000000"/>
        </w:rPr>
        <w:t>•</w:t>
      </w:r>
      <w:r>
        <w:rPr>
          <w:rFonts w:ascii="Times New Roman;sans-serif" w:hAnsi="Times New Roman;sans-serif"/>
          <w:b w:val="false"/>
          <w:color w:val="000000"/>
          <w:sz w:val="20"/>
        </w:rPr>
        <w:t>Our charter and bylaws contain provisions that may delay, defer or prevent an acquisition of our common stock or a change in control.</w:t>
      </w:r>
    </w:p>
    <w:p>
      <w:pPr>
        <w:pStyle w:val="TextBody"/>
        <w:bidi w:val="0"/>
        <w:spacing w:lineRule="auto" w:line="288" w:before="40" w:after="283"/>
        <w:ind w:left="0" w:right="0" w:hanging="360"/>
        <w:jc w:val="both"/>
        <w:rPr/>
      </w:pPr>
      <w:r>
        <w:rPr>
          <w:color w:val="000000"/>
        </w:rPr>
        <w:t>•</w:t>
      </w:r>
      <w:r>
        <w:rPr>
          <w:rFonts w:ascii="Times New Roman;sans-serif" w:hAnsi="Times New Roman;sans-serif"/>
          <w:b w:val="false"/>
          <w:color w:val="000000"/>
          <w:sz w:val="20"/>
        </w:rPr>
        <w:t>Certain provisions of Maryland law may limit the ability of a third party to acquire control of 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025" w:type="dxa"/>
        <w:jc w:val="left"/>
        <w:tblInd w:w="0" w:type="dxa"/>
        <w:tblLayout w:type="fixed"/>
        <w:tblCellMar>
          <w:top w:w="28" w:type="dxa"/>
          <w:left w:w="28" w:type="dxa"/>
          <w:bottom w:w="28" w:type="dxa"/>
          <w:right w:w="28" w:type="dxa"/>
        </w:tblCellMar>
      </w:tblPr>
      <w:tblGrid>
        <w:gridCol w:w="363"/>
        <w:gridCol w:w="320"/>
        <w:gridCol w:w="321"/>
        <w:gridCol w:w="299"/>
        <w:gridCol w:w="299"/>
        <w:gridCol w:w="423"/>
      </w:tblGrid>
      <w:tr>
        <w:trPr/>
        <w:tc>
          <w:tcPr>
            <w:tcW w:w="36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r>
      <w:tr>
        <w:trPr/>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ITEM 1.</w:t>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Business</w:t>
            </w:r>
          </w:p>
        </w:tc>
      </w:tr>
    </w:tbl>
    <w:p>
      <w:pPr>
        <w:pStyle w:val="TextBody"/>
        <w:bidi w:val="0"/>
        <w:spacing w:lineRule="auto" w:line="288" w:before="180" w:after="283"/>
        <w:jc w:val="both"/>
        <w:rPr/>
      </w:pPr>
      <w:r>
        <w:rPr>
          <w:rFonts w:ascii="Times New Roman;sans-serif" w:hAnsi="Times New Roman;sans-serif"/>
          <w:b w:val="false"/>
          <w:color w:val="000000"/>
          <w:sz w:val="20"/>
        </w:rPr>
        <w:t xml:space="preserve">We are a Maryland corporation that is primarily engaged in the business of owning and acquiring gaming, hospitality and entertainment destinations, subject to long-term triple net leases. We own 93 experiential assets across a geographically diverse portfolio consisting of 54 gaming properties and 39 other experiential properties across the United States and Canada, including Caesars Palace Las Vegas, MGM Grand and the Venetian Resort Las Vegas and the Venetian Expo (the “Venetian Resort”), three of the most iconic entertainment facilities on the Las Vegas Strip. Our gaming and entertainment facilities are leased to leading brands that seek to drive consumer loyalty and value with guests through superior services, experiences, products and continuous innovation. Across approximately </w:t>
      </w:r>
      <w:r>
        <w:rPr>
          <w:rFonts w:ascii="Times New Roman;sans-serif" w:hAnsi="Times New Roman;sans-serif"/>
          <w:b w:val="false"/>
          <w:color w:val="000000"/>
          <w:sz w:val="20"/>
          <w:shd w:fill="FFFFFF" w:val="clear"/>
        </w:rPr>
        <w:t xml:space="preserve">127 </w:t>
      </w:r>
      <w:r>
        <w:rPr>
          <w:rFonts w:ascii="Times New Roman;sans-serif" w:hAnsi="Times New Roman;sans-serif"/>
          <w:b w:val="false"/>
          <w:color w:val="000000"/>
          <w:sz w:val="20"/>
        </w:rPr>
        <w:t>million square feet, our well-maintained properties are curren</w:t>
      </w:r>
      <w:r>
        <w:rPr>
          <w:rFonts w:ascii="Times New Roman;sans-serif" w:hAnsi="Times New Roman;sans-serif"/>
          <w:b w:val="false"/>
          <w:color w:val="000000"/>
          <w:sz w:val="20"/>
          <w:shd w:fill="FFFFFF" w:val="clear"/>
        </w:rPr>
        <w:t xml:space="preserve">tly located across urban, destination and drive-to markets in twenty-six states and Canada, contain approximately 60,300 hotel rooms and feature over 500 restaurants, bars, nightclubs and sportsbooks. </w:t>
      </w:r>
      <w:r>
        <w:rPr>
          <w:rFonts w:ascii="Times New Roman;sans-serif" w:hAnsi="Times New Roman;sans-serif"/>
          <w:b w:val="false"/>
          <w:color w:val="000000"/>
          <w:sz w:val="20"/>
        </w:rPr>
        <w:t xml:space="preserve">In addition, we own approximately 33 acres of undeveloped or underdeveloped land on and adjacent to the Las Vegas Strip that is leased </w:t>
      </w:r>
      <w:r>
        <w:rPr>
          <w:rFonts w:ascii="Times New Roman;sans-serif" w:hAnsi="Times New Roman;sans-serif"/>
          <w:b w:val="false"/>
          <w:color w:val="000000"/>
          <w:sz w:val="20"/>
          <w:shd w:fill="FFFFFF" w:val="clear"/>
        </w:rPr>
        <w:t xml:space="preserve">to Caesars Entertainment, Inc. (together with, as the context requires, its subsidiaries, “Caesars”), </w:t>
      </w:r>
      <w:r>
        <w:rPr>
          <w:rFonts w:ascii="Times New Roman;sans-serif" w:hAnsi="Times New Roman;sans-serif"/>
          <w:b w:val="false"/>
          <w:color w:val="000000"/>
          <w:sz w:val="20"/>
        </w:rPr>
        <w:t xml:space="preserve">which we may look to monetize as appropriate. </w:t>
      </w:r>
      <w:r>
        <w:rPr>
          <w:rFonts w:ascii="Times New Roman;sans-serif" w:hAnsi="Times New Roman;sans-serif"/>
          <w:b w:val="false"/>
          <w:color w:val="000000"/>
          <w:sz w:val="20"/>
          <w:shd w:fill="FFFFFF" w:val="clear"/>
        </w:rPr>
        <w:t xml:space="preserve">As of December 31, 2023 our properties are 100% leased with a weighted average lease term, including extension options, of approximately </w:t>
      </w:r>
      <w:r>
        <w:rPr>
          <w:rFonts w:ascii="Times New Roman;sans-serif" w:hAnsi="Times New Roman;sans-serif"/>
          <w:b w:val="false"/>
          <w:color w:val="000000"/>
          <w:sz w:val="20"/>
        </w:rPr>
        <w:t>41.3 years</w:t>
      </w:r>
      <w:r>
        <w:rPr>
          <w:rFonts w:ascii="Times New Roman;sans-serif" w:hAnsi="Times New Roman;sans-serif"/>
          <w:b w:val="false"/>
          <w:color w:val="000000"/>
          <w:sz w:val="20"/>
          <w:shd w:fill="FFFFFF" w:val="clear"/>
        </w:rPr>
        <w:t>.</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portfolio also includes certain real estate debt investments that we have originated for strategic reasons, primarily in connection with transactions that either do or may provide the potential to convert our investment into the ownership of certain of the underlying real estate in the future. VICI also owns four championship golf courses located near certain of our properties, two of which are in close proximity to the Las Vegas Strip.</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portfolio is competitively positioned and well-maintained. Pursuant to the terms of our lease agreements, which require our tenants to invest in our properties, and in line with our tenants’ commitment to build guest loyalty, we anticipate our tenants will continue to make strategic value-enhancing investments in our properties over time, helping to maintain their competitive position. Our long-term triple-net leases provide our tenants with complete control over management at our leased properties, including sole responsibility for all operations and related expenses, including property taxes, insurance and maintenance,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222885"/>
                <wp:effectExtent l="0" t="0" r="0" b="0"/>
                <wp:wrapNone/>
                <wp:docPr id="7" name="Frame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60" w:after="283"/>
        <w:jc w:val="both"/>
        <w:rPr/>
      </w:pPr>
      <w:hyperlink w:anchor="ib2fc48f0ddf244d9844b8de22bde2e36_10">
        <w:r>
          <w:rPr>
            <w:rStyle w:val="InternetLink"/>
            <w:rFonts w:ascii="Times New Roman;sans-serif" w:hAnsi="Times New Roman;sans-serif"/>
            <w:b w:val="false"/>
            <w:color w:val="000080"/>
            <w:sz w:val="20"/>
            <w:u w:val="single"/>
          </w:rPr>
          <w:t>Table of Cont</w:t>
        </w:r>
      </w:hyperlink>
      <w:hyperlink w:anchor="ib2fc48f0ddf244d9844b8de22bde2e36_10">
        <w:r>
          <w:rPr>
            <w:rStyle w:val="InternetLink"/>
            <w:rFonts w:ascii="Times New Roman;sans-serif" w:hAnsi="Times New Roman;sans-serif"/>
            <w:b w:val="false"/>
            <w:color w:val="000080"/>
            <w:sz w:val="20"/>
            <w:u w:val="single"/>
          </w:rPr>
          <w:t>ents</w:t>
        </w:r>
      </w:hyperlink>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repair, improvement and other capital expenditures, as well as over the implementation of environmental sustainability and other initiatives.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conduct our operations as a real estate investment trust (“REIT”) for U.S. federal income tax purposes. We generally will not be subject to U.S. federal income taxes on our taxable income to the extent that we annually distribute all of our net taxable income to stockholders and maintain our qualification as a REIT. We believe VICI’s election of REIT status, combined with the income generation from the lease agreements and loans, will enhance our ability to make distributions to our stockholders, providing investors with current income as well as long-term growth, subject to the macroeconomic environment, other global events and market conditions more broadly. We conduct our real property business through VICI OP and our golf course business through a taxable REIT subsidiary (a “TRS”), VICI Golf LLC (“VICI Golf”).</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Our Investment Highlights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i/>
          <w:color w:val="000000"/>
          <w:sz w:val="20"/>
        </w:rPr>
        <w:t xml:space="preserve">Demonstrated track record of growth with significant scale. </w:t>
      </w:r>
      <w:r>
        <w:rPr>
          <w:rFonts w:ascii="Times New Roman;sans-serif" w:hAnsi="Times New Roman;sans-serif"/>
          <w:b w:val="false"/>
          <w:color w:val="000000"/>
          <w:sz w:val="20"/>
        </w:rPr>
        <w:t xml:space="preserve">We have made approximately $35 billion of domestic and international investments across gaming and other experiential assets since our formation in October 2017. Following our growth and resulting scale, we were added to the S&amp;P 500 Index in June 2022. </w:t>
      </w:r>
    </w:p>
    <w:p>
      <w:pPr>
        <w:pStyle w:val="TextBody"/>
        <w:bidi w:val="0"/>
        <w:spacing w:lineRule="auto" w:line="288" w:before="180" w:after="283"/>
        <w:ind w:left="0" w:right="0" w:hanging="360"/>
        <w:jc w:val="both"/>
        <w:rPr/>
      </w:pPr>
      <w:r>
        <w:rPr>
          <w:color w:val="000000"/>
        </w:rPr>
        <w:t>•</w:t>
      </w:r>
      <w:r>
        <w:rPr>
          <w:rFonts w:ascii="Times New Roman;sans-serif" w:hAnsi="Times New Roman;sans-serif"/>
          <w:b/>
          <w:i/>
          <w:color w:val="000000"/>
          <w:sz w:val="20"/>
        </w:rPr>
        <w:t>Stable and transparent cash flows by leading operators.</w:t>
      </w:r>
      <w:r>
        <w:rPr>
          <w:color w:val="000000"/>
        </w:rPr>
        <w:t xml:space="preserve"> </w:t>
      </w:r>
      <w:r>
        <w:rPr>
          <w:rFonts w:ascii="Times New Roman;sans-serif" w:hAnsi="Times New Roman;sans-serif"/>
          <w:b w:val="false"/>
          <w:color w:val="000000"/>
          <w:sz w:val="20"/>
        </w:rPr>
        <w:t xml:space="preserve">Our properties are 100% occupied pursuant to our long-term triple-net lease agreements, which provide us with a predictable level of rental revenue to support future cash distributions to our stockholders, with 100% rent collection since our formation in October 2017. Our tenants are market-leading gaming and experiential operators, with the majority of our rent derived from properties operated by SEC reporting companies, providing transparency into our tenants’ performance and health. </w:t>
      </w:r>
    </w:p>
    <w:p>
      <w:pPr>
        <w:pStyle w:val="TextBody"/>
        <w:bidi w:val="0"/>
        <w:spacing w:lineRule="auto" w:line="288" w:before="180" w:after="283"/>
        <w:ind w:left="0" w:right="0" w:hanging="360"/>
        <w:jc w:val="both"/>
        <w:rPr/>
      </w:pPr>
      <w:r>
        <w:rPr>
          <w:color w:val="000000"/>
        </w:rPr>
        <w:t>•</w:t>
      </w:r>
      <w:r>
        <w:rPr>
          <w:rFonts w:ascii="Times New Roman;sans-serif" w:hAnsi="Times New Roman;sans-serif"/>
          <w:b/>
          <w:i/>
          <w:color w:val="000000"/>
          <w:sz w:val="20"/>
        </w:rPr>
        <w:t xml:space="preserve">Contractual escalation with inflation protection. </w:t>
      </w:r>
      <w:r>
        <w:rPr>
          <w:rFonts w:ascii="Times New Roman;sans-serif" w:hAnsi="Times New Roman;sans-serif"/>
          <w:b w:val="false"/>
          <w:color w:val="000000"/>
          <w:sz w:val="20"/>
        </w:rPr>
        <w:t xml:space="preserve">All of our lease agreements provide for annual base rent escalations, which may be fixed or variable over the life of the lease. The rent escalation provisions range from providing for a flat annual increase of 1% to 2% to an annual increase of 1% in the earlier years and the greater of 2% or the U.S consumer price index (“CPI”) in the later years, which may be subject to a maximum CPI-based cap with respect to each annual rent increase. Among our lease agreements, 50% of our rental revenue was subject to a CPI-linked escalation in 2023 and 95% of our rental revenue is eventually subject to a CPI-linked escalation over the life of the lease (subject to applicable caps). </w:t>
      </w:r>
    </w:p>
    <w:p>
      <w:pPr>
        <w:pStyle w:val="TextBody"/>
        <w:bidi w:val="0"/>
        <w:spacing w:lineRule="auto" w:line="288" w:before="180" w:after="283"/>
        <w:ind w:left="0" w:right="0" w:hanging="360"/>
        <w:jc w:val="both"/>
        <w:rPr/>
      </w:pPr>
      <w:r>
        <w:rPr>
          <w:color w:val="000000"/>
        </w:rPr>
        <w:t>•</w:t>
      </w:r>
      <w:r>
        <w:rPr>
          <w:rFonts w:ascii="Times New Roman;sans-serif" w:hAnsi="Times New Roman;sans-serif"/>
          <w:b/>
          <w:i/>
          <w:color w:val="000000"/>
          <w:sz w:val="20"/>
        </w:rPr>
        <w:t>Mission critical complex real estate</w:t>
      </w:r>
      <w:r>
        <w:rPr>
          <w:rFonts w:ascii="Times New Roman;sans-serif" w:hAnsi="Times New Roman;sans-serif"/>
          <w:b/>
          <w:color w:val="000000"/>
          <w:sz w:val="20"/>
        </w:rPr>
        <w:t>.</w:t>
      </w:r>
      <w:r>
        <w:rPr>
          <w:color w:val="000000"/>
        </w:rPr>
        <w:t xml:space="preserve"> </w:t>
      </w:r>
      <w:r>
        <w:rPr>
          <w:rFonts w:ascii="Times New Roman;sans-serif" w:hAnsi="Times New Roman;sans-serif"/>
          <w:b w:val="false"/>
          <w:color w:val="000000"/>
          <w:sz w:val="20"/>
        </w:rPr>
        <w:t>Our portfolio benefits from a strong mix of demand generators, including casinos, hotels, restaurants, entertainment facilities, bars and nightclubs and convention space. Our Las Vegas properties, including Caesars Palace Las Vegas, MGM Grand and the Venetian Resort, which are located on the Las Vegas Strip, are among the most iconic entertainment facilities in Las Vegas, featuring gaming entertainment, large-scale hotels, extensive food and beverage options, state-of-the-art convention facilities, retail outlets and entertainment venues. Additionally, the gaming regulatory environment in which we operate creates a high barrier to entry and limits our tenants’ ability to move locations.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i/>
          <w:color w:val="000000"/>
          <w:sz w:val="20"/>
        </w:rPr>
        <w:t xml:space="preserve">Strategic financing relationships with leading experiential operators. </w:t>
      </w:r>
      <w:r>
        <w:rPr>
          <w:rFonts w:ascii="Times New Roman;sans-serif" w:hAnsi="Times New Roman;sans-serif"/>
          <w:b w:val="false"/>
          <w:color w:val="000000"/>
          <w:sz w:val="20"/>
        </w:rPr>
        <w:t>In addition to our relationships with leading gaming operators, we have entered into strategic financing relationships through our VICI Experiential Credit Solutions strategy</w:t>
      </w:r>
      <w:r>
        <w:rPr>
          <w:color w:val="000000"/>
        </w:rPr>
        <w:t xml:space="preserve"> </w:t>
      </w:r>
      <w:r>
        <w:rPr>
          <w:rFonts w:ascii="Times New Roman;sans-serif" w:hAnsi="Times New Roman;sans-serif"/>
          <w:b w:val="false"/>
          <w:color w:val="000000"/>
          <w:sz w:val="20"/>
        </w:rPr>
        <w:t>with other experiential operators in sectors such as world-class destination golf resorts and communities, integrative wellness centers, premier sports and entertainment complexes and family-oriented indoor waterpark resorts. We believe these relationships may lead to additional mutually beneficial growth opportunities with these industry-leading experiential operators in the future. Furthermore, certain of these financing arrangements provide the potential to convert our investment into ownership of certain of the underlying real estate in the future.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222885"/>
                <wp:effectExtent l="0" t="0" r="0" b="0"/>
                <wp:wrapNone/>
                <wp:docPr id="8" name="Frame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60" w:after="283"/>
        <w:jc w:val="both"/>
        <w:rPr/>
      </w:pPr>
      <w:hyperlink w:anchor="ib2fc48f0ddf244d9844b8de22bde2e36_10">
        <w:r>
          <w:rPr>
            <w:rStyle w:val="InternetLink"/>
            <w:rFonts w:ascii="Times New Roman;sans-serif" w:hAnsi="Times New Roman;sans-serif"/>
            <w:b w:val="false"/>
            <w:color w:val="000080"/>
            <w:sz w:val="20"/>
            <w:u w:val="single"/>
          </w:rPr>
          <w:t>Table of Cont</w:t>
        </w:r>
      </w:hyperlink>
      <w:hyperlink w:anchor="ib2fc48f0ddf244d9844b8de22bde2e36_10">
        <w:r>
          <w:rPr>
            <w:rStyle w:val="InternetLink"/>
            <w:rFonts w:ascii="Times New Roman;sans-serif" w:hAnsi="Times New Roman;sans-serif"/>
            <w:b w:val="false"/>
            <w:color w:val="000080"/>
            <w:sz w:val="20"/>
            <w:u w:val="single"/>
          </w:rPr>
          <w:t>ents</w:t>
        </w:r>
      </w:hyperlink>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Our Properties and Lease Agreements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experiential portfolio features world-renowned assets on the Las Vegas Strip and market-leading urban, destination and regional properties with significant scale. Our properties are leased to leading operators that seek to drive loyalty and value with guests through superior services, experiences and products and continuous innovation.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derive a substantial majority of our revenues from rental revenue from the lease agreements for our properties, each of which are “triple-net” leases, pursuant to which the tenant bears responsibility for all property costs and expenses associated with ongoing maintenance and operation, including utilities, property tax and insurance. Our lease agreements are generally long term in nature with initial terms ranging from 15 to 32 years and are generally structured with several tenant renewal options extending the term of the lease for another 5 to 30 years. All of our lease agreements provide for annual base rent escalations, which may be fixed or variable over the life of the lease. The rent escalation provisions range from providing for a flat annual increase of 1% to 2% to an annual increase of 1% in the earlier years and the greater of 2% or CPI in the later years, which may be subject to a maximum CPI-based cap with respect to each annual rent increase. </w:t>
      </w:r>
    </w:p>
    <w:p>
      <w:pPr>
        <w:pStyle w:val="TextBody"/>
        <w:bidi w:val="0"/>
        <w:spacing w:lineRule="auto" w:line="288" w:before="180" w:after="283"/>
        <w:jc w:val="both"/>
        <w:rPr/>
      </w:pPr>
      <w:r>
        <w:rPr>
          <w:rFonts w:ascii="Times New Roman;sans-serif" w:hAnsi="Times New Roman;sans-serif"/>
          <w:b w:val="false"/>
          <w:color w:val="000000"/>
          <w:sz w:val="20"/>
        </w:rPr>
        <w:t xml:space="preserve">For an overview of the provisions of certain of our lease agreements, including the related capital expenditure requirements, refer to </w:t>
      </w:r>
      <w:hyperlink w:anchor="ib2fc48f0ddf244d9844b8de22bde2e36_151">
        <w:r>
          <w:rPr>
            <w:rStyle w:val="InternetLink"/>
            <w:rFonts w:ascii="Times New Roman;sans-serif" w:hAnsi="Times New Roman;sans-serif"/>
            <w:b w:val="false"/>
            <w:color w:val="0000FF"/>
            <w:sz w:val="20"/>
            <w:u w:val="single"/>
          </w:rPr>
          <w:t>Note 4 - Real Estate Portfolio</w:t>
        </w:r>
      </w:hyperlink>
      <w:r>
        <w:rPr>
          <w:rFonts w:ascii="Times New Roman;sans-serif" w:hAnsi="Times New Roman;sans-serif"/>
          <w:b w:val="false"/>
          <w:color w:val="000000"/>
          <w:sz w:val="20"/>
        </w:rPr>
        <w:t xml:space="preserve">.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tables summarize our lease agreements between us and our respective tenants and guarantors (each, as may be amended from time to time, and each individually, as defined in the column titled “Lease Agreement”) and the properties under each our respective lease agreements, as of the date of this Annual Report. </w:t>
      </w:r>
    </w:p>
    <w:tbl>
      <w:tblPr>
        <w:tblW w:w="10205" w:type="dxa"/>
        <w:jc w:val="left"/>
        <w:tblInd w:w="0" w:type="dxa"/>
        <w:tblLayout w:type="fixed"/>
        <w:tblCellMar>
          <w:top w:w="28" w:type="dxa"/>
          <w:left w:w="28" w:type="dxa"/>
          <w:bottom w:w="28" w:type="dxa"/>
          <w:right w:w="28" w:type="dxa"/>
        </w:tblCellMar>
      </w:tblPr>
      <w:tblGrid>
        <w:gridCol w:w="467"/>
        <w:gridCol w:w="410"/>
        <w:gridCol w:w="412"/>
        <w:gridCol w:w="109"/>
        <w:gridCol w:w="109"/>
        <w:gridCol w:w="109"/>
        <w:gridCol w:w="930"/>
        <w:gridCol w:w="685"/>
        <w:gridCol w:w="687"/>
        <w:gridCol w:w="109"/>
        <w:gridCol w:w="109"/>
        <w:gridCol w:w="109"/>
        <w:gridCol w:w="663"/>
        <w:gridCol w:w="663"/>
        <w:gridCol w:w="670"/>
        <w:gridCol w:w="109"/>
        <w:gridCol w:w="109"/>
        <w:gridCol w:w="109"/>
        <w:gridCol w:w="441"/>
        <w:gridCol w:w="441"/>
        <w:gridCol w:w="443"/>
        <w:gridCol w:w="109"/>
        <w:gridCol w:w="109"/>
        <w:gridCol w:w="109"/>
        <w:gridCol w:w="109"/>
        <w:gridCol w:w="109"/>
        <w:gridCol w:w="109"/>
        <w:gridCol w:w="109"/>
        <w:gridCol w:w="109"/>
        <w:gridCol w:w="109"/>
        <w:gridCol w:w="387"/>
        <w:gridCol w:w="387"/>
        <w:gridCol w:w="557"/>
      </w:tblGrid>
      <w:tr>
        <w:trPr/>
        <w:tc>
          <w:tcPr>
            <w:tcW w:w="467"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r>
      <w:tr>
        <w:trPr/>
        <w:tc>
          <w:tcPr>
            <w:tcW w:w="12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8"/>
              </w:rPr>
              <w:t xml:space="preserve">Lease Agreement </w:t>
            </w:r>
            <w:r>
              <w:rPr>
                <w:rFonts w:ascii="Times New Roman;sans-serif" w:hAnsi="Times New Roman;sans-serif"/>
                <w:b/>
                <w:i/>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Property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Tenant/Guarantor </w:t>
            </w:r>
            <w:r>
              <w:rPr>
                <w:rFonts w:ascii="Times New Roman;sans-serif" w:hAnsi="Times New Roman;sans-serif"/>
                <w:b/>
                <w:i/>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Initial Expiration</w:t>
            </w:r>
            <w:r>
              <w:rPr>
                <w:color w:val="000000"/>
              </w:rPr>
              <w:t xml:space="preserve"> </w:t>
            </w:r>
            <w:r>
              <w:rPr>
                <w:rFonts w:ascii="Times New Roman;sans-serif" w:hAnsi="Times New Roman;sans-serif"/>
                <w:b/>
                <w:i/>
                <w:color w:val="000000"/>
                <w:sz w:val="12"/>
              </w:rPr>
              <w:t>(3)</w:t>
            </w:r>
          </w:p>
        </w:tc>
      </w:tr>
      <w:tr>
        <w:trPr/>
        <w:tc>
          <w:tcPr>
            <w:tcW w:w="8329" w:type="dxa"/>
            <w:gridSpan w:val="2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Gaming Portfolio</w:t>
            </w:r>
          </w:p>
        </w:tc>
        <w:tc>
          <w:tcPr>
            <w:tcW w:w="1876" w:type="dxa"/>
            <w:gridSpan w:val="8"/>
            <w:tcBorders/>
          </w:tcPr>
          <w:p>
            <w:pPr>
              <w:pStyle w:val="TableContents"/>
              <w:bidi w:val="0"/>
              <w:spacing w:before="0" w:after="283"/>
              <w:jc w:val="left"/>
              <w:rPr>
                <w:sz w:val="4"/>
                <w:szCs w:val="4"/>
              </w:rPr>
            </w:pPr>
            <w:r>
              <w:rPr>
                <w:sz w:val="4"/>
                <w:szCs w:val="4"/>
              </w:rPr>
            </w:r>
          </w:p>
        </w:tc>
      </w:tr>
      <w:tr>
        <w:trPr/>
        <w:tc>
          <w:tcPr>
            <w:tcW w:w="3918"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Caesars Joliet Lease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8"/>
              </w:rPr>
            </w:pPr>
            <w:r>
              <w:rPr>
                <w:rFonts w:ascii="Times New Roman;sans-serif" w:hAnsi="Times New Roman;sans-serif"/>
                <w:b/>
                <w:i/>
                <w:color w:val="000000"/>
                <w:sz w:val="18"/>
              </w:rPr>
              <w:t>Caesars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8"/>
              </w:rPr>
            </w:pPr>
            <w:r>
              <w:rPr>
                <w:rFonts w:ascii="Times New Roman;sans-serif" w:hAnsi="Times New Roman;sans-serif"/>
                <w:b/>
                <w:i/>
                <w:color w:val="000000"/>
                <w:sz w:val="18"/>
              </w:rPr>
              <w:t>July 31, 2035</w:t>
            </w:r>
          </w:p>
        </w:tc>
      </w:tr>
      <w:tr>
        <w:trPr/>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Harrah’s Joliet </w:t>
            </w:r>
            <w:r>
              <w:rPr>
                <w:rFonts w:ascii="Times New Roman;sans-serif" w:hAnsi="Times New Roman;sans-serif"/>
                <w:b w:val="false"/>
                <w:i/>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Joliet, IL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8"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Caesars Las Vegas Master Lease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8"/>
              </w:rPr>
            </w:pPr>
            <w:r>
              <w:rPr>
                <w:rFonts w:ascii="Times New Roman;sans-serif" w:hAnsi="Times New Roman;sans-serif"/>
                <w:b/>
                <w:i/>
                <w:color w:val="000000"/>
                <w:sz w:val="18"/>
              </w:rPr>
              <w:t>Caesars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8"/>
              </w:rPr>
            </w:pPr>
            <w:r>
              <w:rPr>
                <w:rFonts w:ascii="Times New Roman;sans-serif" w:hAnsi="Times New Roman;sans-serif"/>
                <w:b/>
                <w:i/>
                <w:color w:val="000000"/>
                <w:sz w:val="18"/>
              </w:rPr>
              <w:t>July 31, 2035</w:t>
            </w:r>
          </w:p>
        </w:tc>
      </w:tr>
      <w:tr>
        <w:trPr/>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Caesars Palace Las Vegas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Las Vegas, NV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Harrah’s Las Vegas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Las Vegas, NV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Caesars Regional Master Lease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8"/>
              </w:rPr>
            </w:pPr>
            <w:r>
              <w:rPr>
                <w:rFonts w:ascii="Times New Roman;sans-serif" w:hAnsi="Times New Roman;sans-serif"/>
                <w:b/>
                <w:i/>
                <w:color w:val="000000"/>
                <w:sz w:val="18"/>
              </w:rPr>
              <w:t>Caesars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8"/>
              </w:rPr>
            </w:pPr>
            <w:r>
              <w:rPr>
                <w:rFonts w:ascii="Times New Roman;sans-serif" w:hAnsi="Times New Roman;sans-serif"/>
                <w:b/>
                <w:i/>
                <w:color w:val="000000"/>
                <w:sz w:val="18"/>
              </w:rPr>
              <w:t>July 31, 2035</w:t>
            </w:r>
          </w:p>
        </w:tc>
      </w:tr>
      <w:tr>
        <w:trPr/>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Caesars Atlantic City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Atlantic City, NJ</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Harrah’s Atlantic City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Atlantic City, NJ</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Harrah’s Council Bluffs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Council Bluffs, 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Harrah’s Gulf Coast </w:t>
            </w:r>
            <w:r>
              <w:rPr>
                <w:rFonts w:ascii="Times New Roman;sans-serif" w:hAnsi="Times New Roman;sans-serif"/>
                <w:b w:val="false"/>
                <w:i/>
                <w:color w:val="000000"/>
                <w:sz w:val="13"/>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Biloxi, 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Harrah’s Lake Tahoe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Stateline, NV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Harrah’s Laughlin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Laughlin, NV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Harrah’s Metropolis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Metropolis, IL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Harrah’s New Orleans </w:t>
            </w:r>
            <w:r>
              <w:rPr>
                <w:rFonts w:ascii="Times New Roman;sans-serif" w:hAnsi="Times New Roman;sans-serif"/>
                <w:b w:val="false"/>
                <w:i/>
                <w:color w:val="000000"/>
                <w:sz w:val="13"/>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New Orleans, LA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Harrah’s North Kansas City </w:t>
            </w:r>
            <w:r>
              <w:rPr>
                <w:rFonts w:ascii="Times New Roman;sans-serif" w:hAnsi="Times New Roman;sans-serif"/>
                <w:b w:val="false"/>
                <w:i/>
                <w:color w:val="000000"/>
                <w:sz w:val="13"/>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North Kansas City, MO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Harrah’s Philadelphia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Chester, PA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Harvey’s Lake Tahoe </w:t>
            </w:r>
            <w:r>
              <w:rPr>
                <w:rFonts w:ascii="Times New Roman;sans-serif" w:hAnsi="Times New Roman;sans-serif"/>
                <w:b w:val="false"/>
                <w:i/>
                <w:color w:val="000000"/>
                <w:sz w:val="13"/>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Stateline, NV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Horseshoe Bossier City </w:t>
            </w:r>
            <w:r>
              <w:rPr>
                <w:rFonts w:ascii="Times New Roman;sans-serif" w:hAnsi="Times New Roman;sans-serif"/>
                <w:b w:val="false"/>
                <w:i/>
                <w:color w:val="000000"/>
                <w:sz w:val="13"/>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Bossier City, LA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Horseshoe Council Bluffs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Council Bluffs, 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Horseshoe Hammond </w:t>
            </w:r>
            <w:r>
              <w:rPr>
                <w:rFonts w:ascii="Times New Roman;sans-serif" w:hAnsi="Times New Roman;sans-serif"/>
                <w:b w:val="false"/>
                <w:i/>
                <w:color w:val="000000"/>
                <w:sz w:val="13"/>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Hammond, 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Horseshoe Tunica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Robinsonville, 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Century Master Lease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shd w:fill="FFFFFF" w:val="clear"/>
            <w:tcMar>
              <w:top w:w="0" w:type="dxa"/>
              <w:left w:w="0" w:type="dxa"/>
              <w:bottom w:w="0" w:type="dxa"/>
              <w:right w:w="0" w:type="dxa"/>
            </w:tcMar>
            <w:vAlign w:val="center"/>
          </w:tcPr>
          <w:p>
            <w:pPr>
              <w:pStyle w:val="TableContents"/>
              <w:bidi w:val="0"/>
              <w:spacing w:lineRule="auto" w:line="240" w:before="120" w:after="283"/>
              <w:jc w:val="center"/>
              <w:rPr>
                <w:rFonts w:ascii="Times New Roman;sans-serif" w:hAnsi="Times New Roman;sans-serif"/>
                <w:b/>
                <w:i/>
                <w:color w:val="000000"/>
                <w:sz w:val="18"/>
              </w:rPr>
            </w:pPr>
            <w:r>
              <w:rPr>
                <w:rFonts w:ascii="Times New Roman;sans-serif" w:hAnsi="Times New Roman;sans-serif"/>
                <w:b/>
                <w:i/>
                <w:color w:val="000000"/>
                <w:sz w:val="18"/>
              </w:rPr>
              <w:t>Century Casinos,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8"/>
              </w:rPr>
            </w:pPr>
            <w:r>
              <w:rPr>
                <w:rFonts w:ascii="Times New Roman;sans-serif" w:hAnsi="Times New Roman;sans-serif"/>
                <w:b/>
                <w:i/>
                <w:color w:val="000000"/>
                <w:sz w:val="18"/>
              </w:rPr>
              <w:t>September 30, 2038</w:t>
            </w:r>
          </w:p>
        </w:tc>
      </w:tr>
      <w:tr>
        <w:trPr/>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Century Casino &amp; Hotel Edmonton </w:t>
            </w:r>
            <w:r>
              <w:rPr>
                <w:rFonts w:ascii="Times New Roman;sans-serif" w:hAnsi="Times New Roman;sans-serif"/>
                <w:b w:val="false"/>
                <w:i/>
                <w:color w:val="000000"/>
                <w:sz w:val="13"/>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Edmonton, AB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Century Casino Cape Girardeau</w:t>
            </w:r>
            <w:r>
              <w:rPr>
                <w:rFonts w:ascii="Times New Roman;sans-serif" w:hAnsi="Times New Roman;sans-serif"/>
                <w:b w:val="false"/>
                <w:color w:val="FFFFFF"/>
                <w:sz w:val="20"/>
              </w:rPr>
              <w:t>*</w:t>
            </w:r>
            <w:r>
              <w:rPr>
                <w:rFonts w:ascii="Times New Roman;sans-serif" w:hAnsi="Times New Roman;sans-serif"/>
                <w:b w:val="false"/>
                <w:i/>
                <w:color w:val="000000"/>
                <w:sz w:val="13"/>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Cape Girardeau, MO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Century Casino Caruthersville </w:t>
            </w:r>
            <w:r>
              <w:rPr>
                <w:rFonts w:ascii="Times New Roman;sans-serif" w:hAnsi="Times New Roman;sans-serif"/>
                <w:b w:val="false"/>
                <w:i/>
                <w:color w:val="000000"/>
                <w:sz w:val="13"/>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Caruthersville, MO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Century Casino St. Albert </w:t>
            </w:r>
            <w:r>
              <w:rPr>
                <w:rFonts w:ascii="Times New Roman;sans-serif" w:hAnsi="Times New Roman;sans-serif"/>
                <w:b w:val="false"/>
                <w:i/>
                <w:color w:val="000000"/>
                <w:sz w:val="13"/>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Edmonton, AB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Century Downs Racetrack and Casino </w:t>
            </w:r>
            <w:r>
              <w:rPr>
                <w:rFonts w:ascii="Times New Roman;sans-serif" w:hAnsi="Times New Roman;sans-serif"/>
                <w:b w:val="false"/>
                <w:i/>
                <w:color w:val="000000"/>
                <w:sz w:val="13"/>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Calgary, AB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222885"/>
                <wp:effectExtent l="0" t="0" r="0" b="0"/>
                <wp:wrapNone/>
                <wp:docPr id="9" name="Frame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60" w:after="283"/>
        <w:jc w:val="both"/>
        <w:rPr/>
      </w:pPr>
      <w:hyperlink w:anchor="ib2fc48f0ddf244d9844b8de22bde2e36_10">
        <w:r>
          <w:rPr>
            <w:rStyle w:val="InternetLink"/>
            <w:rFonts w:ascii="Times New Roman;sans-serif" w:hAnsi="Times New Roman;sans-serif"/>
            <w:b w:val="false"/>
            <w:color w:val="000080"/>
            <w:sz w:val="20"/>
            <w:u w:val="single"/>
          </w:rPr>
          <w:t>Table of Cont</w:t>
        </w:r>
      </w:hyperlink>
      <w:hyperlink w:anchor="ib2fc48f0ddf244d9844b8de22bde2e36_10">
        <w:r>
          <w:rPr>
            <w:rStyle w:val="InternetLink"/>
            <w:rFonts w:ascii="Times New Roman;sans-serif" w:hAnsi="Times New Roman;sans-serif"/>
            <w:b w:val="false"/>
            <w:color w:val="000080"/>
            <w:sz w:val="20"/>
            <w:u w:val="single"/>
          </w:rPr>
          <w:t>ents</w:t>
        </w:r>
      </w:hyperlink>
    </w:p>
    <w:tbl>
      <w:tblPr>
        <w:tblW w:w="10205" w:type="dxa"/>
        <w:jc w:val="left"/>
        <w:tblInd w:w="0" w:type="dxa"/>
        <w:tblLayout w:type="fixed"/>
        <w:tblCellMar>
          <w:top w:w="28" w:type="dxa"/>
          <w:left w:w="28" w:type="dxa"/>
          <w:bottom w:w="28" w:type="dxa"/>
          <w:right w:w="28" w:type="dxa"/>
        </w:tblCellMar>
      </w:tblPr>
      <w:tblGrid>
        <w:gridCol w:w="418"/>
        <w:gridCol w:w="367"/>
        <w:gridCol w:w="369"/>
        <w:gridCol w:w="109"/>
        <w:gridCol w:w="109"/>
        <w:gridCol w:w="109"/>
        <w:gridCol w:w="797"/>
        <w:gridCol w:w="541"/>
        <w:gridCol w:w="548"/>
        <w:gridCol w:w="109"/>
        <w:gridCol w:w="109"/>
        <w:gridCol w:w="109"/>
        <w:gridCol w:w="663"/>
        <w:gridCol w:w="504"/>
        <w:gridCol w:w="477"/>
        <w:gridCol w:w="109"/>
        <w:gridCol w:w="109"/>
        <w:gridCol w:w="109"/>
        <w:gridCol w:w="1009"/>
        <w:gridCol w:w="679"/>
        <w:gridCol w:w="681"/>
        <w:gridCol w:w="109"/>
        <w:gridCol w:w="109"/>
        <w:gridCol w:w="109"/>
        <w:gridCol w:w="109"/>
        <w:gridCol w:w="109"/>
        <w:gridCol w:w="109"/>
        <w:gridCol w:w="109"/>
        <w:gridCol w:w="109"/>
        <w:gridCol w:w="109"/>
        <w:gridCol w:w="345"/>
        <w:gridCol w:w="345"/>
        <w:gridCol w:w="500"/>
      </w:tblGrid>
      <w:tr>
        <w:trPr/>
        <w:tc>
          <w:tcPr>
            <w:tcW w:w="41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r>
      <w:tr>
        <w:trPr/>
        <w:tc>
          <w:tcPr>
            <w:tcW w:w="115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8"/>
              </w:rPr>
              <w:t xml:space="preserve">Lease Agreement </w:t>
            </w:r>
            <w:r>
              <w:rPr>
                <w:rFonts w:ascii="Times New Roman;sans-serif" w:hAnsi="Times New Roman;sans-serif"/>
                <w:b/>
                <w:i/>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Property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Tenant/Guarantor </w:t>
            </w:r>
            <w:r>
              <w:rPr>
                <w:rFonts w:ascii="Times New Roman;sans-serif" w:hAnsi="Times New Roman;sans-serif"/>
                <w:b/>
                <w:i/>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Initial Expiration</w:t>
            </w:r>
            <w:r>
              <w:rPr>
                <w:color w:val="000000"/>
              </w:rPr>
              <w:t xml:space="preserve"> </w:t>
            </w:r>
            <w:r>
              <w:rPr>
                <w:rFonts w:ascii="Times New Roman;sans-serif" w:hAnsi="Times New Roman;sans-serif"/>
                <w:b/>
                <w:i/>
                <w:color w:val="000000"/>
                <w:sz w:val="12"/>
              </w:rPr>
              <w:t>(3)</w:t>
            </w:r>
          </w:p>
        </w:tc>
      </w:tr>
      <w:tr>
        <w:trPr/>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Century Mile Racetrack </w:t>
            </w:r>
            <w:r>
              <w:rPr>
                <w:rFonts w:ascii="Times New Roman;sans-serif" w:hAnsi="Times New Roman;sans-serif"/>
                <w:b w:val="false"/>
                <w:i/>
                <w:color w:val="000000"/>
                <w:sz w:val="13"/>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Edmonton, AB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Mountaineer Casino Resort &amp; Racetrack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New Cumberland, WV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Rocky Gap Casino Resort </w:t>
            </w:r>
            <w:r>
              <w:rPr>
                <w:rFonts w:ascii="Times New Roman;sans-serif" w:hAnsi="Times New Roman;sans-serif"/>
                <w:b w:val="false"/>
                <w:i/>
                <w:color w:val="000000"/>
                <w:sz w:val="13"/>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Flintstone, MD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7" w:type="dxa"/>
            <w:gridSpan w:val="9"/>
            <w:tcBorders/>
            <w:shd w:fill="CCEEFF" w:val="clear"/>
            <w:tcMar>
              <w:top w:w="0" w:type="dxa"/>
              <w:left w:w="0" w:type="dxa"/>
              <w:bottom w:w="0" w:type="dxa"/>
              <w:right w:w="0" w:type="dxa"/>
            </w:tcMar>
            <w:vAlign w:val="center"/>
          </w:tcPr>
          <w:p>
            <w:pPr>
              <w:pStyle w:val="TableContents"/>
              <w:bidi w:val="0"/>
              <w:spacing w:lineRule="auto" w:line="240" w:before="120" w:after="283"/>
              <w:jc w:val="left"/>
              <w:rPr>
                <w:rFonts w:ascii="Times New Roman;sans-serif" w:hAnsi="Times New Roman;sans-serif"/>
                <w:b/>
                <w:i/>
                <w:color w:val="000000"/>
                <w:sz w:val="18"/>
              </w:rPr>
            </w:pPr>
            <w:r>
              <w:rPr>
                <w:rFonts w:ascii="Times New Roman;sans-serif" w:hAnsi="Times New Roman;sans-serif"/>
                <w:b/>
                <w:i/>
                <w:color w:val="000000"/>
                <w:sz w:val="18"/>
              </w:rPr>
              <w:t>CNE Gold Strike Lease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120" w:after="283"/>
              <w:jc w:val="center"/>
              <w:rPr/>
            </w:pPr>
            <w:r>
              <w:rPr>
                <w:rFonts w:ascii="Times New Roman;sans-serif" w:hAnsi="Times New Roman;sans-serif"/>
                <w:b/>
                <w:i/>
                <w:color w:val="000000"/>
                <w:sz w:val="18"/>
              </w:rPr>
              <w:t xml:space="preserve">Cherokee Nation Businesses, L.L.C. (“CNB”) </w:t>
            </w:r>
            <w:r>
              <w:rPr>
                <w:rFonts w:ascii="Times New Roman;sans-serif" w:hAnsi="Times New Roman;sans-serif"/>
                <w:b/>
                <w:i/>
                <w:color w:val="000000"/>
                <w:sz w:val="12"/>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8"/>
              </w:rPr>
            </w:pPr>
            <w:r>
              <w:rPr>
                <w:rFonts w:ascii="Times New Roman;sans-serif" w:hAnsi="Times New Roman;sans-serif"/>
                <w:b/>
                <w:i/>
                <w:color w:val="000000"/>
                <w:sz w:val="18"/>
              </w:rPr>
              <w:t>April 30, 2048</w:t>
            </w:r>
          </w:p>
        </w:tc>
      </w:tr>
      <w:tr>
        <w:trPr/>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Gold Strike Tunica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Robinsonville, 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7"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EBCI Southern Indiana Lease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120" w:after="283"/>
              <w:jc w:val="center"/>
              <w:rPr>
                <w:rFonts w:ascii="Times New Roman;sans-serif" w:hAnsi="Times New Roman;sans-serif"/>
                <w:b/>
                <w:i/>
                <w:color w:val="000000"/>
                <w:sz w:val="18"/>
              </w:rPr>
            </w:pPr>
            <w:r>
              <w:rPr>
                <w:rFonts w:ascii="Times New Roman;sans-serif" w:hAnsi="Times New Roman;sans-serif"/>
                <w:b/>
                <w:i/>
                <w:color w:val="000000"/>
                <w:sz w:val="18"/>
              </w:rPr>
              <w:t>Eastern Band of Cherokee Indians (“EBCI”)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8"/>
              </w:rPr>
            </w:pPr>
            <w:r>
              <w:rPr>
                <w:rFonts w:ascii="Times New Roman;sans-serif" w:hAnsi="Times New Roman;sans-serif"/>
                <w:b/>
                <w:i/>
                <w:color w:val="000000"/>
                <w:sz w:val="18"/>
              </w:rPr>
              <w:t>August 31, 2036</w:t>
            </w:r>
          </w:p>
        </w:tc>
      </w:tr>
      <w:tr>
        <w:trPr/>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Caesars Southern Indiana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Elizabeth, 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7" w:type="dxa"/>
            <w:gridSpan w:val="9"/>
            <w:tcBorders/>
            <w:shd w:fill="CCEEFF" w:val="clear"/>
            <w:tcMar>
              <w:top w:w="0" w:type="dxa"/>
              <w:left w:w="0" w:type="dxa"/>
              <w:bottom w:w="0" w:type="dxa"/>
              <w:right w:w="0" w:type="dxa"/>
            </w:tcMar>
            <w:vAlign w:val="center"/>
          </w:tcPr>
          <w:p>
            <w:pPr>
              <w:pStyle w:val="TableContents"/>
              <w:bidi w:val="0"/>
              <w:spacing w:lineRule="auto" w:line="240" w:before="120" w:after="283"/>
              <w:jc w:val="left"/>
              <w:rPr>
                <w:rFonts w:ascii="Times New Roman;sans-serif" w:hAnsi="Times New Roman;sans-serif"/>
                <w:b/>
                <w:i/>
                <w:color w:val="000000"/>
                <w:sz w:val="18"/>
              </w:rPr>
            </w:pPr>
            <w:r>
              <w:rPr>
                <w:rFonts w:ascii="Times New Roman;sans-serif" w:hAnsi="Times New Roman;sans-serif"/>
                <w:b/>
                <w:i/>
                <w:color w:val="000000"/>
                <w:sz w:val="18"/>
              </w:rPr>
              <w:t>Foundation Master Lease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120" w:after="283"/>
              <w:jc w:val="center"/>
              <w:rPr>
                <w:rFonts w:ascii="Times New Roman;sans-serif" w:hAnsi="Times New Roman;sans-serif"/>
                <w:b/>
                <w:i/>
                <w:color w:val="000000"/>
                <w:sz w:val="18"/>
              </w:rPr>
            </w:pPr>
            <w:r>
              <w:rPr>
                <w:rFonts w:ascii="Times New Roman;sans-serif" w:hAnsi="Times New Roman;sans-serif"/>
                <w:b/>
                <w:i/>
                <w:color w:val="000000"/>
                <w:sz w:val="18"/>
              </w:rPr>
              <w:t>Foundation Gaming &amp; Entertainment,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8"/>
              </w:rPr>
            </w:pPr>
            <w:r>
              <w:rPr>
                <w:rFonts w:ascii="Times New Roman;sans-serif" w:hAnsi="Times New Roman;sans-serif"/>
                <w:b/>
                <w:i/>
                <w:color w:val="000000"/>
                <w:sz w:val="18"/>
              </w:rPr>
              <w:t>December 31, 2037</w:t>
            </w:r>
          </w:p>
        </w:tc>
      </w:tr>
      <w:tr>
        <w:trPr/>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Fitz</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Robinsonville, 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WaterView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Vicksburg, 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7" w:type="dxa"/>
            <w:gridSpan w:val="9"/>
            <w:tcBorders/>
            <w:shd w:fill="FFFFFF" w:val="clear"/>
            <w:tcMar>
              <w:top w:w="0" w:type="dxa"/>
              <w:left w:w="0" w:type="dxa"/>
              <w:bottom w:w="0" w:type="dxa"/>
              <w:right w:w="0" w:type="dxa"/>
            </w:tcMar>
            <w:vAlign w:val="center"/>
          </w:tcPr>
          <w:p>
            <w:pPr>
              <w:pStyle w:val="TableContents"/>
              <w:bidi w:val="0"/>
              <w:spacing w:lineRule="auto" w:line="240" w:before="120" w:after="283"/>
              <w:jc w:val="left"/>
              <w:rPr>
                <w:rFonts w:ascii="Times New Roman;sans-serif" w:hAnsi="Times New Roman;sans-serif"/>
                <w:b/>
                <w:i/>
                <w:color w:val="000000"/>
                <w:sz w:val="18"/>
              </w:rPr>
            </w:pPr>
            <w:r>
              <w:rPr>
                <w:rFonts w:ascii="Times New Roman;sans-serif" w:hAnsi="Times New Roman;sans-serif"/>
                <w:b/>
                <w:i/>
                <w:color w:val="000000"/>
                <w:sz w:val="18"/>
              </w:rPr>
              <w:t>Hard Rock Cincinnati Lease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8"/>
              </w:rPr>
            </w:pPr>
            <w:r>
              <w:rPr>
                <w:rFonts w:ascii="Times New Roman;sans-serif" w:hAnsi="Times New Roman;sans-serif"/>
                <w:b/>
                <w:i/>
                <w:color w:val="000000"/>
                <w:sz w:val="18"/>
              </w:rPr>
              <w:t>Seminole Hard Rock International (“Hard Rock”)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8"/>
              </w:rPr>
            </w:pPr>
            <w:r>
              <w:rPr>
                <w:rFonts w:ascii="Times New Roman;sans-serif" w:hAnsi="Times New Roman;sans-serif"/>
                <w:b/>
                <w:i/>
                <w:color w:val="000000"/>
                <w:sz w:val="18"/>
              </w:rPr>
              <w:t>December 31, 2047</w:t>
            </w:r>
          </w:p>
        </w:tc>
      </w:tr>
      <w:tr>
        <w:trPr/>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Hard Rock Cincinnati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Cincinnati, OH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Hard Rock Mirage Lease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8"/>
              </w:rPr>
            </w:pPr>
            <w:r>
              <w:rPr>
                <w:rFonts w:ascii="Times New Roman;sans-serif" w:hAnsi="Times New Roman;sans-serif"/>
                <w:b/>
                <w:i/>
                <w:color w:val="000000"/>
                <w:sz w:val="18"/>
              </w:rPr>
              <w:t>Hard Rock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8"/>
              </w:rPr>
            </w:pPr>
            <w:r>
              <w:rPr>
                <w:rFonts w:ascii="Times New Roman;sans-serif" w:hAnsi="Times New Roman;sans-serif"/>
                <w:b/>
                <w:i/>
                <w:color w:val="000000"/>
                <w:sz w:val="18"/>
              </w:rPr>
              <w:t>December 31, 2047</w:t>
            </w:r>
          </w:p>
        </w:tc>
      </w:tr>
      <w:tr>
        <w:trPr/>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Mirage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Las Vegas, NV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JACK Master Lease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8"/>
              </w:rPr>
            </w:pPr>
            <w:r>
              <w:rPr>
                <w:rFonts w:ascii="Times New Roman;sans-serif" w:hAnsi="Times New Roman;sans-serif"/>
                <w:b/>
                <w:i/>
                <w:color w:val="000000"/>
                <w:sz w:val="18"/>
              </w:rPr>
              <w:t>JACK Ohio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8"/>
              </w:rPr>
            </w:pPr>
            <w:r>
              <w:rPr>
                <w:rFonts w:ascii="Times New Roman;sans-serif" w:hAnsi="Times New Roman;sans-serif"/>
                <w:b/>
                <w:i/>
                <w:color w:val="000000"/>
                <w:sz w:val="18"/>
              </w:rPr>
              <w:t>January 31, 2040</w:t>
            </w:r>
          </w:p>
        </w:tc>
      </w:tr>
      <w:tr>
        <w:trPr/>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JACK Cleveland </w:t>
            </w:r>
            <w:r>
              <w:rPr>
                <w:rFonts w:ascii="Times New Roman;sans-serif" w:hAnsi="Times New Roman;sans-serif"/>
                <w:b w:val="false"/>
                <w:i/>
                <w:color w:val="000000"/>
                <w:sz w:val="13"/>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Cleveland, OH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JACK Thistledown Racino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North Randall, OH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7"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MGM Master Lease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120" w:after="283"/>
              <w:jc w:val="center"/>
              <w:rPr>
                <w:rFonts w:ascii="Times New Roman;sans-serif" w:hAnsi="Times New Roman;sans-serif"/>
                <w:b/>
                <w:i/>
                <w:color w:val="000000"/>
                <w:sz w:val="18"/>
              </w:rPr>
            </w:pPr>
            <w:r>
              <w:rPr>
                <w:rFonts w:ascii="Times New Roman;sans-serif" w:hAnsi="Times New Roman;sans-serif"/>
                <w:b/>
                <w:i/>
                <w:color w:val="000000"/>
                <w:sz w:val="18"/>
              </w:rPr>
              <w:t>MGM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8"/>
              </w:rPr>
            </w:pPr>
            <w:r>
              <w:rPr>
                <w:rFonts w:ascii="Times New Roman;sans-serif" w:hAnsi="Times New Roman;sans-serif"/>
                <w:b/>
                <w:i/>
                <w:color w:val="000000"/>
                <w:sz w:val="18"/>
              </w:rPr>
              <w:t>April 30, 2047</w:t>
            </w:r>
          </w:p>
        </w:tc>
      </w:tr>
      <w:tr>
        <w:trPr/>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Beau Rivage </w:t>
            </w:r>
            <w:r>
              <w:rPr>
                <w:rFonts w:ascii="Times New Roman;sans-serif" w:hAnsi="Times New Roman;sans-serif"/>
                <w:b w:val="false"/>
                <w:i/>
                <w:color w:val="000000"/>
                <w:sz w:val="13"/>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Biloxi, 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Borgata </w:t>
            </w:r>
            <w:r>
              <w:rPr>
                <w:rFonts w:ascii="Times New Roman;sans-serif" w:hAnsi="Times New Roman;sans-serif"/>
                <w:b w:val="false"/>
                <w:i/>
                <w:color w:val="000000"/>
                <w:sz w:val="13"/>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Atlantic City, NJ</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Empire City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Yonkers, NY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Excalibur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Las Vegas, NV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MGM Grand Detroit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Detroit, MI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MGM National Harbor </w:t>
            </w:r>
            <w:r>
              <w:rPr>
                <w:rFonts w:ascii="Times New Roman;sans-serif" w:hAnsi="Times New Roman;sans-serif"/>
                <w:b w:val="false"/>
                <w:i/>
                <w:color w:val="000000"/>
                <w:sz w:val="13"/>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Prince George’s County, MD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MGM Northfield Park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Northfield, OH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MGM Springfield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Springfield, MA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Luxor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Las Vegas, NV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York - New York/The Park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Las Vegas, NV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Park MGM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Las Vegas, NV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7" w:type="dxa"/>
            <w:gridSpan w:val="9"/>
            <w:tcBorders/>
            <w:shd w:fill="CCEEFF" w:val="clear"/>
            <w:tcMar>
              <w:top w:w="0" w:type="dxa"/>
              <w:left w:w="0" w:type="dxa"/>
              <w:bottom w:w="0" w:type="dxa"/>
              <w:right w:w="0" w:type="dxa"/>
            </w:tcMar>
            <w:vAlign w:val="center"/>
          </w:tcPr>
          <w:p>
            <w:pPr>
              <w:pStyle w:val="TableContents"/>
              <w:bidi w:val="0"/>
              <w:spacing w:lineRule="auto" w:line="240" w:before="120" w:after="283"/>
              <w:jc w:val="left"/>
              <w:rPr>
                <w:rFonts w:ascii="Times New Roman;sans-serif" w:hAnsi="Times New Roman;sans-serif"/>
                <w:b/>
                <w:i/>
                <w:color w:val="000000"/>
                <w:sz w:val="18"/>
              </w:rPr>
            </w:pPr>
            <w:r>
              <w:rPr>
                <w:rFonts w:ascii="Times New Roman;sans-serif" w:hAnsi="Times New Roman;sans-serif"/>
                <w:b/>
                <w:i/>
                <w:color w:val="000000"/>
                <w:sz w:val="18"/>
              </w:rPr>
              <w:t>MGM Grand/Mandalay Bay Lease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120" w:after="283"/>
              <w:jc w:val="center"/>
              <w:rPr>
                <w:rFonts w:ascii="Times New Roman;sans-serif" w:hAnsi="Times New Roman;sans-serif"/>
                <w:b/>
                <w:i/>
                <w:color w:val="000000"/>
                <w:sz w:val="18"/>
              </w:rPr>
            </w:pPr>
            <w:r>
              <w:rPr>
                <w:rFonts w:ascii="Times New Roman;sans-serif" w:hAnsi="Times New Roman;sans-serif"/>
                <w:b/>
                <w:i/>
                <w:color w:val="000000"/>
                <w:sz w:val="18"/>
              </w:rPr>
              <w:t>MGM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8"/>
              </w:rPr>
            </w:pPr>
            <w:r>
              <w:rPr>
                <w:rFonts w:ascii="Times New Roman;sans-serif" w:hAnsi="Times New Roman;sans-serif"/>
                <w:b/>
                <w:i/>
                <w:color w:val="000000"/>
                <w:sz w:val="18"/>
              </w:rPr>
              <w:t>February 28, 2050</w:t>
            </w:r>
          </w:p>
        </w:tc>
      </w:tr>
      <w:tr>
        <w:trPr/>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Mandalay Bay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Las Vegas, NV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MGM Grand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Las Vegas, NV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7" w:type="dxa"/>
            <w:gridSpan w:val="9"/>
            <w:tcBorders/>
            <w:shd w:fill="FFFFFF" w:val="clear"/>
            <w:tcMar>
              <w:top w:w="0" w:type="dxa"/>
              <w:left w:w="0" w:type="dxa"/>
              <w:bottom w:w="0" w:type="dxa"/>
              <w:right w:w="0" w:type="dxa"/>
            </w:tcMar>
            <w:vAlign w:val="center"/>
          </w:tcPr>
          <w:p>
            <w:pPr>
              <w:pStyle w:val="TableContents"/>
              <w:bidi w:val="0"/>
              <w:spacing w:lineRule="auto" w:line="240" w:before="120" w:after="283"/>
              <w:jc w:val="left"/>
              <w:rPr>
                <w:rFonts w:ascii="Times New Roman;sans-serif" w:hAnsi="Times New Roman;sans-serif"/>
                <w:b/>
                <w:i/>
                <w:color w:val="000000"/>
                <w:sz w:val="18"/>
              </w:rPr>
            </w:pPr>
            <w:r>
              <w:rPr>
                <w:rFonts w:ascii="Times New Roman;sans-serif" w:hAnsi="Times New Roman;sans-serif"/>
                <w:b/>
                <w:i/>
                <w:color w:val="000000"/>
                <w:sz w:val="18"/>
              </w:rPr>
              <w:t>PENN Greektown Lease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120" w:after="283"/>
              <w:jc w:val="center"/>
              <w:rPr>
                <w:rFonts w:ascii="Times New Roman;sans-serif" w:hAnsi="Times New Roman;sans-serif"/>
                <w:b/>
                <w:i/>
                <w:color w:val="000000"/>
                <w:sz w:val="18"/>
              </w:rPr>
            </w:pPr>
            <w:r>
              <w:rPr>
                <w:rFonts w:ascii="Times New Roman;sans-serif" w:hAnsi="Times New Roman;sans-serif"/>
                <w:b/>
                <w:i/>
                <w:color w:val="000000"/>
                <w:sz w:val="18"/>
              </w:rPr>
              <w:t>PENN Entertainment,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8"/>
              </w:rPr>
            </w:pPr>
            <w:r>
              <w:rPr>
                <w:rFonts w:ascii="Times New Roman;sans-serif" w:hAnsi="Times New Roman;sans-serif"/>
                <w:b/>
                <w:i/>
                <w:color w:val="000000"/>
                <w:sz w:val="18"/>
              </w:rPr>
              <w:t>May 23, 2034</w:t>
            </w:r>
          </w:p>
        </w:tc>
      </w:tr>
      <w:tr>
        <w:trPr/>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Hollywood Casino at Greektown </w:t>
            </w:r>
            <w:r>
              <w:rPr>
                <w:rFonts w:ascii="Times New Roman;sans-serif" w:hAnsi="Times New Roman;sans-serif"/>
                <w:b w:val="false"/>
                <w:i/>
                <w:color w:val="000000"/>
                <w:sz w:val="13"/>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Detroit, MI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PENN Margaritaville Lease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120" w:after="283"/>
              <w:jc w:val="center"/>
              <w:rPr>
                <w:rFonts w:ascii="Times New Roman;sans-serif" w:hAnsi="Times New Roman;sans-serif"/>
                <w:b/>
                <w:i/>
                <w:color w:val="000000"/>
                <w:sz w:val="18"/>
              </w:rPr>
            </w:pPr>
            <w:r>
              <w:rPr>
                <w:rFonts w:ascii="Times New Roman;sans-serif" w:hAnsi="Times New Roman;sans-serif"/>
                <w:b/>
                <w:i/>
                <w:color w:val="000000"/>
                <w:sz w:val="18"/>
              </w:rPr>
              <w:t>PENN Entertainment,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8"/>
              </w:rPr>
            </w:pPr>
            <w:r>
              <w:rPr>
                <w:rFonts w:ascii="Times New Roman;sans-serif" w:hAnsi="Times New Roman;sans-serif"/>
                <w:b/>
                <w:i/>
                <w:color w:val="000000"/>
                <w:sz w:val="18"/>
              </w:rPr>
              <w:t>January 31, 2034</w:t>
            </w:r>
          </w:p>
        </w:tc>
      </w:tr>
      <w:tr>
        <w:trPr/>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Margaritaville Resort Casino </w:t>
            </w:r>
            <w:r>
              <w:rPr>
                <w:rFonts w:ascii="Times New Roman;sans-serif" w:hAnsi="Times New Roman;sans-serif"/>
                <w:b w:val="false"/>
                <w:i/>
                <w:color w:val="000000"/>
                <w:sz w:val="13"/>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Bossier City, LA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7" w:type="dxa"/>
            <w:gridSpan w:val="9"/>
            <w:tcBorders/>
            <w:shd w:fill="FFFFFF" w:val="clear"/>
            <w:tcMar>
              <w:top w:w="0" w:type="dxa"/>
              <w:left w:w="0" w:type="dxa"/>
              <w:bottom w:w="0" w:type="dxa"/>
              <w:right w:w="0" w:type="dxa"/>
            </w:tcMar>
            <w:vAlign w:val="center"/>
          </w:tcPr>
          <w:p>
            <w:pPr>
              <w:pStyle w:val="TableContents"/>
              <w:bidi w:val="0"/>
              <w:spacing w:lineRule="auto" w:line="240" w:before="120" w:after="283"/>
              <w:jc w:val="left"/>
              <w:rPr>
                <w:rFonts w:ascii="Times New Roman;sans-serif" w:hAnsi="Times New Roman;sans-serif"/>
                <w:b/>
                <w:i/>
                <w:color w:val="000000"/>
                <w:sz w:val="18"/>
              </w:rPr>
            </w:pPr>
            <w:r>
              <w:rPr>
                <w:rFonts w:ascii="Times New Roman;sans-serif" w:hAnsi="Times New Roman;sans-serif"/>
                <w:b/>
                <w:i/>
                <w:color w:val="000000"/>
                <w:sz w:val="18"/>
              </w:rPr>
              <w:t>PURE Master Lease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120" w:after="283"/>
              <w:jc w:val="center"/>
              <w:rPr>
                <w:rFonts w:ascii="Times New Roman;sans-serif" w:hAnsi="Times New Roman;sans-serif"/>
                <w:b/>
                <w:i/>
                <w:color w:val="000000"/>
                <w:sz w:val="18"/>
              </w:rPr>
            </w:pPr>
            <w:r>
              <w:rPr>
                <w:rFonts w:ascii="Times New Roman;sans-serif" w:hAnsi="Times New Roman;sans-serif"/>
                <w:b/>
                <w:i/>
                <w:color w:val="000000"/>
                <w:sz w:val="18"/>
              </w:rPr>
              <w:t>PURE Canadian Gaming, Corp. (“PURE Canadian Gaming”)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8"/>
              </w:rPr>
            </w:pPr>
            <w:r>
              <w:rPr>
                <w:rFonts w:ascii="Times New Roman;sans-serif" w:hAnsi="Times New Roman;sans-serif"/>
                <w:b/>
                <w:i/>
                <w:color w:val="000000"/>
                <w:sz w:val="18"/>
              </w:rPr>
              <w:t>January 31, 2048</w:t>
            </w:r>
          </w:p>
        </w:tc>
      </w:tr>
      <w:tr>
        <w:trPr/>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PURE Casino Calgary </w:t>
            </w:r>
            <w:r>
              <w:rPr>
                <w:rFonts w:ascii="Times New Roman;sans-serif" w:hAnsi="Times New Roman;sans-serif"/>
                <w:b w:val="false"/>
                <w:i/>
                <w:color w:val="000000"/>
                <w:sz w:val="13"/>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Calgary, AB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PURE Casino Edmonton </w:t>
            </w:r>
            <w:r>
              <w:rPr>
                <w:rFonts w:ascii="Times New Roman;sans-serif" w:hAnsi="Times New Roman;sans-serif"/>
                <w:b w:val="false"/>
                <w:i/>
                <w:color w:val="000000"/>
                <w:sz w:val="13"/>
              </w:rPr>
              <w:t>(8)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Edmonton, AB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PURE Casino Lethbridge </w:t>
            </w:r>
            <w:r>
              <w:rPr>
                <w:rFonts w:ascii="Times New Roman;sans-serif" w:hAnsi="Times New Roman;sans-serif"/>
                <w:b w:val="false"/>
                <w:i/>
                <w:color w:val="000000"/>
                <w:sz w:val="13"/>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Lethbridge, AB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PURE Casino Yellowhead </w:t>
            </w:r>
            <w:r>
              <w:rPr>
                <w:rFonts w:ascii="Times New Roman;sans-serif" w:hAnsi="Times New Roman;sans-serif"/>
                <w:b w:val="false"/>
                <w:i/>
                <w:color w:val="000000"/>
                <w:sz w:val="13"/>
              </w:rPr>
              <w:t>(8)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Edmonton, AB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222885"/>
                <wp:effectExtent l="0" t="0" r="0" b="0"/>
                <wp:wrapNone/>
                <wp:docPr id="10" name="Frame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60" w:after="283"/>
        <w:jc w:val="both"/>
        <w:rPr/>
      </w:pPr>
      <w:hyperlink w:anchor="ib2fc48f0ddf244d9844b8de22bde2e36_10">
        <w:r>
          <w:rPr>
            <w:rStyle w:val="InternetLink"/>
            <w:rFonts w:ascii="Times New Roman;sans-serif" w:hAnsi="Times New Roman;sans-serif"/>
            <w:b w:val="false"/>
            <w:color w:val="000080"/>
            <w:sz w:val="20"/>
            <w:u w:val="single"/>
          </w:rPr>
          <w:t>Table of Cont</w:t>
        </w:r>
      </w:hyperlink>
      <w:hyperlink w:anchor="ib2fc48f0ddf244d9844b8de22bde2e36_10">
        <w:r>
          <w:rPr>
            <w:rStyle w:val="InternetLink"/>
            <w:rFonts w:ascii="Times New Roman;sans-serif" w:hAnsi="Times New Roman;sans-serif"/>
            <w:b w:val="false"/>
            <w:color w:val="000080"/>
            <w:sz w:val="20"/>
            <w:u w:val="single"/>
          </w:rPr>
          <w:t>ents</w:t>
        </w:r>
      </w:hyperlink>
    </w:p>
    <w:tbl>
      <w:tblPr>
        <w:tblW w:w="10205" w:type="dxa"/>
        <w:jc w:val="left"/>
        <w:tblInd w:w="0" w:type="dxa"/>
        <w:tblLayout w:type="fixed"/>
        <w:tblCellMar>
          <w:top w:w="28" w:type="dxa"/>
          <w:left w:w="28" w:type="dxa"/>
          <w:bottom w:w="28" w:type="dxa"/>
          <w:right w:w="28" w:type="dxa"/>
        </w:tblCellMar>
      </w:tblPr>
      <w:tblGrid>
        <w:gridCol w:w="461"/>
        <w:gridCol w:w="405"/>
        <w:gridCol w:w="407"/>
        <w:gridCol w:w="109"/>
        <w:gridCol w:w="109"/>
        <w:gridCol w:w="109"/>
        <w:gridCol w:w="668"/>
        <w:gridCol w:w="564"/>
        <w:gridCol w:w="572"/>
        <w:gridCol w:w="109"/>
        <w:gridCol w:w="109"/>
        <w:gridCol w:w="109"/>
        <w:gridCol w:w="450"/>
        <w:gridCol w:w="450"/>
        <w:gridCol w:w="452"/>
        <w:gridCol w:w="109"/>
        <w:gridCol w:w="109"/>
        <w:gridCol w:w="109"/>
        <w:gridCol w:w="891"/>
        <w:gridCol w:w="787"/>
        <w:gridCol w:w="790"/>
        <w:gridCol w:w="109"/>
        <w:gridCol w:w="109"/>
        <w:gridCol w:w="109"/>
        <w:gridCol w:w="109"/>
        <w:gridCol w:w="109"/>
        <w:gridCol w:w="109"/>
        <w:gridCol w:w="109"/>
        <w:gridCol w:w="109"/>
        <w:gridCol w:w="109"/>
        <w:gridCol w:w="390"/>
        <w:gridCol w:w="390"/>
        <w:gridCol w:w="566"/>
      </w:tblGrid>
      <w:tr>
        <w:trPr/>
        <w:tc>
          <w:tcPr>
            <w:tcW w:w="461"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r>
      <w:tr>
        <w:trPr/>
        <w:tc>
          <w:tcPr>
            <w:tcW w:w="127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8"/>
              </w:rPr>
              <w:t xml:space="preserve">Lease Agreement </w:t>
            </w:r>
            <w:r>
              <w:rPr>
                <w:rFonts w:ascii="Times New Roman;sans-serif" w:hAnsi="Times New Roman;sans-serif"/>
                <w:b/>
                <w:i/>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Property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Tenant/Guarantor </w:t>
            </w:r>
            <w:r>
              <w:rPr>
                <w:rFonts w:ascii="Times New Roman;sans-serif" w:hAnsi="Times New Roman;sans-serif"/>
                <w:b/>
                <w:i/>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Initial Expiration</w:t>
            </w:r>
            <w:r>
              <w:rPr>
                <w:color w:val="000000"/>
              </w:rPr>
              <w:t xml:space="preserve"> </w:t>
            </w:r>
            <w:r>
              <w:rPr>
                <w:rFonts w:ascii="Times New Roman;sans-serif" w:hAnsi="Times New Roman;sans-serif"/>
                <w:b/>
                <w:i/>
                <w:color w:val="000000"/>
                <w:sz w:val="12"/>
              </w:rPr>
              <w:t>(3)</w:t>
            </w:r>
          </w:p>
        </w:tc>
      </w:tr>
      <w:tr>
        <w:trPr/>
        <w:tc>
          <w:tcPr>
            <w:tcW w:w="3404"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Venetian Lease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8"/>
              </w:rPr>
            </w:pPr>
            <w:r>
              <w:rPr>
                <w:rFonts w:ascii="Times New Roman;sans-serif" w:hAnsi="Times New Roman;sans-serif"/>
                <w:b/>
                <w:i/>
                <w:color w:val="000000"/>
                <w:sz w:val="18"/>
              </w:rPr>
              <w:t>Funds managed by Apollo Global Management,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8"/>
              </w:rPr>
            </w:pPr>
            <w:r>
              <w:rPr>
                <w:rFonts w:ascii="Times New Roman;sans-serif" w:hAnsi="Times New Roman;sans-serif"/>
                <w:b/>
                <w:i/>
                <w:color w:val="000000"/>
                <w:sz w:val="18"/>
              </w:rPr>
              <w:t>February 29, 2052</w:t>
            </w:r>
          </w:p>
        </w:tc>
      </w:tr>
      <w:tr>
        <w:trPr/>
        <w:tc>
          <w:tcPr>
            <w:tcW w:w="12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Venetian Resort </w:t>
            </w:r>
            <w:r>
              <w:rPr>
                <w:rFonts w:ascii="Times New Roman;sans-serif" w:hAnsi="Times New Roman;sans-serif"/>
                <w:b w:val="false"/>
                <w:i/>
                <w:color w:val="000000"/>
                <w:sz w:val="13"/>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Las Vegas, NV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Gaming Portfolio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14" w:type="dxa"/>
            <w:gridSpan w:val="25"/>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Other Experiential Portfolio</w:t>
            </w:r>
          </w:p>
        </w:tc>
        <w:tc>
          <w:tcPr>
            <w:tcW w:w="1891" w:type="dxa"/>
            <w:gridSpan w:val="8"/>
            <w:tcBorders/>
          </w:tcPr>
          <w:p>
            <w:pPr>
              <w:pStyle w:val="TableContents"/>
              <w:bidi w:val="0"/>
              <w:spacing w:before="0" w:after="283"/>
              <w:jc w:val="left"/>
              <w:rPr>
                <w:sz w:val="4"/>
                <w:szCs w:val="4"/>
              </w:rPr>
            </w:pPr>
            <w:r>
              <w:rPr>
                <w:sz w:val="4"/>
                <w:szCs w:val="4"/>
              </w:rPr>
            </w:r>
          </w:p>
        </w:tc>
      </w:tr>
      <w:tr>
        <w:trPr/>
        <w:tc>
          <w:tcPr>
            <w:tcW w:w="3404"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Bowlero Master Lease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8"/>
              </w:rPr>
            </w:pPr>
            <w:r>
              <w:rPr>
                <w:rFonts w:ascii="Times New Roman;sans-serif" w:hAnsi="Times New Roman;sans-serif"/>
                <w:b/>
                <w:i/>
                <w:color w:val="000000"/>
                <w:sz w:val="18"/>
              </w:rPr>
              <w:t>Bowlero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8"/>
              </w:rPr>
            </w:pPr>
            <w:r>
              <w:rPr>
                <w:rFonts w:ascii="Times New Roman;sans-serif" w:hAnsi="Times New Roman;sans-serif"/>
                <w:b/>
                <w:i/>
                <w:color w:val="000000"/>
                <w:sz w:val="18"/>
              </w:rPr>
              <w:t>October 18, 2048</w:t>
            </w:r>
          </w:p>
        </w:tc>
      </w:tr>
      <w:tr>
        <w:trPr/>
        <w:tc>
          <w:tcPr>
            <w:tcW w:w="12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Bowlero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Various U.S. Cities (38)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Chelsea Piers Lease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8"/>
              </w:rPr>
            </w:pPr>
            <w:r>
              <w:rPr>
                <w:rFonts w:ascii="Times New Roman;sans-serif" w:hAnsi="Times New Roman;sans-serif"/>
                <w:b/>
                <w:i/>
                <w:color w:val="000000"/>
                <w:sz w:val="18"/>
              </w:rPr>
              <w:t>Chelsea Piers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i/>
                <w:color w:val="000000"/>
                <w:sz w:val="18"/>
              </w:rPr>
              <w:t xml:space="preserve">December 31, 2055 </w:t>
            </w:r>
            <w:r>
              <w:rPr>
                <w:rFonts w:ascii="Times New Roman;sans-serif" w:hAnsi="Times New Roman;sans-serif"/>
                <w:b/>
                <w:i/>
                <w:color w:val="000000"/>
                <w:sz w:val="12"/>
              </w:rPr>
              <w:t>(9)</w:t>
            </w:r>
          </w:p>
        </w:tc>
      </w:tr>
      <w:tr>
        <w:trPr/>
        <w:tc>
          <w:tcPr>
            <w:tcW w:w="12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Chelsea Piers </w:t>
            </w:r>
            <w:r>
              <w:rPr>
                <w:rFonts w:ascii="Times New Roman;sans-serif" w:hAnsi="Times New Roman;sans-serif"/>
                <w:b w:val="false"/>
                <w:i/>
                <w:color w:val="000000"/>
                <w:sz w:val="13"/>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New York, NY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Other Experiential Portfolio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w:t>
      </w:r>
    </w:p>
    <w:p>
      <w:pPr>
        <w:pStyle w:val="TextBody"/>
        <w:bidi w:val="0"/>
        <w:spacing w:lineRule="auto" w:line="276" w:before="0" w:after="0"/>
        <w:jc w:val="left"/>
        <w:rPr>
          <w:rFonts w:ascii="Times New Roman;sans-serif" w:hAnsi="Times New Roman;sans-serif"/>
          <w:b w:val="false"/>
          <w:i/>
          <w:color w:val="000000"/>
          <w:sz w:val="16"/>
        </w:rPr>
      </w:pPr>
      <w:r>
        <w:rPr>
          <w:rFonts w:ascii="Times New Roman;sans-serif" w:hAnsi="Times New Roman;sans-serif"/>
          <w:b w:val="false"/>
          <w:i/>
          <w:color w:val="000000"/>
          <w:sz w:val="16"/>
        </w:rPr>
        <w:t xml:space="preserve">(1) Reflects the lease agreement currently in effect between us and the applicable tenant. </w:t>
      </w:r>
    </w:p>
    <w:p>
      <w:pPr>
        <w:pStyle w:val="TextBody"/>
        <w:bidi w:val="0"/>
        <w:spacing w:lineRule="auto" w:line="276" w:before="0" w:after="0"/>
        <w:jc w:val="left"/>
        <w:rPr>
          <w:rFonts w:ascii="Times New Roman;sans-serif" w:hAnsi="Times New Roman;sans-serif"/>
          <w:b w:val="false"/>
          <w:i/>
          <w:color w:val="000000"/>
          <w:sz w:val="16"/>
        </w:rPr>
      </w:pPr>
      <w:r>
        <w:rPr>
          <w:rFonts w:ascii="Times New Roman;sans-serif" w:hAnsi="Times New Roman;sans-serif"/>
          <w:b w:val="false"/>
          <w:i/>
          <w:color w:val="000000"/>
          <w:sz w:val="16"/>
        </w:rPr>
        <w:t>(2) The tenants under our lease agreements are subsidiaries and/or affiliates of the guarantors set forth in this table.</w:t>
      </w:r>
    </w:p>
    <w:p>
      <w:pPr>
        <w:pStyle w:val="TextBody"/>
        <w:bidi w:val="0"/>
        <w:spacing w:lineRule="auto" w:line="276"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 xml:space="preserve">(3) Represents the expiration date assuming no tenant renewal option is exercised. </w:t>
      </w:r>
    </w:p>
    <w:p>
      <w:pPr>
        <w:pStyle w:val="TextBody"/>
        <w:bidi w:val="0"/>
        <w:spacing w:lineRule="auto" w:line="276" w:before="20" w:after="283"/>
        <w:jc w:val="both"/>
        <w:rPr>
          <w:rFonts w:ascii="Times New Roman;sans-serif" w:hAnsi="Times New Roman;sans-serif"/>
          <w:b w:val="false"/>
          <w:i/>
          <w:color w:val="000000"/>
          <w:sz w:val="16"/>
        </w:rPr>
      </w:pPr>
      <w:r>
        <w:rPr>
          <w:rFonts w:ascii="Times New Roman;sans-serif" w:hAnsi="Times New Roman;sans-serif"/>
          <w:b w:val="false"/>
          <w:i/>
          <w:color w:val="000000"/>
          <w:sz w:val="16"/>
        </w:rPr>
        <w:t>(4) Owned by Harrah’s Joliet Landco LLC, a joint venture of which VICI Properties 1 LLC is the 80% owner and the managing member.</w:t>
      </w:r>
    </w:p>
    <w:p>
      <w:pPr>
        <w:pStyle w:val="TextBody"/>
        <w:bidi w:val="0"/>
        <w:spacing w:lineRule="auto" w:line="276" w:before="20" w:after="283"/>
        <w:jc w:val="both"/>
        <w:rPr>
          <w:rFonts w:ascii="Times New Roman;sans-serif" w:hAnsi="Times New Roman;sans-serif"/>
          <w:b w:val="false"/>
          <w:i/>
          <w:color w:val="000000"/>
          <w:sz w:val="16"/>
        </w:rPr>
      </w:pPr>
      <w:r>
        <w:rPr>
          <w:rFonts w:ascii="Times New Roman;sans-serif" w:hAnsi="Times New Roman;sans-serif"/>
          <w:b w:val="false"/>
          <w:i/>
          <w:color w:val="000000"/>
          <w:sz w:val="16"/>
        </w:rPr>
        <w:t>(5) Property, or a portion thereof, is leased by us pursuant to a ground or use lease. Rent due under any such ground or use lease is paid directly by our tenant to the primary landlord pursuant to their respective lease agreement.</w:t>
      </w:r>
    </w:p>
    <w:p>
      <w:pPr>
        <w:pStyle w:val="TextBody"/>
        <w:bidi w:val="0"/>
        <w:spacing w:lineRule="auto" w:line="288" w:before="20" w:after="283"/>
        <w:jc w:val="both"/>
        <w:rPr>
          <w:rFonts w:ascii="Times New Roman;sans-serif" w:hAnsi="Times New Roman;sans-serif"/>
          <w:b w:val="false"/>
          <w:i/>
          <w:color w:val="000000"/>
          <w:sz w:val="16"/>
        </w:rPr>
      </w:pPr>
      <w:r>
        <w:rPr>
          <w:rFonts w:ascii="Times New Roman;sans-serif" w:hAnsi="Times New Roman;sans-serif"/>
          <w:b w:val="false"/>
          <w:i/>
          <w:color w:val="000000"/>
          <w:sz w:val="16"/>
        </w:rPr>
        <w:t>(6) Collectively, the “Century Canadian Portfolio”.</w:t>
      </w:r>
    </w:p>
    <w:p>
      <w:pPr>
        <w:pStyle w:val="TextBody"/>
        <w:bidi w:val="0"/>
        <w:spacing w:lineRule="auto" w:line="288" w:before="2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(7) CNB is the parent entity of CNE Holdings, LLC also known as Cherokee Nation Entertainment.</w:t>
      </w:r>
    </w:p>
    <w:p>
      <w:pPr>
        <w:pStyle w:val="TextBody"/>
        <w:bidi w:val="0"/>
        <w:spacing w:lineRule="auto" w:line="288" w:before="2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 xml:space="preserve">(8) Collectively, the “PURE Canadian Portfolio”. </w:t>
      </w:r>
    </w:p>
    <w:p>
      <w:pPr>
        <w:pStyle w:val="TextBody"/>
        <w:bidi w:val="0"/>
        <w:spacing w:lineRule="auto" w:line="288" w:before="2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(9) Subject to a mandatory 10-year tenant extension to the extent all conditions under the applicable ground lease are met.</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Our Real Estate Debt Investments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is a summary of our investments in real estate debt as of December 31, 2023: </w:t>
      </w:r>
    </w:p>
    <w:tbl>
      <w:tblPr>
        <w:tblW w:w="10205" w:type="dxa"/>
        <w:jc w:val="left"/>
        <w:tblInd w:w="0" w:type="dxa"/>
        <w:tblLayout w:type="fixed"/>
        <w:tblCellMar>
          <w:top w:w="28" w:type="dxa"/>
          <w:left w:w="28" w:type="dxa"/>
          <w:bottom w:w="28" w:type="dxa"/>
          <w:right w:w="28" w:type="dxa"/>
        </w:tblCellMar>
      </w:tblPr>
      <w:tblGrid>
        <w:gridCol w:w="840"/>
        <w:gridCol w:w="656"/>
        <w:gridCol w:w="657"/>
        <w:gridCol w:w="109"/>
        <w:gridCol w:w="109"/>
        <w:gridCol w:w="109"/>
        <w:gridCol w:w="222"/>
        <w:gridCol w:w="1030"/>
        <w:gridCol w:w="115"/>
        <w:gridCol w:w="109"/>
        <w:gridCol w:w="109"/>
        <w:gridCol w:w="109"/>
        <w:gridCol w:w="357"/>
        <w:gridCol w:w="1398"/>
        <w:gridCol w:w="185"/>
        <w:gridCol w:w="109"/>
        <w:gridCol w:w="109"/>
        <w:gridCol w:w="109"/>
        <w:gridCol w:w="469"/>
        <w:gridCol w:w="401"/>
        <w:gridCol w:w="1004"/>
        <w:gridCol w:w="109"/>
        <w:gridCol w:w="109"/>
        <w:gridCol w:w="109"/>
        <w:gridCol w:w="455"/>
        <w:gridCol w:w="455"/>
        <w:gridCol w:w="653"/>
      </w:tblGrid>
      <w:tr>
        <w:trPr/>
        <w:tc>
          <w:tcPr>
            <w:tcW w:w="840"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r>
      <w:tr>
        <w:trPr/>
        <w:tc>
          <w:tcPr>
            <w:tcW w:w="21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 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5" w:type="dxa"/>
            <w:gridSpan w:val="21"/>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Investment Type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Principal Balance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Future Funding Commitments </w:t>
            </w:r>
            <w:r>
              <w:rPr>
                <w:rFonts w:ascii="Times New Roman;sans-serif" w:hAnsi="Times New Roman;sans-serif"/>
                <w:b/>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Weighted Average Interest Rate </w:t>
            </w:r>
            <w:r>
              <w:rPr>
                <w:rFonts w:ascii="Times New Roman;sans-serif" w:hAnsi="Times New Roman;sans-serif"/>
                <w:b/>
                <w:i/>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Weighted Average Term </w:t>
            </w:r>
            <w:r>
              <w:rPr>
                <w:rFonts w:ascii="Times New Roman;sans-serif" w:hAnsi="Times New Roman;sans-serif"/>
                <w:b/>
                <w:i/>
                <w:color w:val="000000"/>
                <w:sz w:val="12"/>
              </w:rPr>
              <w:t>(3)</w:t>
            </w:r>
          </w:p>
        </w:tc>
      </w:tr>
      <w:tr>
        <w:trPr/>
        <w:tc>
          <w:tcPr>
            <w:tcW w:w="215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Secured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392,250 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476,395 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0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years</w:t>
            </w:r>
          </w:p>
        </w:tc>
      </w:tr>
      <w:tr>
        <w:trPr/>
        <w:tc>
          <w:tcPr>
            <w:tcW w:w="21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Mezzanine Loans and Preferred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698,861 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278,848 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10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years</w:t>
            </w:r>
          </w:p>
        </w:tc>
      </w:tr>
      <w:tr>
        <w:trPr/>
        <w:tc>
          <w:tcPr>
            <w:tcW w:w="21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r>
      <w:tr>
        <w:trPr/>
        <w:tc>
          <w:tcPr>
            <w:tcW w:w="21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r>
      <w:tr>
        <w:trPr/>
        <w:tc>
          <w:tcPr>
            <w:tcW w:w="21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r>
      <w:tr>
        <w:trPr/>
        <w:tc>
          <w:tcPr>
            <w:tcW w:w="21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Secured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85,000 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10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years</w:t>
            </w:r>
          </w:p>
        </w:tc>
      </w:tr>
      <w:tr>
        <w:trPr/>
        <w:tc>
          <w:tcPr>
            <w:tcW w:w="21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1,176,111 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755,243 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10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years</w:t>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w:t>
      </w:r>
    </w:p>
    <w:p>
      <w:pPr>
        <w:pStyle w:val="TextBody"/>
        <w:bidi w:val="0"/>
        <w:spacing w:lineRule="auto" w:line="276"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(1) Our future funding commitments are subject to our borrowers' compliance with the financial covenants and other applicable provisions of each respective loan agreement.</w:t>
      </w:r>
    </w:p>
    <w:p>
      <w:pPr>
        <w:pStyle w:val="TextBody"/>
        <w:bidi w:val="0"/>
        <w:spacing w:lineRule="auto" w:line="276"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 xml:space="preserve">(2) The weighted average interest rate is based on current outstanding principal balance and SOFR, as applicable for floating rate loans, as of December 31, 2023. </w:t>
      </w:r>
    </w:p>
    <w:p>
      <w:pPr>
        <w:pStyle w:val="TextBody"/>
        <w:bidi w:val="0"/>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(3) Assumes all extension options are exercised; however, our loans may be repaid, subject to certain conditions, prior to such date.</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Our Embedded Growth Pipeline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entered into several put-call, call right, right of first refusal and right of first offer agreements, as well as other strategic arrangements, which we believe provide the opportunity for significant embedded growth as we pursue our future strategic objectives. Each of the transactions contemplated by the following agreements remains subject to the terms and conditions of the applicable agreements, including with respect to due diligence, applicable regulatory approvals and customary closing conditions. </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Put-Call Agreements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i/>
          <w:color w:val="000000"/>
          <w:sz w:val="20"/>
        </w:rPr>
        <w:t xml:space="preserve">Caesars Indianapolis Put-Call. </w:t>
      </w:r>
      <w:r>
        <w:rPr>
          <w:rFonts w:ascii="Times New Roman;sans-serif" w:hAnsi="Times New Roman;sans-serif"/>
          <w:b w:val="false"/>
          <w:color w:val="000000"/>
          <w:sz w:val="20"/>
        </w:rPr>
        <w:t xml:space="preserve">We have a put-call right agreement with Caesars (the “Caesars Indianapolis Put-Call Agreement”) with respect to two gaming facilities in Indiana, Harrah’s Hoosier Park and Horseshoe Indianapolis (together, the “Indianapolis Properties”), whereby (i) we have the right to acquire all of the land and real estate assets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222885"/>
                <wp:effectExtent l="0" t="0" r="0" b="0"/>
                <wp:wrapNone/>
                <wp:docPr id="11" name="Frame1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60" w:after="283"/>
        <w:jc w:val="both"/>
        <w:rPr/>
      </w:pPr>
      <w:hyperlink w:anchor="ib2fc48f0ddf244d9844b8de22bde2e36_10">
        <w:r>
          <w:rPr>
            <w:rStyle w:val="InternetLink"/>
            <w:rFonts w:ascii="Times New Roman;sans-serif" w:hAnsi="Times New Roman;sans-serif"/>
            <w:b w:val="false"/>
            <w:color w:val="000080"/>
            <w:sz w:val="20"/>
            <w:u w:val="single"/>
          </w:rPr>
          <w:t>Table of Cont</w:t>
        </w:r>
      </w:hyperlink>
      <w:hyperlink w:anchor="ib2fc48f0ddf244d9844b8de22bde2e36_10">
        <w:r>
          <w:rPr>
            <w:rStyle w:val="InternetLink"/>
            <w:rFonts w:ascii="Times New Roman;sans-serif" w:hAnsi="Times New Roman;sans-serif"/>
            <w:b w:val="false"/>
            <w:color w:val="000080"/>
            <w:sz w:val="20"/>
            <w:u w:val="single"/>
          </w:rPr>
          <w:t>ents</w:t>
        </w:r>
      </w:hyperlink>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associated with the Indianapolis Properties and (ii) Caesars has the right to require us to acquire the Indianapolis Properties, and to in each case simultaneously lease back each such Indianapolis Property to Caesars through the addition of the Indianapolis Properties to the Caesars Regional Master Lease. Either party is currently able to trigger its respective put or call, as applicable, through December 31, 2024, with the acquisition of such Indianapolis Properties subject to customary conditions, including applicable regulatory approval.</w:t>
      </w:r>
    </w:p>
    <w:p>
      <w:pPr>
        <w:pStyle w:val="TextBody"/>
        <w:bidi w:val="0"/>
        <w:spacing w:lineRule="auto" w:line="288" w:before="180" w:after="283"/>
        <w:ind w:left="0" w:right="0" w:hanging="360"/>
        <w:jc w:val="both"/>
        <w:rPr/>
      </w:pPr>
      <w:r>
        <w:rPr>
          <w:color w:val="000000"/>
        </w:rPr>
        <w:t>•</w:t>
      </w:r>
      <w:r>
        <w:rPr>
          <w:rFonts w:ascii="Times New Roman;sans-serif" w:hAnsi="Times New Roman;sans-serif"/>
          <w:b/>
          <w:i/>
          <w:color w:val="000000"/>
          <w:sz w:val="20"/>
        </w:rPr>
        <w:t xml:space="preserve">Caesars Forum Put-Call. </w:t>
      </w:r>
      <w:r>
        <w:rPr>
          <w:rFonts w:ascii="Times New Roman;sans-serif" w:hAnsi="Times New Roman;sans-serif"/>
          <w:b w:val="false"/>
          <w:color w:val="000000"/>
          <w:sz w:val="20"/>
        </w:rPr>
        <w:t>We have a put-call agreement with Caesars with respect to the Caesars Forum Convention Center (the “A&amp;R Convention Center Put-Call Agreement”), which provides for (i) a call right in our favor, which, if exercised, would result in the sale by Caesars to us and simultaneous leaseback by us to Caesars of the Caesars Forum Convention Center, exercisable by us from September 18, 2025 until December 31, 2026, and (ii) a put right in favor of Caesars, which, if exercised, would result in the sale by Caesars to us and simultaneous leaseback by us to Caesars of the Caesars Forum Convention Center, exercisable by Caesars between January 1, 2024 and December 31, 2024. In addition, the A&amp;R Convention Center Put-Call Agreement provides that if Caesars exercises the foregoing put right and, among other things, the sale of the Caesars Forum Convention Center to us does not close for certain reasons more particularly described in the A&amp;R Convention Center Put-Call Agreement, a repurchase right in favor of Caesars, which, if exercised, would result in the sale of the Harrah’s Las Vegas property by us to Caesars, exercisable by Caesars during a one-year period commencing on the date upon which the closing under the put right transaction does not occur.</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Call Right Agreements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i/>
          <w:color w:val="000000"/>
          <w:sz w:val="20"/>
        </w:rPr>
        <w:t xml:space="preserve">Canyon Ranch Austin Call Right. </w:t>
      </w:r>
      <w:r>
        <w:rPr>
          <w:rFonts w:ascii="Times New Roman;sans-serif" w:hAnsi="Times New Roman;sans-serif"/>
          <w:b w:val="false"/>
          <w:color w:val="000000"/>
          <w:sz w:val="20"/>
        </w:rPr>
        <w:t xml:space="preserve">We entered into a call right agreement with Canyon Ranch pursuant to which we will have the right to acquire the real estate assets of Canyon Ranch Austin for up to 24 months following stabilization (with the Canyon Ranch Austin Loan balance being settled in connection with the exercise of such call right), which transaction will be structured as a sale leaseback (with the simultaneous entry into a triple-net lease with Canyon Ranch that will have an initial term of 25 years, with eight 5-year tenant renewal options). </w:t>
      </w:r>
    </w:p>
    <w:p>
      <w:pPr>
        <w:pStyle w:val="TextBody"/>
        <w:bidi w:val="0"/>
        <w:spacing w:lineRule="auto" w:line="288" w:before="180" w:after="283"/>
        <w:ind w:left="0" w:right="0" w:hanging="360"/>
        <w:jc w:val="both"/>
        <w:rPr/>
      </w:pPr>
      <w:r>
        <w:rPr>
          <w:color w:val="000000"/>
        </w:rPr>
        <w:t>•</w:t>
      </w:r>
      <w:r>
        <w:rPr>
          <w:rFonts w:ascii="Times New Roman;sans-serif" w:hAnsi="Times New Roman;sans-serif"/>
          <w:b/>
          <w:i/>
          <w:color w:val="000000"/>
          <w:sz w:val="20"/>
        </w:rPr>
        <w:t xml:space="preserve">Canyon Ranch Lenox and Canyon Ranch Tucson Call Right. </w:t>
      </w:r>
      <w:r>
        <w:rPr>
          <w:rFonts w:ascii="Times New Roman;sans-serif" w:hAnsi="Times New Roman;sans-serif"/>
          <w:b w:val="false"/>
          <w:color w:val="000000"/>
          <w:sz w:val="20"/>
        </w:rPr>
        <w:t>We entered into a call right agreement with Canyon Ranch pursuant to which we will have the right to acquire the real estate assets of each of Canyon Ranch Tucson in Tucson, Arizona and Canyon Ranch Lenox in Lenox, Massachusetts, at pre-negotiated terms in a sale-leaseback transaction following stabilization, subject to certain conditions. If the call right(s) are exercised, Canyon Ranch would continue to operate the applicable wellness resort(s) subject to a long-term triple-net master lease with VICI.</w:t>
      </w:r>
    </w:p>
    <w:p>
      <w:pPr>
        <w:pStyle w:val="TextBody"/>
        <w:bidi w:val="0"/>
        <w:spacing w:lineRule="auto" w:line="288" w:before="180" w:after="283"/>
        <w:ind w:left="0" w:right="0" w:hanging="360"/>
        <w:jc w:val="both"/>
        <w:rPr/>
      </w:pPr>
      <w:r>
        <w:rPr>
          <w:color w:val="000000"/>
        </w:rPr>
        <w:t>•</w:t>
      </w:r>
      <w:r>
        <w:rPr>
          <w:rFonts w:ascii="Times New Roman;sans-serif" w:hAnsi="Times New Roman;sans-serif"/>
          <w:b/>
          <w:i/>
          <w:color w:val="000000"/>
          <w:sz w:val="20"/>
        </w:rPr>
        <w:t xml:space="preserve">Homefield Kansas City Call Right. </w:t>
      </w:r>
      <w:r>
        <w:rPr>
          <w:rFonts w:ascii="Times New Roman;sans-serif" w:hAnsi="Times New Roman;sans-serif"/>
          <w:b w:val="false"/>
          <w:color w:val="000000"/>
          <w:sz w:val="20"/>
        </w:rPr>
        <w:t>In connection with the origination of a $105 million construction loan to affiliates of Homefield Kansas City (“Homefield”) to fund the development of a Margaritaville Resort in Kansas City, Kansas (the “Homefield Development Loan”), we entered into a call right agreement that provides us with a call option on (i) the Margaritaville Resort, (ii) the new Homefield youth sports training facility in Kansas City, Kansas, (iii) the new Homefield baseball center in Kansas City, Kansas, and (iv) the existing Homefield youth sports complex in Olathe, Kansas. If the call right is exercised, all of the properties, including the Margaritaville Resort, will be subject to a single long-term triple net master lease with us.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Right of First Refusal (“ROFR”) and Right of First Offer (“ROFO”) Agreements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i/>
          <w:color w:val="000000"/>
          <w:sz w:val="20"/>
        </w:rPr>
        <w:t xml:space="preserve">Las Vegas Strip Assets ROFR. </w:t>
      </w:r>
      <w:r>
        <w:rPr>
          <w:rFonts w:ascii="Times New Roman;sans-serif" w:hAnsi="Times New Roman;sans-serif"/>
          <w:b w:val="false"/>
          <w:color w:val="000000"/>
          <w:sz w:val="20"/>
        </w:rPr>
        <w:t>We have a ROFR agreement with Caesars (the “Las Vegas Strip ROFR Agreement”), pursuant to which we have the first right, with respect to the first two Las Vegas Strip assets described below that Caesars proposes to sell, whether pursuant to a sale leaseback or a sale of the real estate and operations (a “WholeCo sale”), to a third party, to acquire any such asset (it being understood that we will have the opportunity to find an operating company should Caesars elect to pursue a WholeCo sale). The Las Vegas Strip assets subject to the Las Vegas Strip ROFR Agreement are the land and real estate assets associated (i) with respect to the first such asset subject to the Las Vegas Strip ROFR Agreement, the Flamingo Las Vegas, Paris Las Vegas, Planet Hollywood and Bally’s Las Vegas gaming facilities, and (ii) with respect to the second such asset subject to the Las Vegas Strip ROFR Agreement, the foregoing assets still unsold plus The LINQ gaming facility. If we enter into a sale leaseback transaction with Caesars with respect to any of these facilities, the leaseback may be implemented through the addition of such properties to the Las Vegas Master Lease Agreement.</w:t>
      </w:r>
    </w:p>
    <w:p>
      <w:pPr>
        <w:pStyle w:val="TextBody"/>
        <w:bidi w:val="0"/>
        <w:spacing w:lineRule="auto" w:line="288" w:before="180" w:after="283"/>
        <w:ind w:left="0" w:right="0" w:hanging="360"/>
        <w:jc w:val="both"/>
        <w:rPr/>
      </w:pPr>
      <w:r>
        <w:rPr>
          <w:color w:val="000000"/>
        </w:rPr>
        <w:t>•</w:t>
      </w:r>
      <w:r>
        <w:rPr>
          <w:rFonts w:ascii="Times New Roman;sans-serif" w:hAnsi="Times New Roman;sans-serif"/>
          <w:b/>
          <w:i/>
          <w:color w:val="000000"/>
          <w:sz w:val="20"/>
        </w:rPr>
        <w:t xml:space="preserve">Horseshoe Baltimore ROFR. </w:t>
      </w:r>
      <w:r>
        <w:rPr>
          <w:rFonts w:ascii="Times New Roman;sans-serif" w:hAnsi="Times New Roman;sans-serif"/>
          <w:b w:val="false"/>
          <w:color w:val="000000"/>
          <w:sz w:val="20"/>
        </w:rPr>
        <w:t>We have a ROFR agreement with Caesars pursuant to which we have the first right to enter into a sale leaseback transaction with respect to the land and real estate assets associated with the Horseshoe Baltimore gaming facility (subject to any consent required from Caesars’ joint venture partners with respect to this asset)</w:t>
      </w:r>
      <w:r>
        <w:rPr>
          <w:rFonts w:ascii="Arial;sans-serif" w:hAnsi="Arial;sans-serif"/>
          <w:b w:val="false"/>
          <w:color w:val="000000"/>
          <w:sz w:val="2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222885"/>
                <wp:effectExtent l="0" t="0" r="0" b="0"/>
                <wp:wrapNone/>
                <wp:docPr id="12" name="Frame1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60" w:after="283"/>
        <w:jc w:val="both"/>
        <w:rPr/>
      </w:pPr>
      <w:hyperlink w:anchor="ib2fc48f0ddf244d9844b8de22bde2e36_10">
        <w:r>
          <w:rPr>
            <w:rStyle w:val="InternetLink"/>
            <w:rFonts w:ascii="Times New Roman;sans-serif" w:hAnsi="Times New Roman;sans-serif"/>
            <w:b w:val="false"/>
            <w:color w:val="000080"/>
            <w:sz w:val="20"/>
            <w:u w:val="single"/>
          </w:rPr>
          <w:t>Table of Cont</w:t>
        </w:r>
      </w:hyperlink>
      <w:hyperlink w:anchor="ib2fc48f0ddf244d9844b8de22bde2e36_10">
        <w:r>
          <w:rPr>
            <w:rStyle w:val="InternetLink"/>
            <w:rFonts w:ascii="Times New Roman;sans-serif" w:hAnsi="Times New Roman;sans-serif"/>
            <w:b w:val="false"/>
            <w:color w:val="000080"/>
            <w:sz w:val="20"/>
            <w:u w:val="single"/>
          </w:rPr>
          <w:t>ents</w:t>
        </w:r>
      </w:hyperlink>
    </w:p>
    <w:p>
      <w:pPr>
        <w:pStyle w:val="TextBody"/>
        <w:bidi w:val="0"/>
        <w:spacing w:lineRule="auto" w:line="288" w:before="180" w:after="283"/>
        <w:ind w:left="0" w:right="0" w:hanging="360"/>
        <w:jc w:val="both"/>
        <w:rPr/>
      </w:pPr>
      <w:r>
        <w:rPr>
          <w:color w:val="000000"/>
        </w:rPr>
        <w:t>•</w:t>
      </w:r>
      <w:r>
        <w:rPr>
          <w:rFonts w:ascii="Times New Roman;sans-serif" w:hAnsi="Times New Roman;sans-serif"/>
          <w:b/>
          <w:i/>
          <w:color w:val="000000"/>
          <w:sz w:val="20"/>
        </w:rPr>
        <w:t xml:space="preserve">Caesars Virginia Development ROFR. </w:t>
      </w:r>
      <w:r>
        <w:rPr>
          <w:rFonts w:ascii="Times New Roman;sans-serif" w:hAnsi="Times New Roman;sans-serif"/>
          <w:b w:val="false"/>
          <w:color w:val="000000"/>
          <w:sz w:val="20"/>
        </w:rPr>
        <w:t xml:space="preserve">We have a ROFR agreement with EBCI and Caesars pursuant to which we have the first right to enter into a sale leaseback transaction with respect to the real property associated with the development of a new casino resort in Danville, Virginia. </w:t>
      </w:r>
    </w:p>
    <w:p>
      <w:pPr>
        <w:pStyle w:val="TextBody"/>
        <w:bidi w:val="0"/>
        <w:spacing w:lineRule="auto" w:line="288" w:before="180" w:after="283"/>
        <w:ind w:left="0" w:right="0" w:hanging="360"/>
        <w:jc w:val="both"/>
        <w:rPr/>
      </w:pPr>
      <w:r>
        <w:rPr>
          <w:color w:val="000000"/>
        </w:rPr>
        <w:t>•</w:t>
      </w:r>
      <w:r>
        <w:rPr>
          <w:rFonts w:ascii="Times New Roman;sans-serif" w:hAnsi="Times New Roman;sans-serif"/>
          <w:b/>
          <w:i/>
          <w:color w:val="000000"/>
          <w:sz w:val="20"/>
        </w:rPr>
        <w:t>Canyon Ranch ROFO.</w:t>
      </w:r>
      <w:r>
        <w:rPr>
          <w:color w:val="000000"/>
        </w:rPr>
        <w:t xml:space="preserve"> </w:t>
      </w:r>
      <w:r>
        <w:rPr>
          <w:rFonts w:ascii="Times New Roman;sans-serif" w:hAnsi="Times New Roman;sans-serif"/>
          <w:b w:val="false"/>
          <w:color w:val="000000"/>
          <w:sz w:val="20"/>
        </w:rPr>
        <w:t>We have a ROFO agreement with Canyon Ranch with respect to future financing opportunities for Canyon Ranch and certain of its affiliates for the funding of certain facilities (including Canyon Ranch Austin, Canyon Ranch Tucson and Canyon Ranch Lenox, and any other fee owned Canyon Ranch branded wellness resort), until the date that is the earlier of five years from commencement of the Canyon Ranch Austin lease (to the extent applicable) and the date that neither VICI nor any of its affiliates are landlord under such lease, subject to certain specified terms, conditions and exceptions. On July 26, 2023, we entered into a right of first financing agreement pursuant to which we will have the first right, but not the obligation, to serve as the real estate capital financing partner for Canyon Ranch with respect to the acquisition, build-out and/or redevelopment of future greenfield and build-to-suit wellness resorts.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i/>
          <w:color w:val="000000"/>
          <w:sz w:val="20"/>
        </w:rPr>
        <w:t>Bowlero ROFO.</w:t>
      </w:r>
      <w:r>
        <w:rPr>
          <w:color w:val="000000"/>
        </w:rPr>
        <w:t xml:space="preserve"> </w:t>
      </w:r>
      <w:r>
        <w:rPr>
          <w:rFonts w:ascii="Times New Roman;sans-serif" w:hAnsi="Times New Roman;sans-serif"/>
          <w:b w:val="false"/>
          <w:color w:val="000000"/>
          <w:sz w:val="20"/>
        </w:rPr>
        <w:t>The Bowlero Master Lease contains a ROFO with respect to the real estate assets of any current or future Bowlero properties in the event that Bowlero elects to enter into a sale-leaseback transaction for such properties during the first 8 years of the initial term of the Bowlero Master Lease.</w:t>
      </w:r>
    </w:p>
    <w:p>
      <w:pPr>
        <w:pStyle w:val="TextBody"/>
        <w:bidi w:val="0"/>
        <w:spacing w:lineRule="auto" w:line="288" w:before="180" w:after="283"/>
        <w:ind w:left="0" w:right="0" w:hanging="360"/>
        <w:jc w:val="both"/>
        <w:rPr/>
      </w:pPr>
      <w:r>
        <w:rPr>
          <w:color w:val="000000"/>
        </w:rPr>
        <w:t>•</w:t>
      </w:r>
      <w:r>
        <w:rPr>
          <w:rFonts w:ascii="Times New Roman;sans-serif" w:hAnsi="Times New Roman;sans-serif"/>
          <w:b/>
          <w:i/>
          <w:color w:val="000000"/>
          <w:sz w:val="20"/>
        </w:rPr>
        <w:t xml:space="preserve">Homefield ROFR. </w:t>
      </w:r>
      <w:r>
        <w:rPr>
          <w:rFonts w:ascii="Times New Roman;sans-serif" w:hAnsi="Times New Roman;sans-serif"/>
          <w:b w:val="false"/>
          <w:color w:val="000000"/>
          <w:sz w:val="20"/>
        </w:rPr>
        <w:t>In connection with the Homefield Development Loan, we received a right of first refusal to acquire the real estate of any future Homefield property in a sale leaseback transaction, should Homefield elect to sell such assets.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Other Embedded Growth Agreements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i/>
          <w:color w:val="000000"/>
          <w:sz w:val="20"/>
        </w:rPr>
        <w:t>Cabot Citrus Farms Purchase and Sale Agreement.</w:t>
      </w:r>
      <w:r>
        <w:rPr>
          <w:color w:val="000000"/>
        </w:rPr>
        <w:t xml:space="preserve"> </w:t>
      </w:r>
      <w:r>
        <w:rPr>
          <w:rFonts w:ascii="Times New Roman;sans-serif" w:hAnsi="Times New Roman;sans-serif"/>
          <w:b w:val="false"/>
          <w:color w:val="000000"/>
          <w:sz w:val="20"/>
        </w:rPr>
        <w:t>We entered into a purchase and sale agreement with Cabot, pursuant to which we will convert a portion of the $120.0 million Cabot Citrus Farms delayed draw development loan into the ownership of certain Cabot Citrus Farms real estate assets and simultaneously enter into a triple-net lease with Cabot that will have an initial term of 25 years, with five 5-year tenant renewal options.</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Our Partner Property Growth Fund</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part of our ongoing dialogue with our tenants, we continually seek opportunities to further our long-term partnerships and pursue our respective strategic objectives. We have entered into certain arrangements, which we collectively refer to as the “Partner Property Growth Fund”, with certain tenants relating to our funding of “same-store” capital improvements, including redevelopment, new construction projects and other property improvements, in exchange for increased rent pursuant to the terms of our existing lease agreements with such tenants (and subject to the specific terms and conditions included in any such agreement). Each of our lease agreements include provisions that provide a mechanism for us to pursue such opportunities. We continue to evaluate Partner Property Growth Fund opportunities with certain of our tenants from time to time and expect to pursue further investment as one component of our strategic growth plans, consistent with our aim to work collaboratively with such tenants to invest in growth opportunities and capital improvements that achieve mutually beneficial outcomes.</w:t>
      </w:r>
    </w:p>
    <w:p>
      <w:pPr>
        <w:pStyle w:val="TextBody"/>
        <w:bidi w:val="0"/>
        <w:spacing w:lineRule="auto" w:line="288" w:before="180" w:after="283"/>
        <w:jc w:val="both"/>
        <w:rPr/>
      </w:pPr>
      <w:r>
        <w:rPr>
          <w:rFonts w:ascii="Times New Roman;sans-serif" w:hAnsi="Times New Roman;sans-serif"/>
          <w:b w:val="false"/>
          <w:color w:val="000000"/>
          <w:sz w:val="20"/>
        </w:rPr>
        <w:t xml:space="preserve">The benefits of any Partner Property Growth Fund opportunities will be dependent upon independent decisions made by our tenants with respect to any capital improvement projects and the source of funds for such projects, as well as the total funding ultimately provided under such arrangements and there are no assurances that any Partner Property Growth Fund opportunities will occur on the contemplated terms, including through our financing, or at all. See </w:t>
      </w:r>
      <w:hyperlink w:anchor="ib2fc48f0ddf244d9844b8de22bde2e36_22">
        <w:r>
          <w:rPr>
            <w:rStyle w:val="InternetLink"/>
            <w:rFonts w:ascii="Times New Roman;sans-serif" w:hAnsi="Times New Roman;sans-serif"/>
            <w:b w:val="false"/>
            <w:color w:val="0000FF"/>
            <w:sz w:val="20"/>
            <w:u w:val="single"/>
          </w:rPr>
          <w:t>Item 1A - “Risk Factors—Risks Related to Our Business and Operations”</w:t>
        </w:r>
      </w:hyperlink>
      <w:r>
        <w:rPr>
          <w:color w:val="000000"/>
        </w:rPr>
        <w:t xml:space="preserve"> </w:t>
      </w:r>
      <w:r>
        <w:rPr>
          <w:rFonts w:ascii="Times New Roman;sans-serif" w:hAnsi="Times New Roman;sans-serif"/>
          <w:b w:val="false"/>
          <w:color w:val="000000"/>
          <w:sz w:val="20"/>
        </w:rPr>
        <w:t>for additional information.</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Our Golf Courses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own four championship golf courses located near certain of our properties, Rio Secco in Henderson, Nevada, Cascata in Boulder City, Nevada, Chariot Run in Laconia, Indiana and Grand Bear in Saucier, Mississippi (the “Golf Courses”). In addition, Rio Secco and Cascata are in close proximity to the Las Vegas Strip. These golf courses are operated by a third-party golf resort operator, CDN Golf Management Inc. (“CDN Golf”), an affiliate of Cabot, pursuant to a golf course management agreement. We have a golf course use agreement (the “Golf Course Use Agreement”) with Caesars which provides them with preferred access and tee times for their guests at our golf courses. As of December 31, 2023, contractual minimum fees under the Golf Course Use Agreement and certain other golf course related agreements with Caesars were $17.1 million per year.</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Our Relationship with Caesars and MGM</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Caesars and MGM, our two largest tenants representing 40% and 35%, respectively, of our annualized rent as of December 31, 2023, are leading owners and operators of gaming, entertainment and leisure properties. Caesars and MGM maintain a diverse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222885"/>
                <wp:effectExtent l="0" t="0" r="0" b="0"/>
                <wp:wrapNone/>
                <wp:docPr id="13" name="Frame1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60" w:after="283"/>
        <w:jc w:val="both"/>
        <w:rPr/>
      </w:pPr>
      <w:hyperlink w:anchor="ib2fc48f0ddf244d9844b8de22bde2e36_10">
        <w:r>
          <w:rPr>
            <w:rStyle w:val="InternetLink"/>
            <w:rFonts w:ascii="Times New Roman;sans-serif" w:hAnsi="Times New Roman;sans-serif"/>
            <w:b w:val="false"/>
            <w:color w:val="000080"/>
            <w:sz w:val="20"/>
            <w:u w:val="single"/>
          </w:rPr>
          <w:t>Table of Cont</w:t>
        </w:r>
      </w:hyperlink>
      <w:hyperlink w:anchor="ib2fc48f0ddf244d9844b8de22bde2e36_10">
        <w:r>
          <w:rPr>
            <w:rStyle w:val="InternetLink"/>
            <w:rFonts w:ascii="Times New Roman;sans-serif" w:hAnsi="Times New Roman;sans-serif"/>
            <w:b w:val="false"/>
            <w:color w:val="000080"/>
            <w:sz w:val="20"/>
            <w:u w:val="single"/>
          </w:rPr>
          <w:t>ents</w:t>
        </w:r>
      </w:hyperlink>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brand portfolio with a wide range of options that appeal to a variety of gaming, sports betting, travel and entertainment consumers.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 govern the ongoing relationship between us and Caesars and us and MGM, in addition to the applicable lease agreements, we have entered into various agreements with Caesars and MGM and/or their subsidiaries as described herein. The summaries presented herein are not complete and are qualified in their entirety by reference to the full text of the applicable agreements, certain of which are included as exhibits to this Annual Report on Form 10-K.</w:t>
      </w:r>
    </w:p>
    <w:p>
      <w:pPr>
        <w:pStyle w:val="TextBody"/>
        <w:bidi w:val="0"/>
        <w:spacing w:lineRule="auto" w:line="288" w:before="180" w:after="283"/>
        <w:ind w:left="0" w:right="0" w:hanging="360"/>
        <w:jc w:val="both"/>
        <w:rPr/>
      </w:pPr>
      <w:r>
        <w:rPr>
          <w:color w:val="000000"/>
        </w:rPr>
        <w:t>•</w:t>
      </w:r>
      <w:r>
        <w:rPr>
          <w:rFonts w:ascii="Times New Roman;sans-serif" w:hAnsi="Times New Roman;sans-serif"/>
          <w:b/>
          <w:i/>
          <w:color w:val="000000"/>
          <w:sz w:val="20"/>
        </w:rPr>
        <w:t xml:space="preserve">Caesars Guaranty. </w:t>
      </w:r>
      <w:r>
        <w:rPr>
          <w:rFonts w:ascii="Times New Roman;sans-serif" w:hAnsi="Times New Roman;sans-serif"/>
          <w:b w:val="false"/>
          <w:color w:val="000000"/>
          <w:sz w:val="20"/>
        </w:rPr>
        <w:t>Caesars has executed guaranties with respect to the Caesars Las Vegas Master Lease, the Caesars Regional Master Lease and the Joliet Lease, guaranteeing the prompt and complete payment and performance in full of: (i) all monetary obligations of the tenants under the Caesars Leases, including all rent and other sums payable by the tenants under the Caesars Leases and any obligation to pay monetary damages in connection with any breach and to pay any indemnification obligations of the tenants under the Caesars Leases, (ii) the performance when due of all other covenants, agreements and requirements to be performed and satisfied by the tenants under the Caesars Leases, and (iii) all monetary obligations under the Golf Course Use Agreement.</w:t>
      </w:r>
    </w:p>
    <w:p>
      <w:pPr>
        <w:pStyle w:val="TextBody"/>
        <w:bidi w:val="0"/>
        <w:spacing w:lineRule="auto" w:line="288" w:before="180" w:after="283"/>
        <w:ind w:left="0" w:right="0" w:hanging="360"/>
        <w:jc w:val="both"/>
        <w:rPr/>
      </w:pPr>
      <w:r>
        <w:rPr>
          <w:color w:val="000000"/>
        </w:rPr>
        <w:t>•</w:t>
      </w:r>
      <w:r>
        <w:rPr>
          <w:rFonts w:ascii="Times New Roman;sans-serif" w:hAnsi="Times New Roman;sans-serif"/>
          <w:b/>
          <w:i/>
          <w:color w:val="000000"/>
          <w:sz w:val="20"/>
        </w:rPr>
        <w:t xml:space="preserve">MGM Guaranty. </w:t>
      </w:r>
      <w:r>
        <w:rPr>
          <w:rFonts w:ascii="Times New Roman;sans-serif" w:hAnsi="Times New Roman;sans-serif"/>
          <w:b w:val="false"/>
          <w:color w:val="000000"/>
          <w:sz w:val="20"/>
        </w:rPr>
        <w:t>MGM has executed guaranties with respect to the MGM Master Lease and MGM Grand/Mandalay Bay Lease guaranteeing the prompt and complete payment and performance in full of all monetary obligations of the tenants under the MGM Master Lease and MGM Grand/Mandalay Bay Lease, including all rent and other sums payable by the tenants under the MGM Master Lease and MGM Grand/Mandalay Bay Lease and any obligation to pay monetary damages in connection with any breach and to pay any indemnification obligations of the tenants under the MGM Master Lease and MGM Grand/Mandalay Bay Lease and the performance when due of all other covenants, agreements and requirements to be performed and satisfied by the tenants under the MGM Master Lease and MGM Grand/Mandalay Bay Lease.</w:t>
      </w:r>
    </w:p>
    <w:p>
      <w:pPr>
        <w:pStyle w:val="TextBody"/>
        <w:bidi w:val="0"/>
        <w:spacing w:lineRule="auto" w:line="288" w:before="180" w:after="283"/>
        <w:ind w:left="0" w:right="0" w:hanging="360"/>
        <w:jc w:val="both"/>
        <w:rPr/>
      </w:pPr>
      <w:r>
        <w:rPr>
          <w:color w:val="000000"/>
        </w:rPr>
        <w:t>•</w:t>
      </w:r>
      <w:r>
        <w:rPr>
          <w:rFonts w:ascii="Times New Roman;sans-serif" w:hAnsi="Times New Roman;sans-serif"/>
          <w:b/>
          <w:i/>
          <w:color w:val="000000"/>
          <w:sz w:val="20"/>
        </w:rPr>
        <w:t xml:space="preserve">Caesars Tax Matters Agreement. </w:t>
      </w:r>
      <w:r>
        <w:rPr>
          <w:rFonts w:ascii="Times New Roman;sans-serif" w:hAnsi="Times New Roman;sans-serif"/>
          <w:b w:val="false"/>
          <w:color w:val="000000"/>
          <w:sz w:val="20"/>
        </w:rPr>
        <w:t>We have entered into a tax matters agreement (the “Tax Matters Agreement”), which addresses matters relating to the payment of taxes and entitlement to tax refunds by Caesars, Caesars Entertainment Operating Company, Inc. (“CEOC”), VICI LP and us, and allocates certain liabilities, including providing for certain covenants and indemnities, relating to the payment of such taxes, receipt of such refunds, and preparation of tax returns relating thereto. In general, the Tax Matters Agreement provides for the preparation and filing by Caesars of tax returns relating to CEOC and for the preparation and filing by us of tax returns relating to us and our operations. Under the Tax Matters Agreement, Caesars has agreed to indemnify us for any taxes allocated to CEOC that we are required to pay pursuant to our tax returns and we have agreed to indemnify Caesars for any taxes allocated to us that Caesars or CEOC is required to pay pursuant to a Caesars or CEOC tax return.</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Tax Matters Agreement, Caesars has agreed to indemnify us for taxes attributable to acts or omissions taken by Caesars and we have agreed to indemnify Caesars for taxes attributable to our acts or omissions, in each case that cause a failure of the transactions entered into as part of the Plan of Reorganization (as defined below) to qualify as tax-free under the Internal Revenue Code of 1986, as amended (the “Code”). </w:t>
      </w:r>
    </w:p>
    <w:p>
      <w:pPr>
        <w:pStyle w:val="TextBody"/>
        <w:bidi w:val="0"/>
        <w:spacing w:lineRule="auto" w:line="288" w:before="180" w:after="283"/>
        <w:ind w:left="0" w:right="0" w:hanging="360"/>
        <w:jc w:val="both"/>
        <w:rPr/>
      </w:pPr>
      <w:r>
        <w:rPr>
          <w:color w:val="000000"/>
          <w:shd w:fill="FFFFFF" w:val="clear"/>
        </w:rPr>
        <w:t>•</w:t>
      </w:r>
      <w:r>
        <w:rPr>
          <w:rFonts w:ascii="Times New Roman;sans-serif" w:hAnsi="Times New Roman;sans-serif"/>
          <w:b/>
          <w:i/>
          <w:color w:val="000000"/>
          <w:sz w:val="20"/>
        </w:rPr>
        <w:t xml:space="preserve">MGM Tax Protection Agreements. </w:t>
      </w:r>
      <w:r>
        <w:rPr>
          <w:rFonts w:ascii="Times New Roman;sans-serif" w:hAnsi="Times New Roman;sans-serif"/>
          <w:b w:val="false"/>
          <w:color w:val="000000"/>
          <w:sz w:val="20"/>
        </w:rPr>
        <w:t>We entered into a tax protection agreement with MGM (the “MGM Tax Protection Agreement”) pursuant to which VICI OP has agreed, subject to certain exceptions, for a period of 15 years (subject to early termination under certain circumstances) following the closing of our acquisition of MGM Growth Properties LLC (“MGP”) in April 2022, to indemnify MGM and certain of its subsidiaries (the “Protected Parties”) for certain tax liabilities resulting from (1) the sale, transfer, exchange or other disposition of a property owned directly or indirectly by MGM Growth Properties Operating Partnership LP (“MGP OP”) immediately prior to the closing date of the acquisition of MGP (each, a “Protected Property”), (2) a merger, consolidation, transfer of all assets of, or other significant transaction involving VICI OP pursuant to which the ownership interests of the Protected Parties in VICI OP are required to be exchanged in whole or in part for cash or other property, (3) the failure of VICI OP to maintain approximately $8.5 billion of nonrecourse indebtedness allocable to MGM, which amount may be reduced over time in accordance with the MGM Tax Protection Agreement, and (4) the failure of VICI OP or VICI to comply with certain tax covenants that would impact the tax liabilities of the Protected Parties. In the event that VICI OP or VICI breaches restrictions in the MGM Tax Protection Agreement, VICI OP will be liable for grossed-up tax amounts associated with the income or gain recognized as a result of such breach. In addition, the joint venture that holds the real estate assets of MGM Grand Las Vegas and Mandalay Bay</w:t>
      </w:r>
      <w:r>
        <w:rPr>
          <w:color w:val="000000"/>
          <w:shd w:fill="FFFFFF" w:val="clear"/>
        </w:rPr>
        <w:t xml:space="preserve"> </w:t>
      </w:r>
      <w:r>
        <w:rPr>
          <w:rFonts w:ascii="Times New Roman;sans-serif" w:hAnsi="Times New Roman;sans-serif"/>
          <w:b w:val="false"/>
          <w:i/>
          <w:color w:val="000000"/>
          <w:sz w:val="20"/>
          <w:shd w:fill="FFFFFF" w:val="clear"/>
        </w:rPr>
        <w:t>(“</w:t>
      </w:r>
      <w:r>
        <w:rPr>
          <w:rFonts w:ascii="Times New Roman;sans-serif" w:hAnsi="Times New Roman;sans-serif"/>
          <w:b w:val="false"/>
          <w:color w:val="000000"/>
          <w:sz w:val="20"/>
        </w:rPr>
        <w:t>MGM Grand/Mandalay Bay JV”) previously entered into a tax protection agreement with MGM with respect to built-in gain and debt maintenance related to MGM Grand Las Vegas and Mandalay Bay, which is effective through mid-2029, and by acquiring MGP in April 2022 and subsequently acquiring the remaining 49.9% interest in the MGM Grand/Mandalay Bay JV in January 2023, we bear any indemnity under this existing tax protection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222885"/>
                <wp:effectExtent l="0" t="0" r="0" b="0"/>
                <wp:wrapNone/>
                <wp:docPr id="14" name="Frame1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60" w:after="283"/>
        <w:jc w:val="both"/>
        <w:rPr/>
      </w:pPr>
      <w:hyperlink w:anchor="ib2fc48f0ddf244d9844b8de22bde2e36_10">
        <w:r>
          <w:rPr>
            <w:rStyle w:val="InternetLink"/>
            <w:rFonts w:ascii="Times New Roman;sans-serif" w:hAnsi="Times New Roman;sans-serif"/>
            <w:b w:val="false"/>
            <w:color w:val="000080"/>
            <w:sz w:val="20"/>
            <w:u w:val="single"/>
          </w:rPr>
          <w:t>Table of Cont</w:t>
        </w:r>
      </w:hyperlink>
      <w:hyperlink w:anchor="ib2fc48f0ddf244d9844b8de22bde2e36_10">
        <w:r>
          <w:rPr>
            <w:rStyle w:val="InternetLink"/>
            <w:rFonts w:ascii="Times New Roman;sans-serif" w:hAnsi="Times New Roman;sans-serif"/>
            <w:b w:val="false"/>
            <w:color w:val="000080"/>
            <w:sz w:val="20"/>
            <w:u w:val="single"/>
          </w:rPr>
          <w: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Competition</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compete for real property investments with other REITs, gaming companies, investment companies, private equity firms, hedge funds, sovereign funds, lenders and other private investors. In addition, revenues from our properties pursuant to the lease agreements are dependent on the ability of our tenants and operators to compete with other gaming operators in their respective markets. The operators of our properties compete on a local, regional, national and international basis for customers. The gaming industry is characterized by a high degree of competition among a large number of participants, including riverboat casinos, dockside casinos, land-based casinos, video lottery, sweepstakes and poker machines not located in casinos, Native American gaming, emerging varieties of Internet gaming, sports betting and other forms of gaming in the United States.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a landlord, we compete in the real estate market with numerous developers, owners and acquirors of properties. Some of our competitors may be significantly larger, have greater financial resources and lower costs of capital than we have, have greater economies of scale and have greater name recognition than we do. Increased competition will make it more challenging to identify and successfully capitalize on acquisition opportunities that meet our investment objectives. Our ability to compete is also impacted by national and local economic trends, availability of investment alternatives, availability and cost of capital, construction and renovation costs, existing laws and regulations, new legislation and population trends.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Human Capital Management</w:t>
      </w:r>
    </w:p>
    <w:p>
      <w:pPr>
        <w:pStyle w:val="TextBody"/>
        <w:bidi w:val="0"/>
        <w:spacing w:lineRule="auto" w:line="288" w:before="180" w:after="283"/>
        <w:jc w:val="both"/>
        <w:rPr/>
      </w:pPr>
      <w:r>
        <w:rPr>
          <w:rFonts w:ascii="Times New Roman;sans-serif" w:hAnsi="Times New Roman;sans-serif"/>
          <w:b w:val="false"/>
          <w:color w:val="000000"/>
          <w:sz w:val="20"/>
        </w:rPr>
        <w:t>As of December 31, 2023, we employed 28</w:t>
      </w:r>
      <w:r>
        <w:rPr>
          <w:color w:val="000000"/>
          <w:shd w:fill="FFFFFF" w:val="clear"/>
        </w:rPr>
        <w:t xml:space="preserve"> </w:t>
      </w:r>
      <w:r>
        <w:rPr>
          <w:rFonts w:ascii="Times New Roman;sans-serif" w:hAnsi="Times New Roman;sans-serif"/>
          <w:b w:val="false"/>
          <w:color w:val="000000"/>
          <w:sz w:val="20"/>
          <w:shd w:fill="FFFFFF" w:val="clear"/>
        </w:rPr>
        <w:t>employees, all</w:t>
      </w:r>
      <w:r>
        <w:rPr>
          <w:color w:val="000000"/>
        </w:rPr>
        <w:t xml:space="preserve"> </w:t>
      </w:r>
      <w:r>
        <w:rPr>
          <w:rFonts w:ascii="Times New Roman;sans-serif" w:hAnsi="Times New Roman;sans-serif"/>
          <w:b w:val="false"/>
          <w:color w:val="000000"/>
          <w:sz w:val="20"/>
        </w:rPr>
        <w:t xml:space="preserve">of which are full-time. All of our employees </w:t>
      </w:r>
      <w:r>
        <w:rPr>
          <w:rFonts w:ascii="Times New Roman;sans-serif" w:hAnsi="Times New Roman;sans-serif"/>
          <w:b w:val="false"/>
          <w:color w:val="000000"/>
          <w:sz w:val="20"/>
          <w:shd w:fill="FFFFFF" w:val="clear"/>
        </w:rPr>
        <w:t>a</w:t>
      </w:r>
      <w:r>
        <w:rPr>
          <w:rFonts w:ascii="Times New Roman;sans-serif" w:hAnsi="Times New Roman;sans-serif"/>
          <w:b w:val="false"/>
          <w:color w:val="000000"/>
          <w:sz w:val="20"/>
        </w:rPr>
        <w:t>re employed at VICI LP in support of our primary business as a triple-</w:t>
      </w:r>
      <w:r>
        <w:rPr>
          <w:rFonts w:ascii="Times New Roman;sans-serif" w:hAnsi="Times New Roman;sans-serif"/>
          <w:b w:val="false"/>
          <w:color w:val="000000"/>
          <w:sz w:val="20"/>
          <w:shd w:fill="FFFFFF" w:val="clear"/>
        </w:rPr>
        <w:t>net lease REIT and are primarily located at our corporate headquarters in New York, New York</w:t>
      </w:r>
      <w:r>
        <w:rPr>
          <w:rFonts w:ascii="Times New Roman;sans-serif" w:hAnsi="Times New Roman;sans-serif"/>
          <w:b w:val="false"/>
          <w:color w:val="000000"/>
          <w:sz w:val="20"/>
        </w:rPr>
        <w:t>.</w:t>
      </w:r>
    </w:p>
    <w:p>
      <w:pPr>
        <w:pStyle w:val="TextBody"/>
        <w:bidi w:val="0"/>
        <w:spacing w:lineRule="auto" w:line="288" w:before="180" w:after="283"/>
        <w:ind w:left="0" w:right="0" w:hanging="360"/>
        <w:jc w:val="both"/>
        <w:rPr/>
      </w:pPr>
      <w:r>
        <w:rPr>
          <w:color w:val="000000"/>
          <w:shd w:fill="FFFFFF" w:val="clear"/>
        </w:rPr>
        <w:t>•</w:t>
      </w:r>
      <w:r>
        <w:rPr>
          <w:rFonts w:ascii="Times New Roman;sans-serif" w:hAnsi="Times New Roman;sans-serif"/>
          <w:b/>
          <w:i/>
          <w:color w:val="000000"/>
          <w:sz w:val="20"/>
        </w:rPr>
        <w:t>Corporate Culture and Engagement.</w:t>
      </w:r>
      <w:r>
        <w:rPr>
          <w:color w:val="000000"/>
        </w:rPr>
        <w:t xml:space="preserve"> </w:t>
      </w:r>
      <w:r>
        <w:rPr>
          <w:rFonts w:ascii="Times New Roman;sans-serif" w:hAnsi="Times New Roman;sans-serif"/>
          <w:b w:val="false"/>
          <w:color w:val="000000"/>
          <w:sz w:val="20"/>
        </w:rPr>
        <w:t xml:space="preserve">We are committed to creating and sustaining a positive work environment and corporate culture that fosters diversity, equity and inclusion, and employee engagement, through the instillation of our core values, as well as competitive compensation and benefit programs, training and professional development opportunities, community service events and employee involvement in company initiatives. To assist in fulfilling that commitment, we measure our organizational culture, degree of inclusion and employee engagement through, among other things, an annual, independent third-party employee satisfaction survey, which provides management with insights regarding key issues and priorities to maintain and improve the health, well-being and satisfaction of our employees. </w:t>
      </w:r>
    </w:p>
    <w:p>
      <w:pPr>
        <w:pStyle w:val="TextBody"/>
        <w:bidi w:val="0"/>
        <w:spacing w:lineRule="auto" w:line="288" w:before="180" w:after="283"/>
        <w:ind w:left="0" w:right="0" w:hanging="360"/>
        <w:jc w:val="both"/>
        <w:rPr/>
      </w:pPr>
      <w:r>
        <w:rPr>
          <w:color w:val="000000"/>
        </w:rPr>
        <w:t>•</w:t>
      </w:r>
      <w:r>
        <w:rPr>
          <w:rFonts w:ascii="Times New Roman;sans-serif" w:hAnsi="Times New Roman;sans-serif"/>
          <w:b/>
          <w:i/>
          <w:color w:val="000000"/>
          <w:sz w:val="20"/>
        </w:rPr>
        <w:t>Board Oversight</w:t>
      </w:r>
      <w:r>
        <w:rPr>
          <w:rFonts w:ascii="Times New Roman;sans-serif" w:hAnsi="Times New Roman;sans-serif"/>
          <w:b/>
          <w:color w:val="000000"/>
          <w:sz w:val="20"/>
        </w:rPr>
        <w:t>.</w:t>
      </w:r>
      <w:r>
        <w:rPr>
          <w:color w:val="000000"/>
        </w:rPr>
        <w:t xml:space="preserve"> </w:t>
      </w:r>
      <w:r>
        <w:rPr>
          <w:rFonts w:ascii="Times New Roman;sans-serif" w:hAnsi="Times New Roman;sans-serif"/>
          <w:b w:val="false"/>
          <w:color w:val="000000"/>
          <w:sz w:val="20"/>
        </w:rPr>
        <w:t xml:space="preserve">Our management reports to the Compensation Committee of the Board of Directors on a regular basis, as well as the full Board of Directors, as necessary, to periodically review our human capital management programs, including those relating to our diversity, equity and inclusion efforts (led by our Diversity, Equity and Inclusion Committee), employee compensation and benefits, and related matters, such as training and recruiting, retention and hiring practices. </w:t>
      </w:r>
    </w:p>
    <w:p>
      <w:pPr>
        <w:pStyle w:val="TextBody"/>
        <w:bidi w:val="0"/>
        <w:spacing w:lineRule="auto" w:line="288" w:before="180" w:after="283"/>
        <w:ind w:left="0" w:right="0" w:hanging="360"/>
        <w:jc w:val="both"/>
        <w:rPr/>
      </w:pPr>
      <w:r>
        <w:rPr>
          <w:color w:val="000000"/>
        </w:rPr>
        <w:t>•</w:t>
      </w:r>
      <w:r>
        <w:rPr>
          <w:rFonts w:ascii="Times New Roman;sans-serif" w:hAnsi="Times New Roman;sans-serif"/>
          <w:b/>
          <w:i/>
          <w:color w:val="000000"/>
          <w:sz w:val="20"/>
          <w:shd w:fill="FFFFFF" w:val="clear"/>
        </w:rPr>
        <w:t>Diversity</w:t>
      </w:r>
      <w:r>
        <w:rPr>
          <w:rFonts w:ascii="Times New Roman;sans-serif" w:hAnsi="Times New Roman;sans-serif"/>
          <w:b w:val="false"/>
          <w:color w:val="000000"/>
          <w:sz w:val="20"/>
          <w:shd w:fill="FFFFFF" w:val="clear"/>
        </w:rPr>
        <w:t xml:space="preserve">. </w:t>
      </w:r>
      <w:r>
        <w:rPr>
          <w:rFonts w:ascii="Times New Roman;sans-serif" w:hAnsi="Times New Roman;sans-serif"/>
          <w:b w:val="false"/>
          <w:color w:val="000000"/>
          <w:sz w:val="20"/>
        </w:rPr>
        <w:t xml:space="preserve">As of December 31, 2023, 43% of our directors (and 50% of our independent directors), 46% of our employees and 25% of our executive officers were female. Additionally, the leadership of our Board of Directors, including the Chair of our Board of Directors and the chairs of our committees of the Board was 50% female as of December 31, 2023. Further, 14% of our directors and 29% of our employees identified as a member of an ethnic and/or racial minority group. </w:t>
      </w:r>
    </w:p>
    <w:p>
      <w:pPr>
        <w:pStyle w:val="TextBody"/>
        <w:bidi w:val="0"/>
        <w:spacing w:lineRule="auto" w:line="288" w:before="180" w:after="283"/>
        <w:ind w:left="0" w:right="0" w:hanging="360"/>
        <w:jc w:val="both"/>
        <w:rPr/>
      </w:pPr>
      <w:r>
        <w:rPr>
          <w:color w:val="000000"/>
        </w:rPr>
        <w:t>•</w:t>
      </w:r>
      <w:r>
        <w:rPr>
          <w:rFonts w:ascii="Times New Roman;sans-serif" w:hAnsi="Times New Roman;sans-serif"/>
          <w:b/>
          <w:i/>
          <w:color w:val="000000"/>
          <w:sz w:val="20"/>
        </w:rPr>
        <w:t>Compensation and Benefits.</w:t>
      </w:r>
      <w:r>
        <w:rPr>
          <w:color w:val="000000"/>
        </w:rPr>
        <w:t xml:space="preserve"> </w:t>
      </w:r>
      <w:r>
        <w:rPr>
          <w:rFonts w:ascii="Times New Roman;sans-serif" w:hAnsi="Times New Roman;sans-serif"/>
          <w:b w:val="false"/>
          <w:color w:val="000000"/>
          <w:sz w:val="20"/>
        </w:rPr>
        <w:t>We offer a comprehensive employee benefits package, including a 401(k) plan, medical, dental and vision insurance, disability insurance, life insurance, paid maternity/paternity leave for birth and foster/adoption placements, and access to an employee assistance program, including mental health and wellness support services. We also seek to provide differentiated benefits to our employees, such as our Portfolio Experience Benefit, which enables employees to experience our properties, and our charitable matching program administered through the Groundswell Charitable Giving platform. We continually evaluate existing benefits and explore new or expanded benefits to be responsive to employee feedback and seek to meaningfully enhance employee benefits.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i/>
          <w:color w:val="000000"/>
          <w:sz w:val="20"/>
        </w:rPr>
        <w:t xml:space="preserve">Education, Training and Development. </w:t>
      </w:r>
      <w:r>
        <w:rPr>
          <w:rFonts w:ascii="Times New Roman;sans-serif" w:hAnsi="Times New Roman;sans-serif"/>
          <w:b w:val="false"/>
          <w:color w:val="000000"/>
          <w:sz w:val="20"/>
        </w:rPr>
        <w:t xml:space="preserve">We invest in employee education, training and development by conducting regular training programs, including our VICI 101 program, to educate and advance our employees’ understanding of concepts relevant to our business, as well as periodic training opportunities with respect to issues such as compliance, diversity, equity and inclusion, and anti-harassment and other matters outlined in our Code of Business Conduct. We encourage our employees to pursue professional development through external education and certifications through a broadly applicable and flexible professional development reimbursement policy, and continually focus on enhancing our professional development and performance management processes to provide further development opportunities to our employees.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222885"/>
                <wp:effectExtent l="0" t="0" r="0" b="0"/>
                <wp:wrapNone/>
                <wp:docPr id="15" name="Frame1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60" w:after="283"/>
        <w:jc w:val="both"/>
        <w:rPr/>
      </w:pPr>
      <w:hyperlink w:anchor="ib2fc48f0ddf244d9844b8de22bde2e36_10">
        <w:r>
          <w:rPr>
            <w:rStyle w:val="InternetLink"/>
            <w:rFonts w:ascii="Times New Roman;sans-serif" w:hAnsi="Times New Roman;sans-serif"/>
            <w:b w:val="false"/>
            <w:color w:val="000080"/>
            <w:sz w:val="20"/>
            <w:u w:val="single"/>
          </w:rPr>
          <w:t>Table of Cont</w:t>
        </w:r>
      </w:hyperlink>
      <w:hyperlink w:anchor="ib2fc48f0ddf244d9844b8de22bde2e36_10">
        <w:r>
          <w:rPr>
            <w:rStyle w:val="InternetLink"/>
            <w:rFonts w:ascii="Times New Roman;sans-serif" w:hAnsi="Times New Roman;sans-serif"/>
            <w:b w:val="false"/>
            <w:color w:val="000080"/>
            <w:sz w:val="20"/>
            <w:u w:val="single"/>
          </w:rPr>
          <w:t>ents</w:t>
        </w:r>
      </w:hyperlink>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Governmental Regulation and Licensing</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ownership, operation and management of gaming and racing facilities are subject to pervasive regulation. Each of our gaming and racing facilities is subject to regulation under the laws, rules, and regulations of the jurisdiction in which it is located. Gaming laws and regulations generally require gaming industry participants to: ensure that unsuitable individuals and organizations have no role in gaming operations; establish and maintain responsible accounting practices and procedures; maintain effective controls over their financial practices, including establishment of minimum procedures for internal fiscal affairs and the safeguarding of assets and revenues; maintain systems for reliable record keeping; file periodic reports with gaming regulators; and ensure that contracts and financial transactions are commercially reasonable, reflect fair market value and are arm’s length transactions.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Gaming laws and regulations primarily impact our business in two respects: (1) our ownership and acquisition of land and buildings in which gaming activities are operated by our tenants; and (2) the operations of our tenants as operators in the gaming industry. Further, many gaming and racing regulatory agencies in the jurisdictions in which our tenants operate require us and our affiliates to apply for and maintain a finding of suitability or a license as a key business entity or supplier because of our status as landlord. If we, our subsidiaries or the tenants of our properties violate applicable gaming laws, our gaming licenses, or the tenants’ gaming licenses, could be limited, conditioned, suspended or revoked by gaming authorities, and we and any persons involved may face other disciplinary actions, including substantial fines, appointment of a supervisor or conservator to operate our gaming properties, or in some jurisdictions, take title to our gaming assets in the jurisdiction, and under certain circumstances, earnings generated during such appointment could be forfeited to the applicable jurisdictions. Violations of laws in one jurisdiction could result in disciplinary action in other jurisdictions. Finally, the loss or suspension of our gaming licenses could result in a material breach under certain of our leases or an event of default under certain of our indebtedness, including through cross-default provisions in our debt agreements. As a result, violations by us of applicable gaming laws could have a material effect on us.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various corporate actions and transactions must be reported to and, in some cases, approved by certain gaming authorities, including substantially all material loans, leases, sales of securities (including public offerings) and similar financing transactions, management or consulting agreements and changes in control through merger, consolidation, stock or asset acquisitions, or otherwise.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and the businesses of our tenants are also subject to various federal, state and local laws and regulations in addition to gaming regulations. These laws and regulations include, but are not limited to, restrictions and conditions concerning alcoholic beverages, environmental matters, labor and employees, anti-discrimination, health care, currency transactions, taxation, zoning and building codes and marketing and advertising. Such laws and regulations could change or could be interpreted differently in the future, or new laws and regulations could be enacted. Material changes, new laws or regulations, or material differences in interpretations by courts or governmental authorities could adversely affect our operating results.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Environmental Matters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properties are subject to environmental laws regulating, among other things, air emissions, wastewater discharges and the handling and disposal of wastes, including medical wastes, the utilization of above or underground storage tanks, or properties that include asbestos-containing building materials. Pursuant to federal, state and local environmental laws and regulations, a current or previous owner or operator of real property may be required to investigate, remove and/or remediate a release of hazardous substances or other regulated materials at, or emanating from, such property. Further, under certain circumstances, such owners or operators of real property may be held liable for property damage, personal injury and/or natural resource damage resulting from or arising in connection with such releases, including for damage that occurred prior to our ownership of a property or at a site where the current or previous operator of the property sent wastes for disposal. </w:t>
      </w:r>
    </w:p>
    <w:p>
      <w:pPr>
        <w:pStyle w:val="TextBody"/>
        <w:bidi w:val="0"/>
        <w:spacing w:lineRule="auto" w:line="288" w:before="180" w:after="283"/>
        <w:jc w:val="both"/>
        <w:rPr/>
      </w:pPr>
      <w:r>
        <w:rPr>
          <w:rFonts w:ascii="Times New Roman;sans-serif" w:hAnsi="Times New Roman;sans-serif"/>
          <w:b w:val="false"/>
          <w:color w:val="000000"/>
          <w:sz w:val="20"/>
        </w:rPr>
        <w:t xml:space="preserve">In connection with our real estate ownership, we could be legally responsible for environmental liabilities or costs relating to a release of hazardous substances or other regulated materials at or emanating from such property. The failure to properly remediate a property may also adversely affect our ability to lease, sell or rent the property or to borrow funds using the property as collateral. The lease agreements generally obligate our tenants to comply with applicable environmental laws and to indemnify us if their noncompliance results in losses or claims against us, and we expect that any future leases will include the same provisions for other operators. </w:t>
      </w:r>
      <w:r>
        <w:rPr>
          <w:rFonts w:ascii="Times New Roman;sans-serif" w:hAnsi="Times New Roman;sans-serif"/>
          <w:b w:val="false"/>
          <w:color w:val="000000"/>
          <w:sz w:val="20"/>
          <w:shd w:fill="FFFFFF" w:val="clear"/>
        </w:rPr>
        <w:t xml:space="preserve">A tenant’s failure to comply could result in fines and penalties or the requirement to undertake corrective actions, which may result in significant costs to the operator and thus adversely affect their ability to meet their obligations to us. </w:t>
      </w:r>
      <w:r>
        <w:rPr>
          <w:rFonts w:ascii="Times New Roman;sans-serif" w:hAnsi="Times New Roman;sans-serif"/>
          <w:b w:val="false"/>
          <w:color w:val="000000"/>
          <w:sz w:val="20"/>
        </w:rPr>
        <w:t>We are not aware of any environmental issues that are expected to have a material impact on the operations of any of our properties.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222885"/>
                <wp:effectExtent l="0" t="0" r="0" b="0"/>
                <wp:wrapNone/>
                <wp:docPr id="16" name="Frame1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60" w:after="283"/>
        <w:jc w:val="both"/>
        <w:rPr/>
      </w:pPr>
      <w:hyperlink w:anchor="ib2fc48f0ddf244d9844b8de22bde2e36_10">
        <w:r>
          <w:rPr>
            <w:rStyle w:val="InternetLink"/>
            <w:rFonts w:ascii="Times New Roman;sans-serif" w:hAnsi="Times New Roman;sans-serif"/>
            <w:b w:val="false"/>
            <w:color w:val="000080"/>
            <w:sz w:val="20"/>
            <w:u w:val="single"/>
          </w:rPr>
          <w:t>Table of Cont</w:t>
        </w:r>
      </w:hyperlink>
      <w:hyperlink w:anchor="ib2fc48f0ddf244d9844b8de22bde2e36_10">
        <w:r>
          <w:rPr>
            <w:rStyle w:val="InternetLink"/>
            <w:rFonts w:ascii="Times New Roman;sans-serif" w:hAnsi="Times New Roman;sans-serif"/>
            <w:b w:val="false"/>
            <w:color w:val="000080"/>
            <w:sz w:val="20"/>
            <w:u w:val="single"/>
          </w:rPr>
          <w:t>ents</w:t>
        </w:r>
      </w:hyperlink>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 xml:space="preserve">Sustainability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continue to focus on developing our efforts related to implementing and reporting on environmental sustainability efforts at our properties, including our corporate headquarters, our Golf Courses (operated by CDN Golf) and our triple-net leased portfolio. We are committed to the improvement of environmental conditions through our business activities within the scope of our capabilities, and we periodically engage with key stakeholders with regard to environmental sustainability priorities, among other things, including through a stakeholder materiality assessment performed in 2023.</w:t>
      </w:r>
    </w:p>
    <w:p>
      <w:pPr>
        <w:pStyle w:val="TextBody"/>
        <w:bidi w:val="0"/>
        <w:spacing w:lineRule="auto" w:line="288" w:before="180" w:after="283"/>
        <w:ind w:left="0" w:right="0" w:hanging="360"/>
        <w:jc w:val="both"/>
        <w:rPr/>
      </w:pPr>
      <w:r>
        <w:rPr>
          <w:color w:val="000000"/>
        </w:rPr>
        <w:t>•</w:t>
      </w:r>
      <w:r>
        <w:rPr>
          <w:rFonts w:ascii="Times New Roman;sans-serif" w:hAnsi="Times New Roman;sans-serif"/>
          <w:b/>
          <w:i/>
          <w:color w:val="000000"/>
          <w:sz w:val="20"/>
        </w:rPr>
        <w:t>Governance and Strategy</w:t>
      </w:r>
      <w:r>
        <w:rPr>
          <w:rFonts w:ascii="Times New Roman;sans-serif" w:hAnsi="Times New Roman;sans-serif"/>
          <w:b/>
          <w:color w:val="000000"/>
          <w:sz w:val="20"/>
        </w:rPr>
        <w:t>.</w:t>
      </w:r>
      <w:r>
        <w:rPr>
          <w:color w:val="000000"/>
        </w:rPr>
        <w:t xml:space="preserve"> </w:t>
      </w:r>
      <w:r>
        <w:rPr>
          <w:rFonts w:ascii="Times New Roman;sans-serif" w:hAnsi="Times New Roman;sans-serif"/>
          <w:b w:val="false"/>
          <w:color w:val="000000"/>
          <w:sz w:val="20"/>
        </w:rPr>
        <w:t>Our ESG Committee, comprised of employees across multiple functional areas and professional levels, including our Chief Financial Officer and General Counsel, leads our environmental sustainability initiatives (including with respect to climate change). Management retains ultimate responsibility over our environmental sustainability initiatives, engages with the ESG Committee and reports to the Nominating and Governance Committee of our Board of Directors on a quarterly basis, and more frequently as necessary, with respect to environmental sustainability matters. Additionally, in January 2023, we engaged a strategic ESG consultant to advise us on our continued enhancement of, among other things, our sustainability performance, our tenant and stakeholder engagement initiatives, and our related reporting (including pursuant to external disclosure frameworks and standards). As a result of such engagement, we have outlined an internal multi-year strategic roadmap for the development and implementation of additional initiatives across a broad range of ESG topics, including sustainability initiatives at our golf courses, expanded tenant engagement efforts, participation in additional evaluation and scoring frameworks, and the development of internal processes to support and facilitate these initiatives.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i/>
          <w:color w:val="000000"/>
          <w:sz w:val="20"/>
        </w:rPr>
        <w:t>Golf Courses.</w:t>
      </w:r>
      <w:r>
        <w:rPr>
          <w:color w:val="000000"/>
        </w:rPr>
        <w:t xml:space="preserve"> </w:t>
      </w:r>
      <w:r>
        <w:rPr>
          <w:rFonts w:ascii="Times New Roman;sans-serif" w:hAnsi="Times New Roman;sans-serif"/>
          <w:b w:val="false"/>
          <w:color w:val="000000"/>
          <w:sz w:val="20"/>
        </w:rPr>
        <w:t xml:space="preserve">We have implemented recording and reporting protocols through a third-party service provider to facilitate the monitoring of utility data in order to more fully understand the environmental impact of our operations, key drivers and trends with respect to utility usage at each of our courses and identify opportunities to improve sustainability performance. Pursuant to our management agreement with CDN Golf with respect to the Golf Courses, we work in partnership with CDN Golf to continue to implement sustainability initiatives at the Golf Courses and reduce their environmental impact. </w:t>
      </w:r>
    </w:p>
    <w:p>
      <w:pPr>
        <w:pStyle w:val="TextBody"/>
        <w:bidi w:val="0"/>
        <w:spacing w:lineRule="auto" w:line="288" w:before="180" w:after="283"/>
        <w:ind w:left="0" w:right="0" w:hanging="360"/>
        <w:jc w:val="both"/>
        <w:rPr/>
      </w:pPr>
      <w:r>
        <w:rPr>
          <w:color w:val="000000"/>
        </w:rPr>
        <w:t>•</w:t>
      </w:r>
      <w:r>
        <w:rPr>
          <w:rFonts w:ascii="Times New Roman;sans-serif" w:hAnsi="Times New Roman;sans-serif"/>
          <w:b/>
          <w:i/>
          <w:color w:val="000000"/>
          <w:sz w:val="20"/>
        </w:rPr>
        <w:t>Triple-Net Portfolio.</w:t>
      </w:r>
      <w:r>
        <w:rPr>
          <w:color w:val="000000"/>
        </w:rPr>
        <w:t xml:space="preserve"> </w:t>
      </w:r>
      <w:r>
        <w:rPr>
          <w:rFonts w:ascii="Times New Roman;sans-serif" w:hAnsi="Times New Roman;sans-serif"/>
          <w:b w:val="false"/>
          <w:color w:val="000000"/>
          <w:sz w:val="20"/>
        </w:rPr>
        <w:t xml:space="preserve">We continue to pursue tenant engagement initiatives designed to assist us in understanding the environmental impact of our leased properties, collecting environmental sustainability data in order to monitor sustainability metrics throughout our leased property portfolio, and encouraging our tenants to pursue sustainability initiatives in their operations at our leased properties. Our existing leased properties are leased pursuant to long-term triple-net leases, which provide our tenants with complete control over operations at our leased properties, including the implementation of environmental sustainability initiatives consistent with their business strategies and revenue objectives, and generally do not permit us to require the collection or reporting of environmental sustainability data (subject to relevant “green lease” provisions in certain of our more recent leases and lease amendments). Certain of our tenants report to us on, among other things, LEED certification, water, energy and fuel use, greenhouse gas emissions and waste generation and diversion. </w:t>
      </w:r>
    </w:p>
    <w:p>
      <w:pPr>
        <w:pStyle w:val="TextBody"/>
        <w:bidi w:val="0"/>
        <w:spacing w:lineRule="auto" w:line="288" w:before="180" w:after="283"/>
        <w:ind w:left="0" w:right="0" w:hanging="360"/>
        <w:jc w:val="both"/>
        <w:rPr/>
      </w:pPr>
      <w:r>
        <w:rPr>
          <w:color w:val="000000"/>
        </w:rPr>
        <w:t>•</w:t>
      </w:r>
      <w:r>
        <w:rPr>
          <w:rFonts w:ascii="Times New Roman;sans-serif" w:hAnsi="Times New Roman;sans-serif"/>
          <w:b/>
          <w:i/>
          <w:color w:val="000000"/>
          <w:sz w:val="20"/>
        </w:rPr>
        <w:t>Climate Change.</w:t>
      </w:r>
      <w:r>
        <w:rPr>
          <w:color w:val="000000"/>
        </w:rPr>
        <w:t xml:space="preserve"> </w:t>
      </w:r>
      <w:r>
        <w:rPr>
          <w:rFonts w:ascii="Times New Roman;sans-serif" w:hAnsi="Times New Roman;sans-serif"/>
          <w:b w:val="false"/>
          <w:color w:val="000000"/>
          <w:sz w:val="20"/>
        </w:rPr>
        <w:t xml:space="preserve">In 2022, we engaged an environmental consultant to evaluate climate change-related risks at each property and across our portfolio to facilitate disclosure in alignment with the Task Force on Climate-Related Financial Disclosures (TCFD) guidelines, and incorporated climate change-related risk into our enterprise risk management framework. In partnership with CDN Golf and with the assistance of our consultants and advisors, we expect that our performance assessment and the ongoing expansion of our monitoring and reporting functions will inform our ability to set meaningful performance and improvement targets with respect to the environmental impact of our operations in future years. Certain of our tenants at our leased properties, including Caesars and MGM, have also independently set sustainability-related targets with respect to their overall business and portfolio, which include our leased properties. </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Investment Policies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investment objectives are to increase cash flow from operations, achieve sustainable long-term growth and maximize stockholder value to allow for stable dividends and stock appreciation. We have not established a specific policy regarding the relative priority of these investment objectives. Our future investment activities will not be limited to any geographic area or to a specific percentage of our assets. We intend to engage in such future investment activities in a manner that is consistent with our qualification as a REIT for U.S. federal income tax purposes.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222885"/>
                <wp:effectExtent l="0" t="0" r="0" b="0"/>
                <wp:wrapNone/>
                <wp:docPr id="17" name="Frame1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60" w:after="283"/>
        <w:jc w:val="both"/>
        <w:rPr/>
      </w:pPr>
      <w:hyperlink w:anchor="ib2fc48f0ddf244d9844b8de22bde2e36_10">
        <w:r>
          <w:rPr>
            <w:rStyle w:val="InternetLink"/>
            <w:rFonts w:ascii="Times New Roman;sans-serif" w:hAnsi="Times New Roman;sans-serif"/>
            <w:b w:val="false"/>
            <w:color w:val="000080"/>
            <w:sz w:val="20"/>
            <w:u w:val="single"/>
          </w:rPr>
          <w:t>Table of Cont</w:t>
        </w:r>
      </w:hyperlink>
      <w:hyperlink w:anchor="ib2fc48f0ddf244d9844b8de22bde2e36_10">
        <w:r>
          <w:rPr>
            <w:rStyle w:val="InternetLink"/>
            <w:rFonts w:ascii="Times New Roman;sans-serif" w:hAnsi="Times New Roman;sans-serif"/>
            <w:b w:val="false"/>
            <w:color w:val="000080"/>
            <w:sz w:val="20"/>
            <w:u w:val="single"/>
          </w:rPr>
          <w:t>ents</w:t>
        </w:r>
      </w:hyperlink>
    </w:p>
    <w:p>
      <w:pPr>
        <w:pStyle w:val="TextBody"/>
        <w:bidi w:val="0"/>
        <w:spacing w:lineRule="auto" w:line="288" w:before="180" w:after="283"/>
        <w:ind w:left="0" w:right="0" w:hanging="360"/>
        <w:jc w:val="both"/>
        <w:rPr/>
      </w:pPr>
      <w:r>
        <w:rPr>
          <w:color w:val="000000"/>
        </w:rPr>
        <w:t>•</w:t>
      </w:r>
      <w:r>
        <w:rPr>
          <w:rFonts w:ascii="Times New Roman;sans-serif" w:hAnsi="Times New Roman;sans-serif"/>
          <w:b/>
          <w:i/>
          <w:color w:val="000000"/>
          <w:sz w:val="20"/>
        </w:rPr>
        <w:t xml:space="preserve">Investment in Real Estate or Interests in Real Estate. </w:t>
      </w:r>
      <w:r>
        <w:rPr>
          <w:rFonts w:ascii="Times New Roman;sans-serif" w:hAnsi="Times New Roman;sans-serif"/>
          <w:b w:val="false"/>
          <w:color w:val="000000"/>
          <w:sz w:val="20"/>
        </w:rPr>
        <w:t>Our business is focused primarily on gaming, hospitality, entertainment and leisure sector properties and activities directly related thereto, which we refer to as “experiential assets”. We believe there are significant, ongoing opportunities to acquire or invest in additional gaming, hospitality, entertainment and leisure assets, both domestically and internationally. We do not have a specific policy to acquire assets primarily for capital gain or primarily for income. In addition, we may purchase or lease income-producing commercial and other types of properties for long-term investment, expand and improve the properties we presently own or other acquired properties, or sell such properties, in whole or in part, when circumstances warrant.</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may participate with third parties in property ownership, through joint ventures or other types of co-ownership, and we may engage in such activities in the future if we determine that doing so would be the most effective means of owning or acquiring properties. We do not expect, however, to enter into a joint venture or other partnership arrangement to make an investment that would not otherwise meet our investment policies. We also may acquire real estate or interests in real estate in exchange for the issuance of common stock, preferred stock or options to purchase stock or interests in our subsidiaries, including VICI OP. We may also pursue opportunities to provide mortgage or mezzanine financing, preferred equity investments or other forms of financing for investment in certain situations where such structure provides for strategic growth opportunities and/or partnerships, and may provide the potential to convert our investment into the ownership of the underlying real estate in a future period.</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Equity investments in acquired properties may be subject to existing mortgage financing and other indebtedness or to new indebtedness which may be incurred in connection with acquiring or refinancing these investments. Principal and interest on our debt will have a priority over any dividends with respect to our common stock. Investments are also subject to our policy not to be required to register as an investment company under the Investment Company Act of 1940, as amended.</w:t>
      </w:r>
    </w:p>
    <w:p>
      <w:pPr>
        <w:pStyle w:val="TextBody"/>
        <w:bidi w:val="0"/>
        <w:spacing w:lineRule="auto" w:line="288" w:before="180" w:after="283"/>
        <w:ind w:left="0" w:right="0" w:hanging="360"/>
        <w:jc w:val="both"/>
        <w:rPr/>
      </w:pPr>
      <w:r>
        <w:rPr>
          <w:color w:val="000000"/>
        </w:rPr>
        <w:t>•</w:t>
      </w:r>
      <w:r>
        <w:rPr>
          <w:rFonts w:ascii="Times New Roman;sans-serif" w:hAnsi="Times New Roman;sans-serif"/>
          <w:b/>
          <w:i/>
          <w:color w:val="000000"/>
          <w:sz w:val="20"/>
        </w:rPr>
        <w:t xml:space="preserve">Investments in Real Estate Debt. </w:t>
      </w:r>
      <w:r>
        <w:rPr>
          <w:rFonts w:ascii="Times New Roman;sans-serif" w:hAnsi="Times New Roman;sans-serif"/>
          <w:b w:val="false"/>
          <w:color w:val="000000"/>
          <w:sz w:val="20"/>
        </w:rPr>
        <w:t>We have made, and may continue to make, investments in mortgages or other forms of real estate-related debt, including, without limitation, traditional mortgages, participating or convertible mortgages, mezzanine loans or preferred equity investments; provided, in each case, that such investment is consistent with our qualification as a REIT. These investments are generally made for strategic purposes including (i) the potential to convert our investment into the ownership of the underlying real estate in a future period, (ii) the opportunity to develop relationships with owners and operators that may lead to other investments and (iii) the ability to make initial investments in experiential asset classes outside of gaming with the goal of increasing our investment activity in these asset classes over time. Investments in real estate-related debt are subject to various risks, including the risk that a borrower may default under certain provisions governing the debt investment and that the collateral securing the investment may not be sufficient to enable us to recover our full investment.</w:t>
      </w:r>
    </w:p>
    <w:p>
      <w:pPr>
        <w:pStyle w:val="TextBody"/>
        <w:bidi w:val="0"/>
        <w:spacing w:lineRule="auto" w:line="288" w:before="180" w:after="283"/>
        <w:ind w:left="0" w:right="0" w:hanging="360"/>
        <w:jc w:val="both"/>
        <w:rPr/>
      </w:pPr>
      <w:r>
        <w:rPr>
          <w:color w:val="000000"/>
        </w:rPr>
        <w:t>•</w:t>
      </w:r>
      <w:r>
        <w:rPr>
          <w:rFonts w:ascii="Times New Roman;sans-serif" w:hAnsi="Times New Roman;sans-serif"/>
          <w:b/>
          <w:i/>
          <w:color w:val="000000"/>
          <w:sz w:val="20"/>
        </w:rPr>
        <w:t xml:space="preserve">Securities of or Interests in Persons Primarily Engaged in Real Estate Activities and Other Issuers. </w:t>
      </w:r>
      <w:r>
        <w:rPr>
          <w:rFonts w:ascii="Times New Roman;sans-serif" w:hAnsi="Times New Roman;sans-serif"/>
          <w:b w:val="false"/>
          <w:color w:val="000000"/>
          <w:sz w:val="20"/>
        </w:rPr>
        <w:t>We may invest in securities of other REITs, other entities engaged in real estate activities or securities of other issuers, including for the purpose of exercising control over such entities, subject to the asset tests and gross income tests necessary for our qualification as a REIT. We do not currently have any policy limiting the types of entities in which we may invest or the proportion of assets to be so invested, whether through acquisition of an entity’s common stock, limited liability or partnership interests, interests in another REIT or entry into a joint venture. We have no current plans to make additional investments in entities that are not engaged in real estate activities. Our investment objectives are to maximize the cash flow of our investments, acquire investments with growth potential and provide cash distributions and long-term capital appreciation to our stockholders through increases in the value of our company. We have not established a specific policy regarding the relative priority of these investment objectives.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i/>
          <w:color w:val="000000"/>
          <w:sz w:val="20"/>
        </w:rPr>
        <w:t xml:space="preserve">Investments in Short-term Commercial Paper and Discount Notes. </w:t>
      </w:r>
      <w:r>
        <w:rPr>
          <w:rFonts w:ascii="Times New Roman;sans-serif" w:hAnsi="Times New Roman;sans-serif"/>
          <w:b w:val="false"/>
          <w:color w:val="000000"/>
          <w:sz w:val="20"/>
        </w:rPr>
        <w:t xml:space="preserve">We may invest our excess cash in short-term investment grade commercial paper as well as discount notes issued by government-sponsored enterprises, including the Federal Home Loan Mortgage Corporation and certain of the Federal Home Loan Banks. These investments generally have original maturities of up to 180 days.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Financing Policies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expect to employ leverage in our capital structure in amounts that we determine appropriate from time to time. Our Board of Directors has not adopted a policy that limits the total amount of indebtedness that we may incur, but will consider a number of factors in evaluating our level of indebtedness from time to time, as well as the amount of such indebtedness that will be either fixed or variable rate. We are, however, and expect to continue to be, subject to certain indebtedness limitations pursuant to the restrictive covenants of our outstanding indebtedness. We may from time to time modify our debt policy in light of then-current economic conditions, relative availability and costs of debt and equity capital, market values of our properties, general market conditions for debt and equity securities, fluctuations in the market price of our shares of common stock, growth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222885"/>
                <wp:effectExtent l="0" t="0" r="0" b="0"/>
                <wp:wrapNone/>
                <wp:docPr id="18" name="Frame1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60" w:after="283"/>
        <w:jc w:val="both"/>
        <w:rPr/>
      </w:pPr>
      <w:hyperlink w:anchor="ib2fc48f0ddf244d9844b8de22bde2e36_10">
        <w:r>
          <w:rPr>
            <w:rStyle w:val="InternetLink"/>
            <w:rFonts w:ascii="Times New Roman;sans-serif" w:hAnsi="Times New Roman;sans-serif"/>
            <w:b w:val="false"/>
            <w:color w:val="000080"/>
            <w:sz w:val="20"/>
            <w:u w:val="single"/>
          </w:rPr>
          <w:t>Table of Cont</w:t>
        </w:r>
      </w:hyperlink>
      <w:hyperlink w:anchor="ib2fc48f0ddf244d9844b8de22bde2e36_10">
        <w:r>
          <w:rPr>
            <w:rStyle w:val="InternetLink"/>
            <w:rFonts w:ascii="Times New Roman;sans-serif" w:hAnsi="Times New Roman;sans-serif"/>
            <w:b w:val="false"/>
            <w:color w:val="000080"/>
            <w:sz w:val="20"/>
            <w:u w:val="single"/>
          </w:rPr>
          <w:t>ents</w:t>
        </w:r>
      </w:hyperlink>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acquisition opportunities and other factors. If these limits are relaxed, we could potentially become more highly leveraged, resulting in an increased risk of default on our obligations and a related increase in debt service requirements that could adversely affect our financial condition, liquidity and results of operations and our ability to make distributions to our stockholders. To the extent that our Board of Directors or management determines that it is necessary to raise additional capital, we may, without stockholder approval, borrow money under the VICI LP unsecured revolving credit facility (“Revolving Credit Facility”), issue debt or equity securities, including securities senior to our shares, retain earnings (subject to the REIT distribution requirements for U.S. federal income tax purposes), assume indebtedness, obtain mortgage financing on a portion of our owned properties, engage in a joint venture, or employ a combination of these methods.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Intellectual Property</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Most of the properties within our portfolio are currently operated and promoted under trademarks and brand names not owned by us. In addition, properties that we may acquire in the future may be operated and promoted under these same trademarks and brand names, or under different trademarks and brand names we do not, or will not, own. During the term that our properties are managed by our tenants, we are reliant on them to maintain and protect the trademarks, brand names and other licensed intellectual property used in the operation or promotion of the leased properties. Operation of the leased properties, as well as our business and financial condition, could be adversely impacted by infringement, invalidation, unauthorized use or litigation affecting any such intellectual property. In addition, if any of our properties are rebranded, it could have a material adverse effect on us, as we may not enjoy comparable recognition or status under a different brand.</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Corporate Information</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were initially organized as a limited liability company in the State of Delaware on July 5, 2016 as a wholly owned subsidiary of CEOC. On May 5, 2017, we subsequently converted to a corporation under the laws of the State of Maryland and issued shares of common stock to CEOC as part of our formation transactions, which shares were subsequently transferred by CEOC to our initial stockholders.</w:t>
      </w:r>
    </w:p>
    <w:p>
      <w:pPr>
        <w:pStyle w:val="TextBody"/>
        <w:bidi w:val="0"/>
        <w:spacing w:lineRule="auto" w:line="288" w:before="18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principal executive offices are located at 535 Madison Avenue, 20th Floor, New York, New York 10022 and our main telephone number at that location is (646) 949-4631. Our website address is www.viciproperties.com. None of the information on, or accessible through, our website or any other website identified herein is incorporated in, or constitutes a part of, this Annual Report on Form 10-K. Our electronic filings with the SEC (including annual reports on Form 10-K, quarterly reports on Form 10-Q, and current reports on Form 8-K, and any amendments to these reports), including the exhibits, are available free of charge through our website as soon as reasonably practicable after we electronically file them with or furnish them to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222885"/>
                <wp:effectExtent l="0" t="0" r="0" b="0"/>
                <wp:wrapNone/>
                <wp:docPr id="19" name="Frame1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60" w:after="283"/>
        <w:jc w:val="both"/>
        <w:rPr/>
      </w:pPr>
      <w:hyperlink w:anchor="ib2fc48f0ddf244d9844b8de22bde2e36_10">
        <w:r>
          <w:rPr>
            <w:rStyle w:val="InternetLink"/>
            <w:rFonts w:ascii="Times New Roman;sans-serif" w:hAnsi="Times New Roman;sans-serif"/>
            <w:b w:val="false"/>
            <w:color w:val="000080"/>
            <w:sz w:val="20"/>
            <w:u w:val="single"/>
          </w:rPr>
          <w:t>Table of Cont</w:t>
        </w:r>
      </w:hyperlink>
      <w:hyperlink w:anchor="ib2fc48f0ddf244d9844b8de22bde2e36_10">
        <w:r>
          <w:rPr>
            <w:rStyle w:val="InternetLink"/>
            <w:rFonts w:ascii="Times New Roman;sans-serif" w:hAnsi="Times New Roman;sans-serif"/>
            <w:b w:val="false"/>
            <w:color w:val="000080"/>
            <w:sz w:val="20"/>
            <w:u w:val="single"/>
          </w:rPr>
          <w:t>ents</w:t>
        </w:r>
      </w:hyperlink>
    </w:p>
    <w:p>
      <w:pPr>
        <w:pStyle w:val="TextBody"/>
        <w:bidi w:val="0"/>
        <w:spacing w:lineRule="auto" w:line="288" w:before="180" w:after="60"/>
        <w:jc w:val="center"/>
        <w:rPr>
          <w:rFonts w:ascii="Times New Roman;sans-serif" w:hAnsi="Times New Roman;sans-serif"/>
          <w:b/>
          <w:color w:val="000000"/>
          <w:sz w:val="20"/>
        </w:rPr>
      </w:pPr>
      <w:r>
        <w:rPr>
          <w:rFonts w:ascii="Times New Roman;sans-serif" w:hAnsi="Times New Roman;sans-serif"/>
          <w:b/>
          <w:color w:val="000000"/>
          <w:sz w:val="20"/>
        </w:rPr>
        <w:t>CAUTIONARY NOTE REGARDING FORWARD-LOOKING STATEMENTS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Certain statements in this Annual Report on Form 10-K, including statements such as “anticipate,” “believe,” “estimate,” “expect,” “intend,” “plan,” “project,” “target,” “can,” “could,” “may,” “should,” “will,” “would” or similar expressions, constitute “forward-looking statements” within the meaning of the federal securities law. Forward-looking statements are based on our current plans, expectations and projections about future events. We therefore caution you against relying on any of these forward-looking statements. They give our expectations about the future and are not guarantees. These statements involve known and unknown risks, uncertainties and other factors that may cause our actual results, performance and achievements to materially differ from any future results, performance and achievements expressed in or implied by such forward-looking statements.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forward-looking statements included herein are based upon our current expectations, plans, estimates, assumptions and beliefs that involve numerous risks and uncertainties. Assumptions relating to the foregoing involve judgments with respect to, among other things, future economic, competitive and market conditions and future business decisions, all of which are difficult or impossible to predict accurately and many of which are beyond our control. Although we believe that the expectations reflected in such forward-looking statements are based on reasonable assumptions, our actual results, performance and achievements could differ materially from those set forth in the forward-looking statements and may be affected by a variety of risks and other factors, including, among others: </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the impact of changes in general economic conditions and market developments, including inflation, interest rates, supply chain disruptions, consumer confidence levels, changes in consumer spending, unemployment levels and depressed real estate prices resulting from the severity and duration of any downturn in the U.S. or global economy;</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the impact of increased interest rates on us, including our ability to successfully pursue investments in, and acquisitions of, additional properties and to obtain debt financing for such investments at attractive interest rates, or at all;</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risks associated with our pending and recently closed transactions, including our ability or failure to realize the anticipated benefits thereof;</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our dependence on our tenants at our properties and their affiliates that serve as guarantors of the lease payments, and the negative consequences any material adverse effect on their respective businesses could have on us;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the possibility that our pending and any future transactions may not be consummated on the terms or timeframes contemplated, or at all, including our ability to obtain the financing necessary to complete any acquisitions on the terms we expect in a timely manner, or at all, the ability of the parties to satisfy the conditions set forth in the definitive transaction documents, including the receipt of, or delays in obtaining, governmental and regulatory approvals and consents required to consummate the pending transactions, or other delays or impediments to completing the transactions;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the anticipated benefits of certain arrangements with certain tenants in connection with our Partner Property Growth Fund;</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our ability to exercise our purchase rights under our put-call agreements, call agreements, right of first refusal agreements and right of first offer agreements;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our borrowers’ ability to repay their outstanding loan obligations to us;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our dependence on the gaming industry;</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our ability to pursue our business and growth strategies may be limited by the requirement that we distribute 90% of our REIT taxable income in order to qualify for taxation as a REIT and that we distribute 100% of our REIT taxable income in order to avoid current entity-level U.S. federal income taxes;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the impact of extensive regulation from gaming and other regulatory authorities;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the ability of our tenants to obtain and maintain regulatory approvals in connection with the operation of our properties, or the imposition of conditions to such regulatory approvals;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the possibility that our tenants may choose not to renew their respective lease agreements following the initial or subsequent terms of the leases;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restrictions on our ability to sell our properties subject to the lease agreements;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our tenants and any guarantors’ historical results may not be a reliable indicator of their future results;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our substantial amount of indebtedness, and ability to service, refinance and otherwise fulfill our obligations under such indebtedness;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our historical financial information may not be reliable indicators of, our future results of operations, financial condition and cash flows;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222885"/>
                <wp:effectExtent l="0" t="0" r="0" b="0"/>
                <wp:wrapNone/>
                <wp:docPr id="20" name="Frame1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60" w:after="283"/>
        <w:jc w:val="both"/>
        <w:rPr/>
      </w:pPr>
      <w:hyperlink w:anchor="ib2fc48f0ddf244d9844b8de22bde2e36_10">
        <w:r>
          <w:rPr>
            <w:rStyle w:val="InternetLink"/>
            <w:rFonts w:ascii="Times New Roman;sans-serif" w:hAnsi="Times New Roman;sans-serif"/>
            <w:b w:val="false"/>
            <w:color w:val="000080"/>
            <w:sz w:val="20"/>
            <w:u w:val="single"/>
          </w:rPr>
          <w:t>Table of Cont</w:t>
        </w:r>
      </w:hyperlink>
      <w:hyperlink w:anchor="ib2fc48f0ddf244d9844b8de22bde2e36_10">
        <w:r>
          <w:rPr>
            <w:rStyle w:val="InternetLink"/>
            <w:rFonts w:ascii="Times New Roman;sans-serif" w:hAnsi="Times New Roman;sans-serif"/>
            <w:b w:val="false"/>
            <w:color w:val="000080"/>
            <w:sz w:val="20"/>
            <w:u w:val="single"/>
          </w:rPr>
          <w:t>ents</w:t>
        </w:r>
      </w:hyperlink>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our inability to successfully pursue investments in, and acquisitions of, additional properties;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the possibility that we identify significant environmental, tax, legal or other issues, including additional costs or liabilities, that materially and adversely impact the value of assets acquired or secured as collateral (or other benefits we expect to receive) in any of our pending or recently completed transactions;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the impact of changes to the U.S. federal income tax laws;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the possibility of adverse tax consequences as a result of our pending or recently completed transactions, including tax protection agreements to which we are a party;</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increased volatility in our stock price, including as a result of our pending or recently completed transactions;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our inability to maintain our qualification for taxation as a REIT;</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the impact of climate change, natural disasters, war, political and public health conditions or uncertainty or civil unrest, violence or terrorist activities or threats on our properties and changes in economic conditions or heightened travel security and health measures instituted in response to these events;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the loss of the services of key personnel;</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the inability to attract, retain and motivate employees;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the costs and liabilities associated with environmental compliance;</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failure to establish and maintain an effective system of integrated internal controls;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our reliance on distributions received from our subsidiaries, including VICI OP, to make distributions to our stockholders;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the potential impact on the amount of our cash distributions if we were to sell any of our properties in the future;</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our ability to continue to make distributions to holders of our common stock or maintain anticipated levels of distributions over time;</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competition for transaction opportunities, including from other REITs, investment companies, private equity firms and hedge funds, sovereign funds, lenders, gaming companies and other investors that may have greater resources and access to capital and a lower cost of capital or different investment parameters than us; and</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additional factors discussed herein and listed from time to time as “Risk Factors” in our filings with the SEC, including without limitation, in our subsequent reports on Form 10-K, Form 10-Q and Form 8-K.</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Any of the assumptions underlying forward-looking statements could be inaccurate. You are cautioned not to place undue reliance on any forward-looking statements. All forward-looking statements are made as of the date of this Annual Report on Form 10-K and the risk that actual results, performance and achievements will differ materially from the expectations expressed herein will increase with the passage of time. Except as otherwise required by the federal securities laws, we undertake no obligation to publicly update or revise any forward-looking statements, whether as a result of new information, future events, changed circumstances or any other reason. In light of the significant uncertainties inherent in forward-looking statements, the inclusion of such forward-looking statements should not be regarded as a representation by 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222885"/>
                <wp:effectExtent l="0" t="0" r="0" b="0"/>
                <wp:wrapNone/>
                <wp:docPr id="21" name="Frame2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60" w:after="283"/>
        <w:jc w:val="both"/>
        <w:rPr/>
      </w:pPr>
      <w:hyperlink w:anchor="ib2fc48f0ddf244d9844b8de22bde2e36_10">
        <w:r>
          <w:rPr>
            <w:rStyle w:val="InternetLink"/>
            <w:rFonts w:ascii="Times New Roman;sans-serif" w:hAnsi="Times New Roman;sans-serif"/>
            <w:b w:val="false"/>
            <w:color w:val="000080"/>
            <w:sz w:val="20"/>
            <w:u w:val="single"/>
          </w:rPr>
          <w:t>Table of Cont</w:t>
        </w:r>
      </w:hyperlink>
      <w:hyperlink w:anchor="ib2fc48f0ddf244d9844b8de22bde2e36_10">
        <w:r>
          <w:rPr>
            <w:rStyle w:val="InternetLink"/>
            <w:rFonts w:ascii="Times New Roman;sans-serif" w:hAnsi="Times New Roman;sans-serif"/>
            <w:b w:val="false"/>
            <w:color w:val="000080"/>
            <w:sz w:val="20"/>
            <w:u w:val="single"/>
          </w:rPr>
          <w:t>ents</w:t>
        </w:r>
      </w:hyperlink>
    </w:p>
    <w:tbl>
      <w:tblPr>
        <w:tblW w:w="2623" w:type="dxa"/>
        <w:jc w:val="center"/>
        <w:tblInd w:w="0" w:type="dxa"/>
        <w:tblLayout w:type="fixed"/>
        <w:tblCellMar>
          <w:top w:w="28" w:type="dxa"/>
          <w:left w:w="28" w:type="dxa"/>
          <w:bottom w:w="28" w:type="dxa"/>
          <w:right w:w="28" w:type="dxa"/>
        </w:tblCellMar>
      </w:tblPr>
      <w:tblGrid>
        <w:gridCol w:w="428"/>
        <w:gridCol w:w="377"/>
        <w:gridCol w:w="379"/>
        <w:gridCol w:w="421"/>
        <w:gridCol w:w="421"/>
        <w:gridCol w:w="597"/>
      </w:tblGrid>
      <w:tr>
        <w:trPr/>
        <w:tc>
          <w:tcPr>
            <w:tcW w:w="428"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r>
      <w:tr>
        <w:trPr/>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ITEM 1A.</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Risk Factors</w:t>
            </w:r>
          </w:p>
        </w:tc>
      </w:tr>
    </w:tbl>
    <w:p>
      <w:pPr>
        <w:pStyle w:val="TextBody"/>
        <w:bidi w:val="0"/>
        <w:spacing w:lineRule="auto" w:line="288" w:before="180" w:after="283"/>
        <w:jc w:val="both"/>
        <w:rPr/>
      </w:pPr>
      <w:r>
        <w:rPr>
          <w:rFonts w:ascii="Times New Roman;sans-serif" w:hAnsi="Times New Roman;sans-serif"/>
          <w:b w:val="false"/>
          <w:i/>
          <w:color w:val="231F20"/>
          <w:sz w:val="20"/>
        </w:rPr>
        <w:t>You should</w:t>
      </w:r>
      <w:r>
        <w:rPr>
          <w:color w:val="000000"/>
        </w:rPr>
        <w:t xml:space="preserve"> </w:t>
      </w:r>
      <w:r>
        <w:rPr>
          <w:rFonts w:ascii="Times New Roman;sans-serif" w:hAnsi="Times New Roman;sans-serif"/>
          <w:b w:val="false"/>
          <w:i/>
          <w:color w:val="000000"/>
          <w:sz w:val="20"/>
        </w:rPr>
        <w:t>be aware that the occurrence of any of the events described in this section and elsewhere in this report or in any other of our filings with the SEC could have a material adverse effect on our business, financial position, liquidity, results of operations and cash flows. In evaluating us, you should consider carefully, among other things, the risks described below. The risks and uncertainties described below are not the only ones we face, but do represent those risks and uncertainties that we believe are material to us. Additional risks and uncertainties not presently known to us or that, as of the date of this Annual Report on Form 10-K, we deem immaterial may also harm our business. Some statements included in this Annual Report on Form 10-K, including statements in the following risk factors, constitute forward-looking statements. Please refer to the section entitled “Cautionary Note Regarding Forward-Looking Statements.”</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Risks Related to Our Business and Operations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We are and expect to continue to be significantly dependent on our tenants for substantially all of our revenues and, because our tenants are required to pay a significant portion of their cash flow from operations to us pursuant to, and subject to the terms and conditions of, our respective lease agreements and other agreements with them, an event that has a material adverse effect on any of our significant tenants could have a material adverse effect on us.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depend on our tenants to operate the properties that we own in a manner that generates revenues sufficient to allow the tenants to meet their obligations to us. Our two largest tenants, Caesars and MGM, comprise approximately 76% of our total leasing revenues for the year ended December 31, 2023. In addition, Caesars and MGM are obligated to pay us approximately $1.2 billion and $1.1 billion, respectively, in estimated annual payments for 2024 under our respective agreements with them. Because our leases are triple-net leases, in addition to the rent payment obligations for these tenants, we depend on these tenants to pay substantially all insurance, taxes, utilities and maintenance and repair expenses in connection with these leased properties and to indemnify, defend and hold us harmless from and against various claims, litigation and liabilities arising in connection with their businesses. There can be no assurance that our significant tenants will have sufficient assets, income or access to financing to enable them to satisfy their payment and other obligations under their leases with us, or that any applicable guarantor will be able to satisfy its guarantee of the applicable tenant’s obligations.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tenants rely on the properties they or their respective subsidiaries own and/or operate for income to satisfy their obligations, including their debt service requirements and rental and other payments due to us or others and these payments constitute a significant portion of their cash flow from operations. If income at our leased properties were to significantly decline for any reason, or if a tenant’s debt service requirements were to significantly increase or if their creditworthiness were to become impaired for any reason, a tenant or any applicable guarantor may become unable or unwilling to satisfy its payment and other obligations under their leases or other agreements with us. The inability or unwillingness of a significant tenant to meet its payment or other obligations under a lease or other payment obligation with us could materially and adversely affect our business, financial condition, liquidity, or results of operations, including our ability to make distributions to our stockholders. Additionally, these obligations may limit our tenants’ ability to fund their operations or development projects, raise capital, make acquisitions, and otherwise respond to competitive and economic changes by making investments to maintain and grow their portfolio of businesses and properties, which may adversely affect their competitiveness and the ability of their applicable subsidiaries and guarantors to satisfy their obligations to us under the applicable lease agreements and the related guarantees, respectively. Moreover, given the importance of our significant tenants to our business, a failure on the part of a significant tenant to maintain its business performance or experience any deterioration of its creditworthiness could materially and adversely affect us, even in the absence of a default under our agreements with such tenant.</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Due to our dependence on rental and other payments from our significant tenants as our primary source of revenue, we may be limited in our ability to enforce our rights under our lease agreements or other agreements with our significant tenants or terminate such other agreements or, due to our predominantly master lease structure, certain leases with respect to any particular property. Failure by our significant tenants to comply with the terms of their respective leases or to comply with the gaming regulations to which the leased properties are subject could result in, among other things, the termination of an applicable Lease Agreement, requiring us to find another tenant for such property, to the extent possible, or a decrease or cessation of rental payments by such tenants, as the case may be. In such event, we may lose our interest in a property subject to an applicable ground lease or be unable to locate a suitable, creditworthy tenant at similar rental rates or at all, which would have the effect of reducing our rental revenue and could have a material adverse effect on our business, financial condition, liquidity, results of operations and the value of our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222885"/>
                <wp:effectExtent l="0" t="0" r="0" b="0"/>
                <wp:wrapNone/>
                <wp:docPr id="22" name="Frame2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60" w:after="283"/>
        <w:jc w:val="both"/>
        <w:rPr/>
      </w:pPr>
      <w:hyperlink w:anchor="ib2fc48f0ddf244d9844b8de22bde2e36_10">
        <w:r>
          <w:rPr>
            <w:rStyle w:val="InternetLink"/>
            <w:rFonts w:ascii="Times New Roman;sans-serif" w:hAnsi="Times New Roman;sans-serif"/>
            <w:b w:val="false"/>
            <w:color w:val="000080"/>
            <w:sz w:val="20"/>
            <w:u w:val="single"/>
          </w:rPr>
          <w:t>Table of Cont</w:t>
        </w:r>
      </w:hyperlink>
      <w:hyperlink w:anchor="ib2fc48f0ddf244d9844b8de22bde2e36_10">
        <w:r>
          <w:rPr>
            <w:rStyle w:val="InternetLink"/>
            <w:rFonts w:ascii="Times New Roman;sans-serif" w:hAnsi="Times New Roman;sans-serif"/>
            <w:b w:val="false"/>
            <w:color w:val="000080"/>
            <w:sz w:val="20"/>
            <w:u w:val="single"/>
          </w:rPr>
          <w:t>ents</w:t>
        </w:r>
      </w:hyperlink>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We are dependent on the gaming industry and may be susceptible to risks associated with it, including heightened competition, changes in consumer behavior and discretionary spending as a result of an economic slowdown, increased inflation, rising interest rates, or otherwise, which could materially and adversely affect our business, financial condition, liquidity, results of operations and prospects.</w:t>
      </w:r>
    </w:p>
    <w:p>
      <w:pPr>
        <w:pStyle w:val="TextBody"/>
        <w:bidi w:val="0"/>
        <w:spacing w:lineRule="auto" w:line="288" w:before="180" w:after="283"/>
        <w:jc w:val="both"/>
        <w:rPr/>
      </w:pPr>
      <w:r>
        <w:rPr>
          <w:rFonts w:ascii="Times New Roman;sans-serif" w:hAnsi="Times New Roman;sans-serif"/>
          <w:b w:val="false"/>
          <w:color w:val="000000"/>
          <w:sz w:val="20"/>
        </w:rPr>
        <w:t xml:space="preserve">As the landlord and owner of gaming facilities, we are impacted by risks associated with the gaming industry, which is characterized by a high degree of competition among a large number of participants, including land-based casinos, riverboat casinos, dockside casinos, video lottery, sweepstakes and poker machines not located in casinos, Native American gaming, emerging varieties of internet gaming, sports betting and other forms of gaming in the United States and, in a broader sense, gaming operators face competition from all manner of leisure and entertainment activities. Gaming competition is intense in most of the markets where our facilities are located. In recent years, there has been additional significant competition in the gaming industry as a result of, among other things, the upgrading or expansion of facilities by existing market participants, the entrance of new gaming participants into a market, increased internet gaming and sports betting or legislative changes in various jurisdictions. As competing properties and new markets are opened, </w:t>
      </w:r>
      <w:r>
        <w:rPr>
          <w:rFonts w:ascii="Times New Roman;sans-serif" w:hAnsi="Times New Roman;sans-serif"/>
          <w:b w:val="false"/>
          <w:color w:val="000000"/>
          <w:sz w:val="20"/>
          <w:shd w:fill="FFFFFF" w:val="clear"/>
        </w:rPr>
        <w:t xml:space="preserve">our tenants’ businesses may be adversely impacted and </w:t>
      </w:r>
      <w:r>
        <w:rPr>
          <w:rFonts w:ascii="Times New Roman;sans-serif" w:hAnsi="Times New Roman;sans-serif"/>
          <w:b w:val="false"/>
          <w:color w:val="000000"/>
          <w:sz w:val="20"/>
        </w:rPr>
        <w:t xml:space="preserve">we may be negatively impacted. </w:t>
      </w:r>
      <w:r>
        <w:rPr>
          <w:rFonts w:ascii="Times New Roman;sans-serif" w:hAnsi="Times New Roman;sans-serif"/>
          <w:b w:val="false"/>
          <w:color w:val="000000"/>
          <w:sz w:val="20"/>
          <w:shd w:fill="FFFFFF" w:val="clear"/>
        </w:rPr>
        <w:t>Additionally, the casino entertainment industry represents a significant source of tax revenues to the various jurisdictions in which casinos operate. From time to time, various state and federal legislators and officials have proposed changes in tax laws, or in the administration of such laws, including increases in tax rates, which would affect the industry. If adopted, such changes could adversely impact the business, financial condition, results of operations and prospects of our gaming tenants, including our significant tenants.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Historically, economic indicators such as GDP growth, consumer confidence and employment are correlated with demand for gaming, entertainment and leisure properties, including casinos and racetracks, and economic recessions, contractions or slowdowns have generally led to a decrease in discretionary spending on associated leisure activities. Decreases in discretionary spending or changing consumer preferences and weakened general economic conditions such as, but not limited to, recessions, lackluster recoveries from recessions, contractions, high unemployment levels, higher income taxes, inflation, low levels of consumer confidence, weakness in the housing market, cultural and demographic changes, instability in global, national and regional economic activity and increased stock market volatility have historically resulted in material adverse effects on leisure and business travel, discretionary spending and other areas of economic behavior that directly impact the gaming industry and, as a result, may negatively impact our business, financial condition, and operating cash flows. Other factors over which we and our tenants have no control, including public health crises, labor shortages, travel restrictions, supply chain disruptions and property closures, may also adversely affect the gaming industry.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Therefore, so long as our investments are concentrated in gaming-related assets, our success is dependent on the gaming industry. As we are subject to risks inherent in substantial investments in a single industry, a decrease in the gaming business would likely have a greater adverse effect on us than if we owned a more diversified real estate portfolio, particularly because, among other things, a component of the rent under certain of the lease agreements will be based, over time, on the performance of the gaming facilities operated by our tenants on our properties. As a result of such dependence on the gaming industry, the immediate and long-term effects of the foregoing on the gaming industry could be material and adverse to our business, financial condition, liquidity, results of operations and prospects. </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Because a concentrated portion of our revenues are generated from the Las Vegas Strip, we are subject to greater risks than a company that is more geographically diversified.</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properties on the Las Vegas Strip generated approximately 49% of our total revenues for the year ended December 31, 2023 and we expect this concentration to continue in the foreseeable future. Therefore, our business may be significantly affected by risks common to the Las Vegas tourism industry. For example, the cost and availability of air services and the availability of interstate highway travel to Las Vegas, as well as the impact of any events that disrupt travel to and from Las Vegas can adversely affect the business of our tenants with operations in Las Vegas, who rely on domestic and international tourism for a significant portion of their visitors to our properties in Las Vegas. Additionally, work stoppages and other labor unrest, strikes or other business interruptions in Las Vegas could impact our tenants’ operations at our properties on the Las Vegas Strip. Moreover, due to the importance of our properties on the Las Vegas Strip, we may be disproportionately affected by general risks such as acts of terrorism, natural disasters, including major fires, floods and earthquakes, severe or inclement weather, and climate change impacts, including heat stress, water stress, and drought, should such developments occur in or nearby, or otherwise impact, Las Vegas.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222885"/>
                <wp:effectExtent l="0" t="0" r="0" b="0"/>
                <wp:wrapNone/>
                <wp:docPr id="23" name="Frame2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60" w:after="283"/>
        <w:jc w:val="both"/>
        <w:rPr/>
      </w:pPr>
      <w:hyperlink w:anchor="ib2fc48f0ddf244d9844b8de22bde2e36_10">
        <w:r>
          <w:rPr>
            <w:rStyle w:val="InternetLink"/>
            <w:rFonts w:ascii="Times New Roman;sans-serif" w:hAnsi="Times New Roman;sans-serif"/>
            <w:b w:val="false"/>
            <w:color w:val="000080"/>
            <w:sz w:val="20"/>
            <w:u w:val="single"/>
          </w:rPr>
          <w:t>Table of Cont</w:t>
        </w:r>
      </w:hyperlink>
      <w:hyperlink w:anchor="ib2fc48f0ddf244d9844b8de22bde2e36_10">
        <w:r>
          <w:rPr>
            <w:rStyle w:val="InternetLink"/>
            <w:rFonts w:ascii="Times New Roman;sans-serif" w:hAnsi="Times New Roman;sans-serif"/>
            <w:b w:val="false"/>
            <w:color w:val="000080"/>
            <w:sz w:val="20"/>
            <w:u w:val="single"/>
          </w:rPr>
          <w:t>ents</w:t>
        </w:r>
      </w:hyperlink>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Our pursuit of acquisitions of, and investments in, experiential assets and other strategic opportunities are in a highly competitive industry and may be unsuccessful or fail to meet our expectations, and we may not identify all potential costs and liabilities in connection with such acquisitions or investments.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intend to continue to pursue acquisitions of, and investments in, gaming, hospitality, wellness, entertainment and leisure sector properties and activities directly related thereto, which we refer to as “experiential assets”, and other strategic opportunities. However, we operate in a highly competitive industry and face competition from other REITs, investment companies, private equity firms and hedge funds, sovereign funds, lenders, gaming companies and other investors, some of whom are larger and have greater resources, access to capital and lower costs of capital or different investment parameters. Increased competition will make it more challenging to identify and successfully capitalize on transaction opportunities that meet our investment objectives, including with respect to experiential assets and other strategic opportunities. If we cannot identify and purchase or make investments in a sufficient quantity of gaming properties and other experiential properties at favorable prices or if we are unable to finance transactions on commercially favorable terms, our business, results of operations and prospects could be materially and adversely affected. Additionally, the fact that we must distribute 90% of our REIT taxable income in order to maintain our qualification as a REIT may limit our ability to rely upon rental payments from our leased properties or subsequently acquired properties in order to finance these strategic investments and transactions. As a result, if debt or equity financing is not available on acceptable terms, further transactions might be limited or curtailed.</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our investment strategy, we may often be engaged in evaluating potential transactions and other strategic alternatives, including through discussions with potential counterparties. We anticipate that the investigation of such transactions and strategic alternatives, including the negotiation, drafting, and execution of relevant agreements with respect to such transactions and strategic alternatives, will require substantial management time and attention and may impose substantial costs for financial advisors, accountants, attorneys and other advisors. If a decision is made not to proceed with a specific transaction, or if we fail to consummate a transaction for any reason, including those beyond our control, the costs incurred up to that point for the proposed transaction likely would not be recoverable and significant management time will have been lost, which could have a material adverse effect on us. Additionally, we may not identify all potential costs and liabilities in the course of our due diligence in connection with these opportunities. In the event that a cost or liability is not adequately identified in the course of such due diligence or addressed in the course of negotiating such transaction, we may not fully realize the anticipated benefit of such transaction, if at all, or our business, financial condition and results of operations could be adversely affected.</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Further, even if we are able to acquire or invest in additional properties in the future, there is no guarantee that such properties will be able to maintain their historical performance or achieve their projected performance, which may prevent the ability of our tenants to pay the partial or total amount of the required lease payments under the respective lease agreements or our borrowers to fulfill their payment obligations under the applicable agreement. In addition, our financing of these acquisitions and investments could negatively impact our cash flows and liquidity, require us to incur substantial debt or involve the issuance of new equity, which would be dilutive to existing stockholders. Due to market considerations and in light of the timing typically required to obtain regulatory approvals for gaming transactions, any such financing may take place substantially in advance of closing of such transaction (and the receipt of rent or other payments under a lease or other applicable agreement) and negatively impact our operating results during such period. In addition, we cannot make assurances that we will be successful in implementing our business and growth strategies or that any additional transactions will improve our operating results. The failure to identify and acquire or invest in new properties effectively, or the failure of any acquired properties to perform as expected, could have a material adverse effect on our business, financial condition, results of operations and prospects and our ability to make distributions to our stockholders.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We and our tenants face extensive regulation from gaming and other regulatory authorities, and our charter provides that any of our shares held by investors who are found to be unsuitable by state gaming regulatory authorities are subject to redemption.</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ownership, operation, and management of gaming and racing facilities are subject to extensive regulation by one or more gaming authorities in each applicable jurisdiction where gaming and racing facilities are permitted. These gaming and racing regulations impact our gaming and racing tenants and persons associated with our gaming and racing facilities, which in many jurisdictions include us as the landlord and owner of the real estate. Certain gaming authorities may require us and/or our affiliates to maintain certain licenses or be found suitable as a landlord, and certain of our stockholders, officers and directors may be required to be found suitable as well. Gaming regulatory authorities also have broad powers with respect to the licensing of casino operations and, under certain circumstances, gaming authorities may revoke, suspend, condition or limit the gaming or other licenses of us or our tenants, impose substantial fines or take other actions, any one of which could adversely impact the business, financial condition and results of operations of us or our tenants.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222885"/>
                <wp:effectExtent l="0" t="0" r="0" b="0"/>
                <wp:wrapNone/>
                <wp:docPr id="24" name="Frame2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60" w:after="283"/>
        <w:jc w:val="both"/>
        <w:rPr/>
      </w:pPr>
      <w:hyperlink w:anchor="ib2fc48f0ddf244d9844b8de22bde2e36_10">
        <w:r>
          <w:rPr>
            <w:rStyle w:val="InternetLink"/>
            <w:rFonts w:ascii="Times New Roman;sans-serif" w:hAnsi="Times New Roman;sans-serif"/>
            <w:b w:val="false"/>
            <w:color w:val="000080"/>
            <w:sz w:val="20"/>
            <w:u w:val="single"/>
          </w:rPr>
          <w:t>Table of Cont</w:t>
        </w:r>
      </w:hyperlink>
      <w:hyperlink w:anchor="ib2fc48f0ddf244d9844b8de22bde2e36_10">
        <w:r>
          <w:rPr>
            <w:rStyle w:val="InternetLink"/>
            <w:rFonts w:ascii="Times New Roman;sans-serif" w:hAnsi="Times New Roman;sans-serif"/>
            <w:b w:val="false"/>
            <w:color w:val="000080"/>
            <w:sz w:val="20"/>
            <w:u w:val="single"/>
          </w:rPr>
          <w:t>ents</w:t>
        </w:r>
      </w:hyperlink>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many jurisdictions, gaming laws can require certain of our stockholders to file an application, be investigated, and qualify or have such person or entity’s suitability determined by gaming authorities. Gaming authorities have very broad discretion in determining whether a stockholder is required to file an application and whether an applicant should be deemed suitable. Gaming authorities may conduct investigations into the conduct or associations of our directors, officers, key employees or investors to ensure compliance with applicable standards. If we are required to be found suitable and are found suitable as a landlord, we will be registered as a public company with the gaming authorities and will be subject to disciplinary action if, after we receive notice that a person is unsuitable to be a stockholder or to have any other relationship with us, we engage in certain transactions with that stockholder or fail to cause that stockholder to relinquish his or her securities. Our charter provides that all of our shares held by investors who are found to be unsuitable by regulatory authorities are subject to redemption upon our receipt of notice of such finding. </w:t>
      </w:r>
    </w:p>
    <w:p>
      <w:pPr>
        <w:pStyle w:val="TextBody"/>
        <w:bidi w:val="0"/>
        <w:spacing w:lineRule="auto" w:line="288" w:before="180" w:after="283"/>
        <w:jc w:val="both"/>
        <w:rPr/>
      </w:pPr>
      <w:r>
        <w:rPr>
          <w:rFonts w:ascii="Times New Roman;sans-serif" w:hAnsi="Times New Roman;sans-serif"/>
          <w:b w:val="false"/>
          <w:color w:val="000000"/>
          <w:sz w:val="20"/>
        </w:rPr>
        <w:t xml:space="preserve">Many jurisdictions also require any person who acquires beneficial ownership of more than a certain percentage of voting securities of a gaming company and, in some jurisdictions, non-voting securities, typically 5% of a publicly traded company, to report the acquisition to gaming authorities, and gaming authorities may require such holders to apply for qualification, licensure or a finding of suitability, subject to limited exceptions for “institutional investors” that hold a company’s securities for passive investment purposes only. Our outstanding shares of capital stock are held subject to applicable gaming laws. Any person owning or controlling at least 5% of the outstanding shares of any class of our capital stock is required to promptly notify us of such person’s identity and apply for qualification, licensure, finding of suitability, or an institutional investor waiver, as applicable. </w:t>
      </w:r>
      <w:r>
        <w:rPr>
          <w:rFonts w:ascii="Times New Roman;sans-serif" w:hAnsi="Times New Roman;sans-serif"/>
          <w:b w:val="false"/>
          <w:color w:val="000000"/>
          <w:sz w:val="20"/>
          <w:shd w:fill="FFFFFF" w:val="clear"/>
        </w:rPr>
        <w:t>Some jurisdictions may also limit the number of gaming licenses in which a person may hold an ownership or a controlling interest.</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because we and our tenants are subject to regulation in numerous jurisdictions, and because regulatory agencies within each jurisdiction review compliance with gaming laws in other jurisdictions, it is possible that gaming compliance issues in one jurisdiction may lead to reviews and compliance issues in other jurisdictions. The loss of gaming licenses by our tenants could result in, among other things, the cessation of operations at one or more of the facilities we lease to such tenants. The loss of gaming licenses by us could result in, among other things, an event of default under certain of our indebtedness, and cross-default provisions in our debt agreements could cause an event of default under one debt agreement to trigger an event of default under our other debt agreements.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Finally, substantially all material loans, significant acquisitions, leases, sales of securities and similar financing transactions by us and our subsidiaries must be reported to, and in some cases approved by, gaming authorities in advance of the transaction. Changes in control through merger, consolidation, stock or asset acquisitions, management or consulting agreements, or otherwise may be subject to receipt of prior approval of certain gaming authorities. Entities seeking to acquire control of us or one of our subsidiaries (and certain of our affiliates) must satisfy gaming authorities with respect to a variety of stringent standards prior to assuming control. Failure to satisfy the stringent licensing standards may preclude entities from acquiring an ownership or a controlling interest in us or one of our subsidiaries (and certain of our affiliates) and/or require the entities to divest such interest.</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Required regulatory approvals can delay or prohibit transfers of our gaming properties or the consummation of transactions (including pursuant to our put-call and right of first refusal agreements), which could result in periods in which we are unable to receive rent related to, or otherwise realize the benefits of, such transactions, which may have a material adverse effect on our business, financial condition, liquidity, results of operations and prospects.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gaming tenants are (and any pending and future tenants of our gaming properties will be) required to be licensed under applicable law in order to operate any of our properties as gaming facilities. If the lease agreements for our gaming properties are terminated (which could be required by a regulatory agency) or expire, any new tenant must be licensed and receive other regulatory approvals to operate our properties as gaming facilities. Any delay in, or inability of, the new tenant to receive required licenses and other regulatory approvals from the applicable state and county government agencies may prolong the period during which we are unable to collect the applicable rent. Further, in the event that the lease agreements for our gaming properties are terminated or expire and a new tenant is not licensed or fails to receive other regulatory approvals, the properties may not be operated as gaming facilities and we will not be able to collect the applicable rent. Moreover, we may be unable to transfer or sell the affected properties as gaming facilities, which could materially and adversely affect our business, financial condition, liquidity, results of operations and prospects.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given the highly regulated nature of the gaming industry, any future transactions we enter into (including pursuant to our put-call, right of first offer and right of first refusal agreements) are likely to be subject to regulatory approval in one or more jurisdictions, including with respect to any transfers in ownership, operating licensure or other regulatory considerations. If the consummation of a transaction (including with respect to the future entry into a new lease agreement) is delayed or prohibited by regulatory authorities, we may be limited or otherwise unable to realize the benefits of the proposed transaction.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222885"/>
                <wp:effectExtent l="0" t="0" r="0" b="0"/>
                <wp:wrapNone/>
                <wp:docPr id="25" name="Frame2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60" w:after="283"/>
        <w:jc w:val="both"/>
        <w:rPr/>
      </w:pPr>
      <w:hyperlink w:anchor="ib2fc48f0ddf244d9844b8de22bde2e36_10">
        <w:r>
          <w:rPr>
            <w:rStyle w:val="InternetLink"/>
            <w:rFonts w:ascii="Times New Roman;sans-serif" w:hAnsi="Times New Roman;sans-serif"/>
            <w:b w:val="false"/>
            <w:color w:val="000080"/>
            <w:sz w:val="20"/>
            <w:u w:val="single"/>
          </w:rPr>
          <w:t>Table of Cont</w:t>
        </w:r>
      </w:hyperlink>
      <w:hyperlink w:anchor="ib2fc48f0ddf244d9844b8de22bde2e36_10">
        <w:r>
          <w:rPr>
            <w:rStyle w:val="InternetLink"/>
            <w:rFonts w:ascii="Times New Roman;sans-serif" w:hAnsi="Times New Roman;sans-serif"/>
            <w:b w:val="false"/>
            <w:color w:val="000080"/>
            <w:sz w:val="20"/>
            <w:u w:val="single"/>
          </w:rPr>
          <w:t>ents</w:t>
        </w:r>
      </w:hyperlink>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We are subject to additional risks due to our international investments and acquisitions, including properties that we own, or may acquire in the future, outside the United States.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value of the PURE Portfolio, the Century Canadian Portfolio and any other properties in which we invest or acquire in non-U.S. jurisdictions may be affected by factors specific to the laws and business practices of such jurisdictions. The laws and business practices of foreign jurisdictions may expose us to risks that are different from and in addition to those commonly found in the United States, including, but not limited to, the following: (i) the burden of complying with non-U.S. laws, including land use and zoning laws or more stringent environmental laws; (ii) existing or new laws relating to the foreign ownership of real property and laws restricting our ability to repatriate earnings and cash into the United States; (iii) the potential for expropriation; (iv) adverse effects of changes in the exchange rate between U.S. dollars and foreign currencies in which revenue is generated at our properties outside the United States; (v) imposition of adverse or confiscatory taxes, changes in income and other tax rates or laws and changes in other operating expenses in such foreign jurisdictions; (vi) possible challenges to the anticipated tax treatment of our revenue and our properties; (vii) the potential difficulty of enforcing rights and obligations in other countries; and (viii) our more limited experience and expertise in foreign countries relative to our experience and expertise in the United States.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certain of our lease agreements, rent is payable in foreign currencies with respect to some or all of the properties under the applicable lease agreements. In addition, we have incurred and may continue to incur indebtedness that is denominated in foreign currencies to fund our international investments, including, for the PURE Portfolio and Century Canadian Portfolio acquisitions. As of December 31, 2023, we had an aggregate of $173.8 million in outstanding debt under our Revolving Credit Facility, including portions denominated in Canadian dollars and Great British Pounds (based on the applicable exchange rates as of December 31, 2023). As a result, we are subject to foreign currency risk due to potential fluctuations in exchange rates between these foreign currencies and the U.S. dollar. A significant change in the value of the foreign currency of one or more countries where we have a significant investment or receive significant rental revenue may have a material adverse effect on our business and, specifically, our U.S. dollar reported financial condition and results of operations. While we may enter into hedging and other derivatives instruments to mitigate our exposure to fluctuations in foreign exchange rates, we may not realize the anticipated benefits from these arrangements or these arrangements may be insufficient to mitigate our exposure. </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Our long-term, triple-net leases include rent escalations over specified periods that will generally continue to apply regardless of the amount of cash flows generated by the properties subject to such lease agreements, and such lease agreements may not result in fair market lease rates over time, which could negatively impact our financial condition, results of operations and cash flows and reduce the amount of funds available to make distributions to stockholders.</w:t>
      </w:r>
    </w:p>
    <w:p>
      <w:pPr>
        <w:pStyle w:val="TextBody"/>
        <w:bidi w:val="0"/>
        <w:spacing w:lineRule="auto" w:line="288" w:before="180" w:after="283"/>
        <w:jc w:val="both"/>
        <w:rPr/>
      </w:pPr>
      <w:r>
        <w:rPr>
          <w:rFonts w:ascii="Times New Roman;sans-serif" w:hAnsi="Times New Roman;sans-serif"/>
          <w:b w:val="false"/>
          <w:color w:val="000000"/>
          <w:sz w:val="20"/>
        </w:rPr>
        <w:t xml:space="preserve">All of our rental revenue and a substantial majority of our total revenue is generated from our long-term triple-net lease agreements and, consistent with typical triple-net leases, our lease agreements have longer lease terms, with a weighted average lease term (inclusive of extension options) of all of our lease agreements as of December 31, 2023 of 41.3 years. See </w:t>
      </w:r>
      <w:hyperlink w:anchor="ib2fc48f0ddf244d9844b8de22bde2e36_16">
        <w:r>
          <w:rPr>
            <w:rStyle w:val="InternetLink"/>
            <w:rFonts w:ascii="Times New Roman;sans-serif" w:hAnsi="Times New Roman;sans-serif"/>
            <w:b w:val="false"/>
            <w:color w:val="0000FF"/>
            <w:sz w:val="20"/>
            <w:u w:val="single"/>
          </w:rPr>
          <w:t>Item 1 “Business-Our Lease Agreements”</w:t>
        </w:r>
      </w:hyperlink>
      <w:r>
        <w:rPr>
          <w:color w:val="000000"/>
        </w:rPr>
        <w:t xml:space="preserve"> </w:t>
      </w:r>
      <w:r>
        <w:rPr>
          <w:rFonts w:ascii="Times New Roman;sans-serif" w:hAnsi="Times New Roman;sans-serif"/>
          <w:b w:val="false"/>
          <w:color w:val="000000"/>
          <w:sz w:val="20"/>
        </w:rPr>
        <w:t xml:space="preserve">and </w:t>
      </w:r>
      <w:hyperlink w:anchor="ib2fc48f0ddf244d9844b8de22bde2e36_16">
        <w:r>
          <w:rPr>
            <w:rStyle w:val="InternetLink"/>
            <w:rFonts w:ascii="Times New Roman;sans-serif" w:hAnsi="Times New Roman;sans-serif"/>
            <w:b w:val="false"/>
            <w:color w:val="0000FF"/>
            <w:sz w:val="20"/>
            <w:u w:val="single"/>
          </w:rPr>
          <w:t>Item 1 “Business-Our Relationship with Caesars and MGM”</w:t>
        </w:r>
      </w:hyperlink>
      <w:r>
        <w:rPr>
          <w:color w:val="000000"/>
        </w:rPr>
        <w:t xml:space="preserve"> </w:t>
      </w:r>
      <w:r>
        <w:rPr>
          <w:rFonts w:ascii="Times New Roman;sans-serif" w:hAnsi="Times New Roman;sans-serif"/>
          <w:b w:val="false"/>
          <w:color w:val="000000"/>
          <w:sz w:val="20"/>
        </w:rPr>
        <w:t xml:space="preserve">for additional information regarding such agreements. Our lease agreements contain annual escalation provisions, certain of which are tied to changes in CPI (or similar metrics with respect to other geographies), although these annual escalators in some cases do not apply until future periods as specified under the applicable lease agreements. In addition, certain of these annual escalators are subject to a maximum cap, which could result in lower rent escalation than any such CPI increase in a single year or over a longer period. For example, under the MGM Master Lease, the escalator is fixed at 2.0% for years two through ten of the MGM Master Lease and, for the remainder of the term, the escalator is the greater of 2.0% and CPI, subject to a 3.0% cap. Inflation as measured by changes in CPI increased at an average of 3.4% in 2023. Accordingly, there is a risk that contractual rental increases in future years will fail to result in fair market rental rates during those years. Sustained inflation rates that are above any CPI escalator cap could, over time, result in our receiving rental income below fair market lease rates, which could adversely impact the fair value of the assets, our results of operations and cash flows.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the annual rent escalations under the lease agreements over specified periods will generally continue to apply regardless of the amount of cash flows generated by the properties that are subject to such lease agreements. Accordingly, if the cash flows generated by such properties decrease, do not increase at the same rate as the rent escalations, or do not increase as anticipated in connection with any capital improvement projects, the rents payable under such lease agreements will comprise a higher percentage of the cash flows generated by the applicable tenant and its subsidiaries, which could make it more difficult for the applicable tenants to meet their payment obligations to us under the lease agreements and could ultimately adversely affect any applicable guarantor’s ability to satisfy their respective obligations to us under the related guarantees. Finally, our tenants may choose not to renew our lease agreements at the end of the initial lease term or any additional renewal term thereafter. If a lease agreement expires without renewal and we are not able to find suitable, credit-worthy tenants to replace the previous tenants on the same or more attractive terms, our business, financial condition, liquidity, results of operations and prospects may be materially and adversely affected, including our ability to make distributions to our stockholders at the then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222885"/>
                <wp:effectExtent l="0" t="0" r="0" b="0"/>
                <wp:wrapNone/>
                <wp:docPr id="26" name="Frame2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60" w:after="283"/>
        <w:jc w:val="both"/>
        <w:rPr/>
      </w:pPr>
      <w:hyperlink w:anchor="ib2fc48f0ddf244d9844b8de22bde2e36_10">
        <w:r>
          <w:rPr>
            <w:rStyle w:val="InternetLink"/>
            <w:rFonts w:ascii="Times New Roman;sans-serif" w:hAnsi="Times New Roman;sans-serif"/>
            <w:b w:val="false"/>
            <w:color w:val="000080"/>
            <w:sz w:val="20"/>
            <w:u w:val="single"/>
          </w:rPr>
          <w:t>Table of Cont</w:t>
        </w:r>
      </w:hyperlink>
      <w:hyperlink w:anchor="ib2fc48f0ddf244d9844b8de22bde2e36_10">
        <w:r>
          <w:rPr>
            <w:rStyle w:val="InternetLink"/>
            <w:rFonts w:ascii="Times New Roman;sans-serif" w:hAnsi="Times New Roman;sans-serif"/>
            <w:b w:val="false"/>
            <w:color w:val="000080"/>
            <w:sz w:val="20"/>
            <w:u w:val="single"/>
          </w:rPr>
          <w:t>ents</w:t>
        </w:r>
      </w:hyperlink>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current level, or at all. As a result, our results of operations and cash flows and distributions to our stockholders could be lower than they would otherwise be if we did not enter into long-term triple net leases, or entered into such leases on different terms.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Our ability to sell, dispose of and use our properties may be limited by the contractual terms of our lease agreements, tax protection agreements or other agreements with our tenants, or otherwise impacted by matters relating to our real estate ownership.</w:t>
      </w:r>
    </w:p>
    <w:p>
      <w:pPr>
        <w:pStyle w:val="TextBody"/>
        <w:bidi w:val="0"/>
        <w:spacing w:lineRule="auto" w:line="288" w:before="180" w:after="283"/>
        <w:jc w:val="both"/>
        <w:rPr/>
      </w:pPr>
      <w:r>
        <w:rPr>
          <w:rFonts w:ascii="Times New Roman;sans-serif" w:hAnsi="Times New Roman;sans-serif"/>
          <w:b w:val="false"/>
          <w:color w:val="000000"/>
          <w:sz w:val="20"/>
        </w:rPr>
        <w:t xml:space="preserve">Our ability to sell or dispose of our properties may be hindered by, among other things, the fact that such properties are subject to the lease agreements, as the terms of the lease agreements require that a purchaser assume the lease agreements or, in certain cases, enter into a severance lease with the tenants for the sold property on substantially the same terms as contained in the applicable lease agreement, which may make our properties less attractive to a potential buyer than alternative properties that may be for sale. Additionally, our properties may be subject to use restrictions and/or operational requirements imposed pursuant to ground leases, restrictive covenants or conditions, reciprocal easement agreements or operating agreements or other instruments that could, among other things, adversely affect our ability to lease space to third parties, enforce our rights as a lender and otherwise realize additional value from these properties. In connection with certain of our transactions, including the MGP Transactions (as defined in </w:t>
      </w:r>
      <w:hyperlink w:anchor="ib2fc48f0ddf244d9844b8de22bde2e36_148">
        <w:r>
          <w:rPr>
            <w:rStyle w:val="InternetLink"/>
            <w:rFonts w:ascii="Times New Roman;sans-serif" w:hAnsi="Times New Roman;sans-serif"/>
            <w:b w:val="false"/>
            <w:color w:val="000080"/>
            <w:sz w:val="20"/>
            <w:u w:val="single"/>
          </w:rPr>
          <w:t>Note 3 - R</w:t>
        </w:r>
      </w:hyperlink>
      <w:hyperlink w:anchor="ib2fc48f0ddf244d9844b8de22bde2e36_148">
        <w:r>
          <w:rPr>
            <w:rStyle w:val="InternetLink"/>
            <w:rFonts w:ascii="Times New Roman;sans-serif" w:hAnsi="Times New Roman;sans-serif"/>
            <w:b w:val="false"/>
            <w:color w:val="000080"/>
            <w:sz w:val="20"/>
            <w:u w:val="single"/>
          </w:rPr>
          <w:t>eal Estate Transactions</w:t>
        </w:r>
      </w:hyperlink>
      <w:r>
        <w:rPr>
          <w:rFonts w:ascii="Times New Roman;sans-serif" w:hAnsi="Times New Roman;sans-serif"/>
          <w:b w:val="false"/>
          <w:color w:val="000000"/>
          <w:sz w:val="20"/>
        </w:rPr>
        <w:t xml:space="preserve">), we entered into tax protection agreements which could limit our ability to sell or otherwise dispose of the subject property or properties contributed to us, and we may enter into such agreements in the future. Therefore, although it may be in the best interests of our stockholders for us to sell a certain property, it may be economically prohibitive for us to do so during the specified period because of a tax protection agreement.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example, in connection with the MGP Transactions, we entered into the MGM Tax Protection Agreement pursuant to which, subject to certain exceptions, we agreed to indemnify the Protected Parties (as defined in the MGM Tax Protection Agreement) for certain tax liabilities, during the Protected Period (as defined in the MGM Tax Protection Agreement), resulting from (i) the sale, transfer, exchange or other disposition of Protected Property (as defined in the MGM Tax Protection Agreement), (ii) a merger, consolidation, or transfer of all of the assets of, or certain other transactions undertaken by us pursuant to which the ownership interests of the Protected Parties in VICI OP are required to be exchanged in whole or in part for cash or other property, (iii) the failure of VICI OP to maintain approximately $8.5 billion of nonrecourse indebtedness allocable to the Protected Parties, which amount may be reduced over time in accordance with the MGM Tax Protection Agreement, and (iv) the failure of VICI OP or us to comply with certain tax covenants that would impact the tax liabilities of the Protected Parties. In addition, the MGM Grand/Mandalay Bay JV previously entered into a tax protection agreement with MGM with respect to built-in gain and debt maintenance related to MGM Grand Las Vegas and Mandalay Bay, which is effective through mid-2029, and by acquiring MGP and subsequently the remaining 49.9% interest in the MGM Grand/Mandalay Bay JV, we bear any indemnity under this existing tax protection agreement. In the event that we breach restrictions in these agreements, we will be liable for grossed-up tax amounts associated with the income or gain recognized as a result of such breach. </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We are exposed to risks related to our properties that are subject to ground and use lease arrangements which could adversely affect our results of operations.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and may in the future be the lessee under long-term ground lease arrangements at certain of our properties or make investments into properties that are subject to long-term ground lease arrangements. Unless we purchase a fee interest in the underlying land and/or buildings subject to the leases, we will not own such properties or portions of such properties, as the case may be. Furthermore, unless we extend the terms of these ground and use leases prior to expiration, we will no longer have rights with respect to these properties or portions of the properties, as the case may be, upon expiration of the applicable ground leases, which could impact our tenant’s ability to operate the property, to the extent the portions of property covered under the applicable ground and/or use lease are material to the operations of the property, and our rights and obligations under applicable lease agreements, which could adversely affect our business, financial condition and results of operations. Furthermore, payments under such leasehold interests may be periodically adjusted pursuant to the relevant contractual arrangements and may result in significantly higher rents, and while such payments are the responsibility of our tenants under the respective lease agreements, such increases could adversely affect us and our tenants’ business, financial condition and results of operations. Additionally, due to the greater risk in a loan secured by a leasehold interest than a loan secured by a fee interest, we face risks related to our investments secured by a leasehold interest, including if the borrower were to default under the terms of our loan or violate the terms of such ground lease.</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We may not be able to purchase properties pursuant to our rights under certain agreements, including put-call, call right, right of first refusal agreements and right of first offer agreements, including if we are unable to obtain additional financing.</w:t>
      </w:r>
    </w:p>
    <w:p>
      <w:pPr>
        <w:pStyle w:val="TextBody"/>
        <w:bidi w:val="0"/>
        <w:spacing w:lineRule="auto" w:line="288" w:before="180" w:after="283"/>
        <w:jc w:val="both"/>
        <w:rPr/>
      </w:pPr>
      <w:r>
        <w:rPr>
          <w:rFonts w:ascii="Times New Roman;sans-serif" w:hAnsi="Times New Roman;sans-serif"/>
          <w:b w:val="false"/>
          <w:color w:val="000000"/>
          <w:sz w:val="20"/>
        </w:rPr>
        <w:t xml:space="preserve">Pursuant to certain put-call agreements, call agreements, right of first refusal agreements and right of first offer agreements, as further described in </w:t>
      </w:r>
      <w:hyperlink w:anchor="ib2fc48f0ddf244d9844b8de22bde2e36_16">
        <w:r>
          <w:rPr>
            <w:rStyle w:val="InternetLink"/>
            <w:rFonts w:ascii="Times New Roman;sans-serif" w:hAnsi="Times New Roman;sans-serif"/>
            <w:b w:val="false"/>
            <w:color w:val="000080"/>
            <w:sz w:val="20"/>
            <w:u w:val="single"/>
          </w:rPr>
          <w:t>Item 1 "Business</w:t>
        </w:r>
      </w:hyperlink>
      <w:hyperlink w:anchor="ib2fc48f0ddf244d9844b8de22bde2e36_16">
        <w:r>
          <w:rPr>
            <w:rStyle w:val="InternetLink"/>
            <w:rFonts w:ascii="Times New Roman;sans-serif" w:hAnsi="Times New Roman;sans-serif"/>
            <w:b w:val="false"/>
            <w:color w:val="000080"/>
            <w:sz w:val="20"/>
            <w:u w:val="single"/>
          </w:rPr>
          <w:t xml:space="preserve"> </w:t>
        </w:r>
      </w:hyperlink>
      <w:hyperlink w:anchor="ib2fc48f0ddf244d9844b8de22bde2e36_16">
        <w:r>
          <w:rPr>
            <w:rStyle w:val="InternetLink"/>
            <w:rFonts w:ascii="Times New Roman;sans-serif" w:hAnsi="Times New Roman;sans-serif"/>
            <w:b w:val="false"/>
            <w:color w:val="000080"/>
            <w:sz w:val="20"/>
            <w:u w:val="single"/>
          </w:rPr>
          <w:t>-</w:t>
        </w:r>
      </w:hyperlink>
      <w:hyperlink w:anchor="ib2fc48f0ddf244d9844b8de22bde2e36_16">
        <w:r>
          <w:rPr>
            <w:rStyle w:val="InternetLink"/>
            <w:rFonts w:ascii="Times New Roman;sans-serif" w:hAnsi="Times New Roman;sans-serif"/>
            <w:b w:val="false"/>
            <w:color w:val="000080"/>
            <w:sz w:val="20"/>
            <w:u w:val="single"/>
          </w:rPr>
          <w:t xml:space="preserve"> </w:t>
        </w:r>
      </w:hyperlink>
      <w:hyperlink w:anchor="ib2fc48f0ddf244d9844b8de22bde2e36_16">
        <w:r>
          <w:rPr>
            <w:rStyle w:val="InternetLink"/>
            <w:rFonts w:ascii="Times New Roman;sans-serif" w:hAnsi="Times New Roman;sans-serif"/>
            <w:b w:val="false"/>
            <w:color w:val="000080"/>
            <w:sz w:val="20"/>
            <w:u w:val="single"/>
          </w:rPr>
          <w:t>Our Embedded Growth Pipeline"</w:t>
        </w:r>
      </w:hyperlink>
      <w:hyperlink w:anchor="ib2fc48f0ddf244d9844b8de22bde2e36_16">
        <w:r>
          <w:rPr>
            <w:rStyle w:val="InternetLink"/>
            <w:rFonts w:ascii="Times New Roman;sans-serif" w:hAnsi="Times New Roman;sans-serif"/>
            <w:b w:val="false"/>
            <w:color w:val="000080"/>
            <w:sz w:val="20"/>
            <w:u w:val="single"/>
          </w:rPr>
          <w:t>,</w:t>
        </w:r>
      </w:hyperlink>
      <w:r>
        <w:rPr>
          <w:color w:val="000000"/>
        </w:rPr>
        <w:t xml:space="preserve"> </w:t>
      </w:r>
      <w:r>
        <w:rPr>
          <w:rFonts w:ascii="Times New Roman;sans-serif" w:hAnsi="Times New Roman;sans-serif"/>
          <w:b w:val="false"/>
          <w:color w:val="000000"/>
          <w:sz w:val="20"/>
        </w:rPr>
        <w:t xml:space="preserve">we have certain rights to purchase the properties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222885"/>
                <wp:effectExtent l="0" t="0" r="0" b="0"/>
                <wp:wrapNone/>
                <wp:docPr id="27" name="Frame2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60" w:after="283"/>
        <w:jc w:val="both"/>
        <w:rPr/>
      </w:pPr>
      <w:hyperlink w:anchor="ib2fc48f0ddf244d9844b8de22bde2e36_10">
        <w:r>
          <w:rPr>
            <w:rStyle w:val="InternetLink"/>
            <w:rFonts w:ascii="Times New Roman;sans-serif" w:hAnsi="Times New Roman;sans-serif"/>
            <w:b w:val="false"/>
            <w:color w:val="000080"/>
            <w:sz w:val="20"/>
            <w:u w:val="single"/>
          </w:rPr>
          <w:t>Table of Cont</w:t>
        </w:r>
      </w:hyperlink>
      <w:hyperlink w:anchor="ib2fc48f0ddf244d9844b8de22bde2e36_10">
        <w:r>
          <w:rPr>
            <w:rStyle w:val="InternetLink"/>
            <w:rFonts w:ascii="Times New Roman;sans-serif" w:hAnsi="Times New Roman;sans-serif"/>
            <w:b w:val="false"/>
            <w:color w:val="000080"/>
            <w:sz w:val="20"/>
            <w:u w:val="single"/>
          </w:rPr>
          <w:t>ents</w:t>
        </w:r>
      </w:hyperlink>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subject to these agreements, subject to the terms and conditions included in each agreement with respect to each property. In many cases, the counterparties to these agreements are not obligated to sell the applicable properties and our right to purchase these properties under these agreements may never be triggered. Additionally, in order to exercise these rights and any similar rights we obtain in the future or to fulfill our obligations with respect to certain put rights, we would likely be required to secure additional financing and our substantial level of indebtedness or other factors could limit our ability to do so on attractive terms, or at all. If we are unable to obtain financing on terms acceptable to us, we may not be able to exercise these rights and acquire these properties, or to fulfill our obligations with respect to certain put rights. Even if financing with acceptable terms is available to us, we may not exercise any of these rights. Further, each of the transactions remains subject to the terms and conditions of the applicable agreements, including with respect to due diligence, applicable regulatory approvals and customary closing conditions. </w:t>
      </w:r>
    </w:p>
    <w:p>
      <w:pPr>
        <w:pStyle w:val="TextBody"/>
        <w:bidi w:val="0"/>
        <w:spacing w:lineRule="auto" w:line="288" w:before="180" w:after="283"/>
        <w:jc w:val="both"/>
        <w:rPr/>
      </w:pPr>
      <w:r>
        <w:rPr>
          <w:rFonts w:ascii="Times New Roman;sans-serif" w:hAnsi="Times New Roman;sans-serif"/>
          <w:b w:val="false"/>
          <w:color w:val="000000"/>
          <w:sz w:val="20"/>
          <w:shd w:fill="FFFFFF" w:val="clear"/>
        </w:rPr>
        <w:t xml:space="preserve">These agreements are subject to additional terms and conditions that may be disadvantageous to us. For example, the put-call agreement with respect to the Caesars Forum Convention Center also provides that if Caesars exercises their put right and, among other things, the sale of the Caesars Forum Convention Center to us does not close, under certain circumstances, a repurchase right in favor of Caesars, which, if exercised, would result in the sale of the Harrah’s Las Vegas property by us to Caesars. Such a sale may be at disadvantageous terms and could have a material adverse effect on our business, financial condition, results of operations and </w:t>
      </w:r>
      <w:r>
        <w:rPr>
          <w:rFonts w:ascii="Times New Roman;sans-serif" w:hAnsi="Times New Roman;sans-serif"/>
          <w:b w:val="false"/>
          <w:color w:val="000000"/>
          <w:sz w:val="20"/>
        </w:rPr>
        <w:t>prospects.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The bankruptcy or insolvency of any tenant, borrower or guarantor could result in the termination of the lease agreements, the related guarantees or loan agreements and certain lease agreements being re-characterized as disguised financing transactions, resulting in material losses to us.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the credit risk of our tenants and borrowers in connection with the rental and other obligations owed to us under applicable leases, guarantees, and other financing agreements. We cannot provide assurances that our tenants and borrowers will not default on their obligations and fail to make payments to us. If our tenants and borrowers are unable to meet their financial obligations, including making rental or loan payments to us, as applicable, such inability may result in their bankruptcy or insolvency. In addition, in the event of a bankruptcy of our tenants, borrowers or their respective guarantors, any claim for damages under the applicable lease, loan agreement or guarantee may not be paid in full. For these and other reasons, the bankruptcy of one or more of our tenants, borrowers or their respective guarantors could have a material adverse effect on our business, financial condition, liquidity, results of operations and prospects.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with respect to tenants whose obligations are guaranteed by a single guarantor (including Caesars and MGM), although the tenants’ performance and payments are guaranteed, a default by the applicable tenant, or by the guarantor with respect to its guarantee, may cause a default under certain circumstances with regard to the entire portfolio covered by the respective lease agreements. In event of such a default, there can be no assurances that the tenants or the guarantor would assume the applicable lease agreements or the related guarantees, and if such lease agreements or guarantees were rejected, the tenant or the guarantor, as applicable, may not have sufficient funds to pay the damages that would be owed to us as a result of the rejection and we might not be able to find a replacement tenant on the same or better terms.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if Caesars declares bankruptcy, our business could be materially and adversely affected if a bankruptcy court re-characterizes certain components of our transactions with Caesars in connection with the merger between Eldorado Resorts, Inc. and Caesars in 2020 as a disguised financing transaction, specifically our modifications of the Caesars Las Vegas Master Lease to increase the annual rent payable to us associated with Caesars Palace Las Vegas and Harrah’s Las Vegas. In the event of re-characterization, our claim under a lease agreement with respect to the additional rent acquired in the Caesars Transaction could either be secured or unsecured. The bankrupt tenant and other affiliates of Caesars and their creditors under this scenario might have the ability to restructure the terms, including the amount owed to us under the applicable lease with respect to the additional rent, and, if approved by the bankruptcy court, we could be bound by the new terms and prevented from collecting such additional rent acquired in the Caesars Transaction, and our business, results of operations and financial condition could be materially and adversely affected.</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We may sell or divest different properties or assets after an evaluation of our portfolio of businesses. Such sales or divestitures could affect our costs, revenues, results of operations, financial condition and liquidity.</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we may evaluate our properties and may, as a result, sell or attempt to sell, divest, or spin-off different properties or assets, subject, if applicable, to the terms of the lease agreements. For example, in 2020 and 2021, we, together with Caesars, sold Harrah’s Reno, Bally’s Atlantic City and Harrah’s Louisiana Downs in accordance with the terms of the Caesars Regional Master Lease. These sales or divestitures could affect our business, results of operations, financial condition, liquidity and our ability to comply with applicable financial covenants. Divestitures have inherent risks, including possible delays in closing transactions (including potential difficulties in obtaining regulatory approvals), the risk of lower-than-expected sales proceeds for the divested assets, and potential post-closing claims for indemnification. In addition, economic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222885"/>
                <wp:effectExtent l="0" t="0" r="0" b="0"/>
                <wp:wrapNone/>
                <wp:docPr id="28" name="Frame2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60" w:after="283"/>
        <w:jc w:val="both"/>
        <w:rPr/>
      </w:pPr>
      <w:hyperlink w:anchor="ib2fc48f0ddf244d9844b8de22bde2e36_10">
        <w:r>
          <w:rPr>
            <w:rStyle w:val="InternetLink"/>
            <w:rFonts w:ascii="Times New Roman;sans-serif" w:hAnsi="Times New Roman;sans-serif"/>
            <w:b w:val="false"/>
            <w:color w:val="000080"/>
            <w:sz w:val="20"/>
            <w:u w:val="single"/>
          </w:rPr>
          <w:t>Table of Cont</w:t>
        </w:r>
      </w:hyperlink>
      <w:hyperlink w:anchor="ib2fc48f0ddf244d9844b8de22bde2e36_10">
        <w:r>
          <w:rPr>
            <w:rStyle w:val="InternetLink"/>
            <w:rFonts w:ascii="Times New Roman;sans-serif" w:hAnsi="Times New Roman;sans-serif"/>
            <w:b w:val="false"/>
            <w:color w:val="000080"/>
            <w:sz w:val="20"/>
            <w:u w:val="single"/>
          </w:rPr>
          <w:t>ents</w:t>
        </w:r>
      </w:hyperlink>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conditions, such as high inflation or rising interest rates, and relatively illiquid real estate markets may result in fewer potential bidders and unsuccessful sales efforts with respect to potential sales or divestitures.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Our properties and the properties securing our loans are subject to risks from climate change, natural disasters, other adverse or extreme weather conditions, casualty and condemnation risks, and terrorist attacks or other acts of violence, the occurrence of which may adversely affect our results of operations, financial condition and liquidity.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an assessment from a third-party environmental consultant in 2022, we evaluated the degree of risk to which our individual properties and overall portfolio are subject due to the potential impact of flooding, heat stress, water stress, drought, extreme winds, wildfires, and seismic events, as well as other extreme weather conditions caused by climate change and determined that our properties and our borrowers’ properties secured as collateral are located in areas that may be subject to risks from climate change, natural disasters and adverse or extreme weather conditions, and therefore are subject to varying degrees of risk with respect to these potential impacts. The assessment determined that our properties are subject to varying degrees of risk with respect to these potential impacts and, with respect to our overall portfolio, we determined that flooding, water stress and heat stress pose the greatest material risk to our properties, including: (i) water stress and heat stress risks at our Nevada properties; (ii) flooding, heat stress and wind risks at our properties in the Southeast United States; (iii) flooding and heat stress risks in the Midwest United States; and (iv) flooding risks at our properties in the Northeast United States and West Virginia. Such natural disasters or weather conditions may decrease the value of our properties through physical damage, a decrease in economic activity and demand and/or a decrease in rent for the properties located in the areas affected by these conditions and may adversely affect the viability of our tenants’ operations and continued investment in our properties, as well as the value of such properties. In Las Vegas and the surrounding region, a significant majority of water is sourced from the Colorado River and water levels in Lake Mead, which serves as a reservoir, have steadily declined in recent years (with a partial recovery in 2023), resulting in various regulatory bodies pursuing water conservation initiatives. Severe drought or prolonged water stress experienced in Las Vegas and the surrounding region or in the other regions in which we own properties, as well as the potential impact of regulatory efforts to address such conditions, could adversely affect the business and financial results of the tenants operating at our properties in such regions. </w:t>
      </w:r>
    </w:p>
    <w:p>
      <w:pPr>
        <w:pStyle w:val="TextBody"/>
        <w:bidi w:val="0"/>
        <w:spacing w:lineRule="auto" w:line="288" w:before="180" w:after="283"/>
        <w:jc w:val="both"/>
        <w:rPr/>
      </w:pPr>
      <w:r>
        <w:rPr>
          <w:rFonts w:ascii="Times New Roman;sans-serif" w:hAnsi="Times New Roman;sans-serif"/>
          <w:b w:val="false"/>
          <w:color w:val="000000"/>
          <w:sz w:val="20"/>
        </w:rPr>
        <w:t xml:space="preserve">Although the tenants and borrowers, as applicable, are required to maintain both property and business interruption insurance coverage under the applicable lease agreements, such coverage is subject to deductibles and limits on maximum benefits, including limitation on the coverage period for business interruption. In addition, there are certain types of losses, generally of a catastrophic nature, such as earthquakes, hurricanes and floods, that may be uninsurable or not economically insurable. As a result, we cannot make assurances that we or our tenants will be able to fully insure such losses or fully collect, if at all, on claims resulting from such climate change impacts, natural disasters and extreme weather conditions. If any of the climate and extreme weather scenarios described above were to occur, we may incur material costs to address these conditions and protect such assets (to the extent not covered by our tenants under the terms of our leases). </w:t>
      </w:r>
      <w:r>
        <w:rPr>
          <w:rFonts w:ascii="Times New Roman;sans-serif" w:hAnsi="Times New Roman;sans-serif"/>
          <w:b w:val="false"/>
          <w:color w:val="000000"/>
          <w:sz w:val="20"/>
          <w:shd w:fill="FFFFFF" w:val="clear"/>
        </w:rPr>
        <w:t>Insurance coverage may not be sufficient to pay the full current market value or current replacement cost of a loss, and the insurance proceeds received might not be adequate to restore the economic position with respect to such property.</w:t>
      </w:r>
      <w:r>
        <w:rPr>
          <w:color w:val="000000"/>
        </w:rPr>
        <w:t xml:space="preserve"> </w:t>
      </w:r>
      <w:r>
        <w:rPr>
          <w:rFonts w:ascii="Times New Roman;sans-serif" w:hAnsi="Times New Roman;sans-serif"/>
          <w:b w:val="false"/>
          <w:color w:val="000000"/>
          <w:sz w:val="20"/>
        </w:rPr>
        <w:t xml:space="preserve">If we experience a loss that is uninsured or that exceeds our policy coverage limits, we could lose the capital invested in the damaged properties as well as the anticipated future cash flows from those properties. Furthermore, under such circumstances we may be required under the terms of the MGM Grand/Mandalay Bay JV CMBS loan agreement to contribute all or a portion of insurance proceeds to the repayment of such debt, which may prevent us from restoring such properties to their prior state. If the insurance proceeds (after any such required repayment) were insufficient to make the repairs necessary to restore the damaged properties to a condition substantially equivalent to its state immediately prior to the casualty, we or our tenants may not have sufficient liquidity to otherwise fund the repairs and may be required to obtain additional financing, which could materially and adversely affect our business, financial condition, liquidity, and results of operations. Furthermore, our insurance premiums may increase as a result of the threat of climate change or the effects of climate change may not be covered by our insurance policies. In addition, changes in federal and state legislation and regulations on climate change could result in increased capital expenditures to improve the energy efficiency of our existing properties or other related aspects of our properties in order to comply with such regulations or otherwise adapt to climate change.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changes to applicable building and zoning laws, ordinances and codes since the initial construction of our properties may limit a tenant’s ability to restore the premises of a property to its previous condition in the event of a substantial casualty loss with respect to the property or the ability to refurbish, expand or renovate such property to remain compliant, or increase the cost of construction in order to comply with changes in building or zoning codes and regulations. If a tenant is unable to restore a property to its prior use after a substantial casualty loss or is required to comply with more stringent building or zoning codes and regulations, we may be unable to re-lease the space at a comparable effective rent or sell the property at an acceptable price, which may materially and adversely affect our business, financial condition, liquidity, results of operations and prospects.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222885"/>
                <wp:effectExtent l="0" t="0" r="0" b="0"/>
                <wp:wrapNone/>
                <wp:docPr id="29" name="Frame2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60" w:after="283"/>
        <w:jc w:val="both"/>
        <w:rPr/>
      </w:pPr>
      <w:hyperlink w:anchor="ib2fc48f0ddf244d9844b8de22bde2e36_10">
        <w:r>
          <w:rPr>
            <w:rStyle w:val="InternetLink"/>
            <w:rFonts w:ascii="Times New Roman;sans-serif" w:hAnsi="Times New Roman;sans-serif"/>
            <w:b w:val="false"/>
            <w:color w:val="000080"/>
            <w:sz w:val="20"/>
            <w:u w:val="single"/>
          </w:rPr>
          <w:t>Table of Cont</w:t>
        </w:r>
      </w:hyperlink>
      <w:hyperlink w:anchor="ib2fc48f0ddf244d9844b8de22bde2e36_10">
        <w:r>
          <w:rPr>
            <w:rStyle w:val="InternetLink"/>
            <w:rFonts w:ascii="Times New Roman;sans-serif" w:hAnsi="Times New Roman;sans-serif"/>
            <w:b w:val="false"/>
            <w:color w:val="000080"/>
            <w:sz w:val="20"/>
            <w:u w:val="single"/>
          </w:rPr>
          <w:t>ents</w:t>
        </w:r>
      </w:hyperlink>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Terrorist attacks or other acts of violence, including increasing crime rates, may result in declining economic activity, which could harm the demand for services offered by our tenants and the value of our properties or collateral, either generally or with respect to a specific region or property. Such a resulting decrease in demand could make it difficult for us to renew or re-lease our properties to suitable, credit-worthy tenants at lease rates equal to or above historical rates. Terrorist activities, violence or crime also could directly affect the value of our properties through damage, destruction or loss, and the availability of insurance for such acts, or of insurance generally, might be lower or cost more, which could increase our operating expenses and adversely affect our business, results of operations and cash flows. To the extent that any of our tenants or borrowers are affected by future terrorist attacks, acts of violence or crime, its business similarly could be adversely affected, including the ability of our tenants or borrowers to continue to meet their obligations to us. These events might erode business and consumer confidence and spending and might result in increased volatility in national and international financial markets and economies. Any one of these events might decrease demand for real estate, decrease or delay the occupancy of our new or redeveloped properties, and limit our access to capital or increase our cost of raising capital or materially and adversely affect our business, financial condition, liquidity, results of operations and prospects.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The loss of the services of key personnel could have a material adverse effect on our business.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success and ability to grow depends, in large part, upon the leadership and performance of our executive management team, particularly our Chief Executive Officer, our President and Chief Operating Officer, our Chief Financial Officer and our General Counsel. Any unforeseen loss of our executive officers’ services, or any negative market or industry perception with respect to them or arising from their loss, could have a material adverse effect on our business and prospects. We do not have key man or similar life insurance policies covering members of our executive management. We have employment agreements with our executive officers, but these agreements do not guarantee that any given executive will remain with us, and there can be no assurance that any such officers will remain with us. In addition, the appointment or replacement of certain key members of our executive management team may be subject to regulatory approvals based upon suitability determinations by gaming regulatory authorities in certain of the jurisdictions where our properties are located. If any of our executive officers is found unsuitable by any such gaming regulatory authorities, or if we otherwise lose their services, we would have to find alternative candidates and may not be able to successfully manage our business or achieve our business objectives, which could materially and adversely affect our business, financial condition, liquidity, results of operations and prospects.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Environmental compliance costs and liabilities associated with real estate properties owned by us may materially impair the value of those investments.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an owner of real property, we are subject to various federal, state and local environmental and health and safety laws and regulations. For example, we engaged a third‐party environmental consulting firm who performed a regulatory compliance risk assessment that found that four of our properties are currently subject to active energy use benchmarking requirements due to their location. Although we do not operate or manage most of our properties, as they are subject to triple-net leases, we may be held primarily or jointly and severally liable for costs relating to the investigation and clean-up of any property from which there has been a release or threatened release of a regulated material as well as other affected properties, regardless of whether we knew of or caused the release, and to preserve claims for damages. Further, some environmental laws create a lien on a contaminated site in favor of the government for damages and the costs the government incurs in connection with such contamination.</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Although under the lease agreements, our tenants are required to indemnify us for certain environmental liabilities, including environmental liabilities they cause, the amount of such liabilities could exceed the financial ability of the applicable tenants or guarantors to indemnify us. In addition, the presence of contamination or the failure to remediate contamination may adversely affect our ability to sell or lease our properties or to borrow using our properties as collateral, which could adversely affect our business, financial condition, liquidity, results of operations and prospects.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We face risks associated with cybersecurity incidents and other significant disruptions of our information technology (IT) networks and related systems or those IT networks and systems of third parties.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use our own IT networks and related systems to access, store, transmit, and manage or support a variety of our business processes and information. We face risks associated with cybersecurity incidents and other disruptions of our IT networks and related systems, including as a result of cybersecurity attacks or intrusions over the internet, malware or ransomware, computer phishing attempts and other forms of social engineering. We have experienced cybersecurity events such as viruses and attacks on our IT systems. To date, none of these events have had a material impact on our business, operations or financial results. These and future cybersecurity incidents or other disruptions may be caused by individuals within our organization, individuals outside our organization with authorized access, or by unauthorized individuals from outside our organization. The risk of such incidents, particularly through cyber attacks or intrusions, including by computer hackers, foreign governments and cyber terrorists, has generally increased due to the growing number, intensity, and sophistication of attempted attacks and intrusions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222885"/>
                <wp:effectExtent l="0" t="0" r="0" b="0"/>
                <wp:wrapNone/>
                <wp:docPr id="30" name="Frame2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60" w:after="283"/>
        <w:jc w:val="both"/>
        <w:rPr/>
      </w:pPr>
      <w:hyperlink w:anchor="ib2fc48f0ddf244d9844b8de22bde2e36_10">
        <w:r>
          <w:rPr>
            <w:rStyle w:val="InternetLink"/>
            <w:rFonts w:ascii="Times New Roman;sans-serif" w:hAnsi="Times New Roman;sans-serif"/>
            <w:b w:val="false"/>
            <w:color w:val="000080"/>
            <w:sz w:val="20"/>
            <w:u w:val="single"/>
          </w:rPr>
          <w:t>Table of Cont</w:t>
        </w:r>
      </w:hyperlink>
      <w:hyperlink w:anchor="ib2fc48f0ddf244d9844b8de22bde2e36_10">
        <w:r>
          <w:rPr>
            <w:rStyle w:val="InternetLink"/>
            <w:rFonts w:ascii="Times New Roman;sans-serif" w:hAnsi="Times New Roman;sans-serif"/>
            <w:b w:val="false"/>
            <w:color w:val="000080"/>
            <w:sz w:val="20"/>
            <w:u w:val="single"/>
          </w:rPr>
          <w:t>ents</w:t>
        </w:r>
      </w:hyperlink>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worldwide. Although we make efforts to maintain the security and integrity of our IT networks and related systems and have implemented various measures to manage these risks, there can be no assurance that our security efforts and measures will be effective or that attempted incidents or disruptions would not be successful or damaging to our operations. A cybersecurity incident or significant disruption involving our IT networks and related systems could, among other things: (i) disrupt the proper functioning of our networks and systems; (ii) result in misstated financial reports, violations of loan covenants and/or missed reporting deadlines; (iii) lead to our inability to monitor or maintain compliance with applicable legal and regulatory requirements; (iv) result in unauthorized access to, and destruction, loss, theft, misappropriation or release of proprietary, confidential, sensitive or otherwise valuable information, which unauthorized parties could use for competitive purposes or disruptive, destructive or otherwise harmful outcomes; (v) require significant management attention and resources to address or remedy any resulting damages; (vi) expose us to claims for breach of contract, damages, credits, penalties or termination of certain agreements; (vii) subject us to regulatory enforcement actions, including penalties, fines and investigations; and (viii) damage our reputation among our tenants and investors. Any or all of the foregoing could have a material adverse effect on our financial condition, results of operations, cash flow and ability to make distributions with respect to, and the market price of, our common stock. Additionally, increased regulation of data collection, use, and retention practices, including self-regulation and industry standards, changes in existing laws and regulations, enactment of new laws and regulations, increased enforcement activity, and changes in the interpretation of laws, could increase our compliance and operation cost or otherwise harm our business.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the conduct of our business, we and our tenants rely on relationships with third parties, including cloud data storage and other information technology service providers, contractors, and other external business partners, for certain functions or services in support of key portions of our operations. These third-party entities are subject to similar risks relating to cybersecurity, business interruption, and systems and employee failures and an attack against such third-party service provider or partner could have a material adverse effect on our business. Although we may be entitled to damages if relevant third parties fail to satisfy their security-related obligations to us, any award may be insufficient to cover our damages, or we may be unable to recover such award.</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may be exceptions to our insurance coverage that result in our insurance policies not covering some or all aspects of a cybersecurity incident. Even where a cybersecurity incident is covered by our insurance, the insurance limits may not cover the costs of complete remediation and redress that may be required in the wake of a cybersecurity incident. The successful assertion of one or more large claims against us that exceeds our available insurance coverage, or results in changes to our insurance policies (including premium increases or the imposition of large deductible or co-insurance requirements), could have an adverse effect on us. In addition, we cannot be sure that our existing insurance coverage and coverage for errors and omissions will continue to be available on acceptable terms or that our insurers will not deny coverage for any future claim.</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Properties within our portfolio are, and properties that we may acquire in the future are likely to be, operated and promoted under certain trademarks and brand names that we do not own.</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brands under which our properties are operated are trademarks of their respective owners. In addition, properties that we may acquire in the future may be operated and promoted under these same trademarks and brand names, or under different trademarks and brand names we do not, or will not, own. During the term that our properties are managed by our tenants, we will be reliant on our tenants to maintain and protect the trademarks, brand names and other licensed intellectual property used in the operation or promotion of the leased properties. Operation of the leased properties, as well as our business and financial condition, could be adversely impacted by infringement, invalidation, unauthorized use or litigation affecting any such intellectual property. Moreover, if any of our properties are rebranded unsuccessfully, it could have a material adverse effect on our business, financial condition, liquidity, results of operations and prospects, as such properties may not enjoy comparable recognition or status under a different brand. A transition of management away from one of our tenants could also affect such property’s overall strategy and financial performance, which could have a material adverse effect on our business, financial condition, results of operations and prospects.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222885"/>
                <wp:effectExtent l="0" t="0" r="0" b="0"/>
                <wp:wrapNone/>
                <wp:docPr id="31" name="Frame3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60" w:after="283"/>
        <w:jc w:val="both"/>
        <w:rPr/>
      </w:pPr>
      <w:hyperlink w:anchor="ib2fc48f0ddf244d9844b8de22bde2e36_10">
        <w:r>
          <w:rPr>
            <w:rStyle w:val="InternetLink"/>
            <w:rFonts w:ascii="Times New Roman;sans-serif" w:hAnsi="Times New Roman;sans-serif"/>
            <w:b w:val="false"/>
            <w:color w:val="000080"/>
            <w:sz w:val="20"/>
            <w:u w:val="single"/>
          </w:rPr>
          <w:t>Table of Cont</w:t>
        </w:r>
      </w:hyperlink>
      <w:hyperlink w:anchor="ib2fc48f0ddf244d9844b8de22bde2e36_10">
        <w:r>
          <w:rPr>
            <w:rStyle w:val="InternetLink"/>
            <w:rFonts w:ascii="Times New Roman;sans-serif" w:hAnsi="Times New Roman;sans-serif"/>
            <w:b w:val="false"/>
            <w:color w:val="000080"/>
            <w:sz w:val="20"/>
            <w:u w:val="single"/>
          </w:rPr>
          <w:t>ents</w:t>
        </w:r>
      </w:hyperlink>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If our separation from CEOC, together with certain related transactions, does not qualify as a transaction that is generally tax-free for U.S. federal income tax purposes, CEOC could be subject to significant tax liabilities and in certain circumstances, we could be required to indemnify CEOC for material taxes pursuant to indemnification obligations under the Tax Matters Agreement.</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our separation from CEOC in 2017, the IRS issued a private letter ruling with respect to certain relevant issues, including relating to the separation and certain related transactions as tax-free for U.S. federal income tax purposes under certain provisions of the Code. The IRS ruling does not address certain requirements for tax-free treatment of the separation. CEOC received from its tax advisors a tax opinion substantially to the effect that, with respect to such requirements on which the IRS did not rule, such requirements should be satisfied. The IRS ruling and the tax opinion that CEOC received relied on (among other things) certain representations, assumptions and undertakings, including those relating to the past and future conduct of our business, and the IRS ruling, and the opinion would not be valid if such representations, assumptions and undertakings were incorrect in any material respect.</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Notwithstanding the IRS ruling and tax opinion, the IRS could determine the separation should be treated as a taxable transaction for U.S. federal income tax purposes if it determines any of the representations, assumptions or undertakings that were included in the request for the IRS ruling are false or have been violated or if it disagrees with the conclusions in the opinion that are not covered by the IRS ruling.</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If the reorganization fails to qualify for tax-free treatment, in general, CEOC would be subject to tax as if it had sold our assets to us in a taxable sale for their fair market value, and CEOC’s creditors who received shares of our common stock pursuant to the Plan of Reorganization would be subject to tax as if they had received a taxable distribution in respect of their claims equal to the fair market value of such shares.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Under the Tax Matters Agreement that we entered into with Caesars, we generally are required to indemnify Caesars against any tax resulting from the separation to the extent that such tax resulted from certain of our representations or undertakings being incorrect or violated. Our indemnification obligations to Caesars are not limited by any maximum amount. As a result, if we are required to indemnify Caesars or such other persons under the circumstances set forth in the Tax Matters Agreement, we may be subject to substantial liabilities.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The market price and trading volume of shares of our common stock may be volatile.</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market price of our common stock may be volatile. In addition, the stock markets generally may experience significant volatility, often unrelated to the operating performance of the individual companies whose securities are publicly traded. The trading volume in our common stock may fluctuate and cause significant price variations to occur. We cannot make assurances that the market price of our common stock will not fluctuate or decline significantly in the future. If the market price or trading volume of our common stock declines, you may be unable to resell your shares at a profit, or at all.</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Some of the factors, many of which are beyond our control, that could negatively affect the market price of our common stock or result in fluctuations in the price or trading volume of our common stock include:</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actual or anticipated variations in our quarterly results of operations or distributions;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the annual yield from distributions on our common stock as compared to yields on other financial instruments;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changes in our operating performance, earnings, revenues or adjusted funds from operations per share estimates;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changes in market interest rates that may cause purchasers of our shares to demand a higher yield;</w:t>
      </w:r>
    </w:p>
    <w:p>
      <w:pPr>
        <w:pStyle w:val="TextBody"/>
        <w:bidi w:val="0"/>
        <w:spacing w:lineRule="auto" w:line="288" w:before="60" w:after="283"/>
        <w:ind w:left="0" w:right="0" w:hanging="360"/>
        <w:jc w:val="both"/>
        <w:rPr/>
      </w:pPr>
      <w:r>
        <w:rPr>
          <w:color w:val="000000"/>
          <w:shd w:fill="FFFFFF" w:val="clear"/>
        </w:rPr>
        <w:t>•</w:t>
      </w:r>
      <w:r>
        <w:rPr>
          <w:rFonts w:ascii="Times New Roman;sans-serif" w:hAnsi="Times New Roman;sans-serif"/>
          <w:b w:val="false"/>
          <w:color w:val="000000"/>
          <w:sz w:val="20"/>
          <w:shd w:fill="FFFFFF" w:val="clear"/>
        </w:rPr>
        <w:t>changes in general economic conditions and market developments, including inflation, interest rates, supply chain disruptions, consumer confidence levels, changes in consumer spending, unemployment levels and depressed real estate prices resulting from the severity and duration of any downturn in the United States or global economy;</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publication of research reports about us, our tenants or the real estate or gaming industries;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adverse developments involving our tenants;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changes in market valuations of similar companies;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market reaction to any additional capital we raise in the future, including availability and attractiveness of long-term debt financing in connection with future acquisitions;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our operating performance and the performance of other similar companies;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our failure to achieve the anticipated benefits of future and any pending acquisitions and other transactions within the timeframe or to the extent anticipated by financial or industry analysts;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additions or departures of key personnel;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222885"/>
                <wp:effectExtent l="0" t="0" r="0" b="0"/>
                <wp:wrapNone/>
                <wp:docPr id="32" name="Frame3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60" w:after="283"/>
        <w:jc w:val="both"/>
        <w:rPr/>
      </w:pPr>
      <w:hyperlink w:anchor="ib2fc48f0ddf244d9844b8de22bde2e36_10">
        <w:r>
          <w:rPr>
            <w:rStyle w:val="InternetLink"/>
            <w:rFonts w:ascii="Times New Roman;sans-serif" w:hAnsi="Times New Roman;sans-serif"/>
            <w:b w:val="false"/>
            <w:color w:val="000080"/>
            <w:sz w:val="20"/>
            <w:u w:val="single"/>
          </w:rPr>
          <w:t>Table of Cont</w:t>
        </w:r>
      </w:hyperlink>
      <w:hyperlink w:anchor="ib2fc48f0ddf244d9844b8de22bde2e36_10">
        <w:r>
          <w:rPr>
            <w:rStyle w:val="InternetLink"/>
            <w:rFonts w:ascii="Times New Roman;sans-serif" w:hAnsi="Times New Roman;sans-serif"/>
            <w:b w:val="false"/>
            <w:color w:val="000080"/>
            <w:sz w:val="20"/>
            <w:u w:val="single"/>
          </w:rPr>
          <w:t>ents</w:t>
        </w:r>
      </w:hyperlink>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equity issuances by us, or future sales of substantial amounts of our common stock by our existing or future stockholders, or the perception that such issuances or future sales may occur;</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strategic actions taken by us or our competitors, such as acquisitions, divestments, spin-offs, joint ventures, strategic investments or changes in business strategy;</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speculation in the press or investment community about us, our tenants, our industry or the economy in general;</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new laws or regulations or new interpretations of existing laws or regulations applicable to our business and operations or the gaming industry;</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changes in tax or accounting standards, policies, guidance, interpretations or principles;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failure to qualify as a REIT for U.S. federal income tax purposes; and</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the occurrence of any of the other risk factors presented in this Annual Report on Form 10-K or our other SEC filings.</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Risks Related to Our Indebtedness and Financing</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We have a substantial amount of indebtedness, and expect to incur additional indebtedness in the future. Our indebtedness exposes us to the risk of default under our debt obligations, increases the risks associated with a downturn in our business or in the businesses of our tenants, and requires us to use a significant portion of our cash to service our debt obligations.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a substantial amount of indebtedness and debt service requirements. As of December 31, 2023, we had approximately $17.1 billion in long-term indebtedness, and we also had $2.3 billion of available capacity to borrow under the Revolving Credit Facility (with the option to increase the revolving loan commitments by up to $1.0 billion in the aggregate to the extent that any one or more lenders (from the syndicate or otherwise) agree to provide such additional credit extensions).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Payments of principal and interest under this indebtedness, or any other instruments governing debt we may incur in the future, may leave us with insufficient cash resources to pursue our business and growth strategies or to pay the distributions currently contemplated or necessary to qualify or maintain qualification as a REIT. Our substantial outstanding indebtedness or future indebtedness, and the limitations imposed on us by our debt agreements, could have other significant adverse consequences, including the following:</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our cash flow may be insufficient to meet our required principal and interest payments;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our vulnerability to adverse economic, industry or competitive developments may be increased;</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we may be required to use a significant portion of our cash flow from operations for the payment of principal and interest on our indebtedness and we may be unable to borrow additional funds as needed or on favorable terms, which could, among other things, adversely affect our ability to capitalize upon emerging acquisition opportunities, including exercising our rights of first refusal, right of first offer and call rights described herein, or fund future working capital, operational and other corporate needs;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we may be unable to refinance our indebtedness at maturity or the refinancing terms may be less favorable than the terms of our original indebtedness;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shd w:fill="FFFFFF" w:val="clear"/>
        </w:rPr>
        <w:t>we may be forced to dispose of one or more of our properties, possibly on disadvantageous terms or at a loss;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the ability of VICI LP to distribute cash to us may be limited or prohibited, which would materially and adversely affect our ability to make distributions on our common stock;</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we may fail to comply with the covenants in our loan documents, which would entitle the lenders to accelerate payment of outstanding loans; and</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we may be unable to hedge floating rate debt, counterparties may fail to honor their obligations under our hedge agreements and these agreements may not effectively hedge interest rate fluctuation risk.</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If any one of these events were to occur, our business, financial condition, liquidity, results of operations, cash flows and our ability to satisfy our debt service obligations, pay distributions to our stockholders or refinancing existing or future indebtedness could be materially and adversely affected.</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Interest rates have increased, and may continue to do so, increasing our overall interest rate expense, which could adversely affect our stock price.</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rates have increased from historic lows, and the extent to which interest rates continue to rise or the duration of such heightened interest rates are uncertain. The rise in interest rates has increased our overall interest rate expense and may, along with any future interest rate increases, have an adverse impact on our ability to pay distributions to our stockholders. In addition, in an elevated interest rate environment, new debt, whether fixed or variable, is likely to be more expensive than debt that is being refinanced, which could, among other things, make the financing of any acquisition or investment more expensive,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222885"/>
                <wp:effectExtent l="0" t="0" r="0" b="0"/>
                <wp:wrapNone/>
                <wp:docPr id="33" name="Frame3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60" w:after="283"/>
        <w:jc w:val="both"/>
        <w:rPr/>
      </w:pPr>
      <w:hyperlink w:anchor="ib2fc48f0ddf244d9844b8de22bde2e36_10">
        <w:r>
          <w:rPr>
            <w:rStyle w:val="InternetLink"/>
            <w:rFonts w:ascii="Times New Roman;sans-serif" w:hAnsi="Times New Roman;sans-serif"/>
            <w:b w:val="false"/>
            <w:color w:val="000080"/>
            <w:sz w:val="20"/>
            <w:u w:val="single"/>
          </w:rPr>
          <w:t>Table of Cont</w:t>
        </w:r>
      </w:hyperlink>
      <w:hyperlink w:anchor="ib2fc48f0ddf244d9844b8de22bde2e36_10">
        <w:r>
          <w:rPr>
            <w:rStyle w:val="InternetLink"/>
            <w:rFonts w:ascii="Times New Roman;sans-serif" w:hAnsi="Times New Roman;sans-serif"/>
            <w:b w:val="false"/>
            <w:color w:val="000080"/>
            <w:sz w:val="20"/>
            <w:u w:val="single"/>
          </w:rPr>
          <w:t>ents</w:t>
        </w:r>
      </w:hyperlink>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and we may be unable to incur new debt or replace maturing debt with new debt at equal or better interest rates. In the event we replace or refinance maturing debt with new debt at higher interest rates, our overall interest rate expense will increase. This risk can be managed or mitigated by utilizing interest rate protection products including interest rate swaps and forward starting interest rate swaps. Although we have previously used and currently use such products with respect to a portion of our indebtedness, there is no assurance that we will use such products in the future, we will utilize any of these products effectively or that such products will be available to us.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Further, the dividend yield on our common stock (i.e., the annualized distributions per share of our common stock as a percentage of the market price per share of our common stock) will influence the market price of such common stock. Thus, sustained increases in market interest rates may lead prospective purchasers of our common stock to expect a higher dividend yield. In addition, elevated interest rates would likely increase our borrowing costs and potentially decrease our cash available for distribution. Thus, elevated market interest rates could also cause the market price of shares of our common stock to decline.</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Disruption in the equity capital and credit markets may adversely affect our ability to access external funding for our growth and ongoing debt service requirements.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reliant on the capital and credit markets to finance our growth because we are required to distribute to our stockholders an amount equal to at least 90% of our taxable income (other than net capital gains) each year in order to maintain our qualification as a REIT. We expect to issue additional equity and incur additional indebtedness in the future to finance new asset acquisitions or investments or investments in our existing properties through our Partner Property Growth Fund, refinance our existing indebtedness, or for general corporate or other purposes. Our access to financing (both equity and debt) on favorable terms, or at all, depends on a variety of factors, many of which are outside of our control, including general economic conditions, such as interest rate changes, inflation, economic recessions, contractions or slowdowns, our credit ratings and outlook, the willingness of lending institutions and other debt investors to grant credit to us and general conditions in the capital and credit markets, including price volatility, dislocations and liquidity disruptions. In addition, when markets are volatile, access to capital and credit markets could be disrupted over an extended period of time and financial institutions may not have the available capital to meet their previous commitments to us under the Revolving Credit Facility. The failure of financial institutions to meet their funding commitments to us could have a material adverse effect on us, including as a result of making it difficult to obtain additional financing, or financing on favorable terms, that we may need for future growth and/or to refinance our existing indebtedness. We cannot assure you that we will be able to obtain the financing we need for the future growth of our business or to meet our debt service requirements (including refinancing our existing indebtedness), or that a sufficient amount of financing will be available to us on favorable terms, or at all.</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Adverse changes in our credit ratings may affect our borrowing terms and capacity.</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outstanding debt is periodically rated by nationally recognized credit rating agencies. Two out of the three national credit rating agencies currently rate VICI as investment grade. The credit ratings are based upon our operating performance, liquidity and leverage ratios, overall financial condition, and other factors viewed by the credit rating agencies as relevant to both our industry and the economic outlook. Our credit rating may affect the amount of capital we can access, as well as the terms of any financing we obtain, and there is no guarantee that we will realize increased access to capital or improved terms with respect to any financing we obtain as a result of credit rating upgrades (or that we will be able to maintain such upgraded credit ratings). Because we rely in part on debt financing to fund growth, an adverse change in our credit ratings, including actual changes and changes in outlook, or even the initiation of a review of our credit ratings that could result in an adverse change, could have a material adverse effect on us. </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A breach or default of covenants in our debt agreements could materially and adversely affect our business, financial condition, liquidity, results of operations and prospects.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agreements governing our indebtedness contain customary covenants, including restrictions on our ability to incur additional debt, sell certain asset and restrict certain payments, among other things. In addition, we are required to comply with certain financial maintenance covenants. A breach of any of these covenants or covenants under any other agreements governing our indebtedness could result in an event of default. Cross-default provisions in our debt agreements could cause an event of default under one debt agreement to trigger an event of default under our other debt agreements. Upon the occurrence of an event of default under any of our debt agreements, our debt holders could elect to declare all outstanding debt under such agreements to be immediately due and payable. Defaults under our debt instruments could have a material adverse effect on our business, financial condition, liquidity,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222885"/>
                <wp:effectExtent l="0" t="0" r="0" b="0"/>
                <wp:wrapNone/>
                <wp:docPr id="34" name="Frame3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60" w:after="283"/>
        <w:jc w:val="both"/>
        <w:rPr/>
      </w:pPr>
      <w:hyperlink w:anchor="ib2fc48f0ddf244d9844b8de22bde2e36_10">
        <w:r>
          <w:rPr>
            <w:rStyle w:val="InternetLink"/>
            <w:rFonts w:ascii="Times New Roman;sans-serif" w:hAnsi="Times New Roman;sans-serif"/>
            <w:b w:val="false"/>
            <w:color w:val="000080"/>
            <w:sz w:val="20"/>
            <w:u w:val="single"/>
          </w:rPr>
          <w:t>Table of Cont</w:t>
        </w:r>
      </w:hyperlink>
      <w:hyperlink w:anchor="ib2fc48f0ddf244d9844b8de22bde2e36_10">
        <w:r>
          <w:rPr>
            <w:rStyle w:val="InternetLink"/>
            <w:rFonts w:ascii="Times New Roman;sans-serif" w:hAnsi="Times New Roman;sans-serif"/>
            <w:b w:val="false"/>
            <w:color w:val="000080"/>
            <w:sz w:val="20"/>
            <w:u w:val="single"/>
          </w:rPr>
          <w:t>ents</w:t>
        </w:r>
      </w:hyperlink>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We have engaged and may engage in hedging or other derivative transactions that may limit gains or result in losses.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use derivatives from time to time to hedge certain of our liabilities, which may include anticipated liabilities and foreign currency risk. Although the counterparties of these arrangements are major financial institutions, we are exposed to credit risk in the event of non-performance by the counterparties. This has certain risks, including losses on a hedge position, which may reduce the return on our investments. Such losses may exceed the amount invested in such instruments. In addition, counterparties to a hedging arrangement could default on their obligations. We may have to pay certain costs, such as transaction fees or breakage costs, related to hedging transactions. Any such reduced gains or losses from these derivatives may adversely affect our business or financial condition.</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Future incurrences of debt, which would be senior to our shares of common stock upon liquidation, and/or issuance of preferred equity securities, which may be senior to our shares of common stock for purposes of distributions or upon liquidation, could adversely affect the market price of our common stock.</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may in the future attempt to increase our capital resources by incurring additional debt, including medium-term notes, trust preferred securities and senior or subordinated notes, or issuing preferred shares. If a liquidation event were to occur, holders of our debt securities and preferred shares and lenders with respect to other borrowings will receive distributions of our available assets prior to the holders of our shares of common stock. In addition, our preferred stock, if issued, would likely limit our ability to make liquidating or other distributions to the holders of shares of our common stock under certain circumstances. Any future common stock offerings may dilute the holdings of our existing stockholders or reduce the market price of our common stock, or both. Holders of shares of our common stock are not entitled to preemptive rights or other protections against dilution. Since our decision to issue debt securities, incur other forms of indebtedness or to issue additional common stock or preferred stock in the future will depend on future developments, market conditions and other factors beyond our control, we cannot predict or estimate the amount, timing, nature or success of our future offerings. Thus, our stockholders bear the risk of our issuing senior securities, incurring other senior obligations or issuing additional common stock in the future, which may reduce the market price of shares of our common stock, reduce cash available for distribution to common stockholders or dilute their stockholdings in us.</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Risks Related to our Status as a REIT</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We may incur adverse tax consequences if we have failed or fail, to qualify as a REIT for U.S. federal income tax purposes.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Code generally requires that a REIT distribute annually to its stockholders at least 90% of its REIT taxable income (with certain adjustments), determined without regard to the deduction for dividends paid and excluding net capital gains, and that it pay tax at regular corporate rates to the extent that it distributes annually less than 100% of its REIT taxable income, including capital gains. In addition, a REIT is required to pay a 4% nondeductible excise tax on the amount, if any, by which the distributions it makes in a calendar year are less than the sum of 85% of its ordinary income, 95% of its capital gain net income and 100% of its undistributed income from prior years. As a result, in order to avoid or otherwise minimize current entity level U.S. federal income taxes, a substantial portion of our cash flow after operating expenses and debt service will be required to be distributed to our stockholders.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operated, and intend to continue to operate, in a manner that we believe allows us to qualify as a REIT for U.S. federal income tax purposes under the Code. We have not requested or plan to request a ruling from the IRS that we qualify as a REIT. Qualification as a REIT involves the application of highly technical and complex Code provisions for which there are only limited judicial and administrative interpretations. The complexity of these provisions and of the applicable treasury regulations that have been promulgated under the Code is greater in the case of a REIT that holds its assets through a partnership. The determination of various factual matters and circumstances not entirely within our control may affect our ability to qualify as a REIT. In order to qualify as a REIT, we must satisfy a number of requirements, including requirements regarding the ownership of our stock and the composition of our gross income and assets. Also, a REIT must make distributions to stockholders aggregating annually at least 90% of its net taxable income, excluding any net capital gains.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If we lose our REIT status, or are determined to have lost our REIT status in a prior year, such loss or failure would have a material and adverse effect on us. Additionally, we will face material tax consequences that would substantially reduce our cash available for distribution, including cash available to pay dividends to our stockholders, because:</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we would be subject to U.S. federal income tax and state and local income taxes on our net income at regular corporate rates for the years we did not qualify for taxation as a REIT (and, for such years, would not be allowed a deduction for dividends paid to stockholders in computing our taxable income);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222885"/>
                <wp:effectExtent l="0" t="0" r="0" b="0"/>
                <wp:wrapNone/>
                <wp:docPr id="35" name="Frame3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60" w:after="283"/>
        <w:jc w:val="both"/>
        <w:rPr/>
      </w:pPr>
      <w:hyperlink w:anchor="ib2fc48f0ddf244d9844b8de22bde2e36_10">
        <w:r>
          <w:rPr>
            <w:rStyle w:val="InternetLink"/>
            <w:rFonts w:ascii="Times New Roman;sans-serif" w:hAnsi="Times New Roman;sans-serif"/>
            <w:b w:val="false"/>
            <w:color w:val="000080"/>
            <w:sz w:val="20"/>
            <w:u w:val="single"/>
          </w:rPr>
          <w:t>Table of Cont</w:t>
        </w:r>
      </w:hyperlink>
      <w:hyperlink w:anchor="ib2fc48f0ddf244d9844b8de22bde2e36_10">
        <w:r>
          <w:rPr>
            <w:rStyle w:val="InternetLink"/>
            <w:rFonts w:ascii="Times New Roman;sans-serif" w:hAnsi="Times New Roman;sans-serif"/>
            <w:b w:val="false"/>
            <w:color w:val="000080"/>
            <w:sz w:val="20"/>
            <w:u w:val="single"/>
          </w:rPr>
          <w:t>ents</w:t>
        </w:r>
      </w:hyperlink>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for tax years beginning after December 31, 2022, we would possibly also be subject to certain taxes enacted by the Inflation Reduction Act of 2022 that are applicable to non-REIT corporations, including the corporate alternative minimum tax and the nondeductible one percent excise tax on certain stock repurchases;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unless we are entitled to relief under applicable statutory provisions, neither we nor any “successor” corporation, trust or association could elect to be taxed as a REIT until the fifth taxable year following the year during which we were disqualified;</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if we were to re-elect REIT status, we would have to distribute all earnings and profits from non-REIT years before the end of the first new REIT taxable year; and</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for the five years following re-election of REIT status, upon a taxable disposition of an asset owned as of such re-election, we would be subject to corporate-level tax with respect to any built-in gain inherent in such asset at the time of re-election.</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Even if we retain our REIT status, if MGP, which merged into our existing subsidiary pursuant to the MGP Transactions, loses its REIT status for a taxable year ending on or before the effective time of the MGP Transactions, we would be subject to adverse tax consequences that would substantially reduce our cash available for distribution, including cash available to pay dividends to our stockholders, because:</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unless we are entitled to relief under applicable statutory provisions, VICI, as the “successor” by merger to MGP for U.S. federal income tax purposes, could not elect to be taxed as a REIT until the fifth taxable year following the year during which MGP was disqualified;</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VICI, as the successor by merger to MGP, would be subject to any corporate income tax liabilities of MGP, including penalties and interest;</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assuming that we otherwise maintained our REIT qualification, we would be subject to corporate-level tax on the built-in gain in each asset of MGP existing at the time of the MGP Transactions if we were to dispose of such MGP asset during the five-year period following the MGP Transactions; and</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assuming that we otherwise maintained our REIT qualification, we would succeed to any earnings and profits accumulated by MGP for taxable periods that it did not qualify as a REIT, and we would have to pay a special dividend and/or employ applicable deficiency dividend procedures (including interest payments to the IRS) to eliminate such earnings and profits (or if we do not timely distribute those earnings and profits, we could fail to qualify as a REIT).</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if there is an adjustment to MGP’s taxable income or dividends paid deductions, we could elect to use the deficiency dividend procedure in order to maintain MGP’s REIT status. That deficiency dividend procedure could require us to make significant distributions to our stockholders and to pay significant interest to the IRS.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of these factors, our failure or MGP’s failure (before the MGP Transactions) to qualify as a REIT could impair our ability to expand our business and raise capital, and would materially adversely affect the market value of our common stock.</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Qualification to be taxed as a REIT involves highly technical and complex provisions of the Code, and violations of these provisions could jeopardize our REIT qualification.</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Qualification as a REIT involves the application of highly technical and complex Code provisions for which only limited judicial and administrative authorities exist. Even a technical or inadvertent violation could jeopardize our REIT qualification. Our qualification as a REIT depends on our satisfaction of certain asset, income, organizational, distribution, stockholder ownership and other requirements on a continuing basis. In addition, our ability to satisfy the requirements to qualify as a REIT may depend in part on the actions of third parties over which we have no control or only limited influence, including in cases where we own an equity interest in an entity that is classified as a partnership for U.S. federal income tax purposes.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Changes to the U.S. federal income tax laws, including the enactment of certain tax reform measures, could have a material and adverse effect on us.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U.S. federal income tax laws governing REITs and other corporations and the administrative interpretations of those laws may be amended at any time, potentially with retroactive effect. Changes to the U.S. federal income tax laws, including the possibility of major tax legislation, could have a material and adverse effect on us or our stockholders. We cannot predict whether, when, to what extent or with what effective dates new U.S. federal tax laws, regulations, interpretations or rulings will be issued. Prospective investors are urged to consult their tax advisors regarding the effect of potential changes to the U.S. federal tax laws on an investment in our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222885"/>
                <wp:effectExtent l="0" t="0" r="0" b="0"/>
                <wp:wrapNone/>
                <wp:docPr id="36" name="Frame3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60" w:after="283"/>
        <w:jc w:val="both"/>
        <w:rPr/>
      </w:pPr>
      <w:hyperlink w:anchor="ib2fc48f0ddf244d9844b8de22bde2e36_10">
        <w:r>
          <w:rPr>
            <w:rStyle w:val="InternetLink"/>
            <w:rFonts w:ascii="Times New Roman;sans-serif" w:hAnsi="Times New Roman;sans-serif"/>
            <w:b w:val="false"/>
            <w:color w:val="000080"/>
            <w:sz w:val="20"/>
            <w:u w:val="single"/>
          </w:rPr>
          <w:t>Table of Cont</w:t>
        </w:r>
      </w:hyperlink>
      <w:hyperlink w:anchor="ib2fc48f0ddf244d9844b8de22bde2e36_10">
        <w:r>
          <w:rPr>
            <w:rStyle w:val="InternetLink"/>
            <w:rFonts w:ascii="Times New Roman;sans-serif" w:hAnsi="Times New Roman;sans-serif"/>
            <w:b w:val="false"/>
            <w:color w:val="000080"/>
            <w:sz w:val="20"/>
            <w:u w:val="single"/>
          </w:rPr>
          <w:t>ents</w:t>
        </w:r>
      </w:hyperlink>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We could fail to qualify to be taxed as a REIT if income we receive from our tenants is not treated as qualifying income.</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Under applicable provisions of the Code, we will not be treated as a REIT unless we satisfy various requirements, including requirements relating to the sources of our gross income. The complexity of these provisions of the Code and of the applicable treasury regulations that have been promulgated under the Code is greater in the case of a REIT such as us that holds its assets directly or indirectly through a partnership. Rents received or accrued by us from our tenants will not be treated as qualifying rent for purposes of these requirements if the leases are not respected as true leases for U.S. federal income tax purposes and instead are treated as service contracts, joint ventures, financings or some other type of arrangement. If some or all of our leases are not respected as true leases for U.S. federal income tax purposes, we may fail to qualify to be taxed as a REIT. Furthermore, our qualification as a REIT will depend on our satisfaction of certain asset, income, organizational, distribution, stockholder ownership and other requirements on a continuing basis. Our ability to satisfy the asset tests depends upon our analysis of the characterization and fair market values of our assets, some of which are not susceptible to a precise determination, and for which we may not obtain independent appraisals.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subject to certain exceptions, rents received or accrued by us from any tenant (or affiliated tenants) will not be treated as qualifying rent for purposes of these requirements if we (or an actual or constructive owner of 10% or more of our stock) actually or constructively owns 10% or more of the total combined voting power of all classes of such tenant’s stock entitled to vote or 10% or more of the total value of all classes of such tenant’s stock. Our charter provides restrictions on ownership and transfer of our shares of stock, including restrictions on such ownership or transfer that would cause the rents received or accrued by us from tenants to be treated as non-qualifying rent for purposes of the REIT gross income requirements. Nevertheless, there can be no assurance that such restrictions will be effective in ensuring that rents received or accrued by us from tenants will not be treated as qualifying rent for purposes of REIT qualification requirements.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REIT distribution requirements could adversely affect our ability to execute our business plan.</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generally must distribute annually to our stockholders at least 90% of our REIT taxable income (with certain adjustments), determined without regard to the dividends paid deduction and excluding any net capital gains, in order for us to qualify as a REIT so that U.S. federal corporate income tax does not apply to our earnings that we distribute. To the extent that we satisfy this distribution requirement and qualify for taxation as a REIT but distribute less than 100% of our REIT taxable income, determined without regard to the dividends paid deduction and including any net capital gains, we will be subject to U.S. federal corporate income tax on any undistributed portion of such taxable income. In addition, we will be subject to a 4% nondeductible excise tax if the actual amount that we distribute to our stockholders in a calendar year is less than a minimum amount specified under U.S. federal tax laws. We intend to make distributions to our stockholders to comply with the REIT requirements of the Code and to avoid or otherwise minimize paying entity level federal or excise tax (other than at any taxable REIT subsidiary of ours). We may generate taxable income greater than our income for financial reporting purposes prepared in accordance with GAAP. Further, we may generate taxable income greater than our cash flow from operations after operating expenses and debt service as a result of differences in timing between the recognition of taxable income and the actual receipt of cash or the effect of nondeductible capital expenditures, the creation of reserves or required debt or amortization payments. In order to avoid or otherwise minimize current entity level U.S. federal income taxes, we will generally be required to distribute sufficient cash flow after operating expenses and debt service payments to satisfy the REIT distribution requirements. While we intend to make distributions to our stockholders to comply with the REIT requirements of the Code, we may not have sufficient liquidity to meet the REIT distribution requirements. If our cash flow is insufficient to satisfy the REIT distribution requirements, we could be required to raise capital on unfavorable terms, sell assets at disadvantageous prices, distribute amounts that would otherwise be invested in future acquisitions or issue dividends in the form of shares of our common stock to make distributions sufficient to enable us to pay out enough of our REIT taxable income to satisfy the REIT distribution requirement and to avoid or otherwise minimize corporate income tax and the 4% excise tax in a particular year. These alternatives could increase our costs or change the value of our equity. Thus, compliance with the REIT requirements may hinder our ability to grow, which could adversely affect the market price of our common stock.</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Even if we qualify as a REIT, we may face other tax liabilities that reduce our cash flow.</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Even if we qualify for taxation as a REIT, we may be subject to certain U.S. federal, state and local taxes on our income and assets, including taxes on any undistributed income and state or local income, property and transfer taxes. For example, in order to meet the REIT qualification requirements, we currently hold and expect in the future to hold some of our assets and conduct certain of our activities through one or more taxable REIT subsidiaries or other subsidiary corporations that will be subject to federal, state, and local corporate-level income taxes as regular C corporations (i.e., corporations generally subject to corporate-level income tax under Subchapter C of Chapter 1 the Code). In addition, we may incur a 100% excise tax on transactions with a taxable REIT subsidiary if they are not conducted on an arm’s length basis. Any of these taxes would decrease cash available for distribution to our stockholders.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222885"/>
                <wp:effectExtent l="0" t="0" r="0" b="0"/>
                <wp:wrapNone/>
                <wp:docPr id="37" name="Frame3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60" w:after="283"/>
        <w:jc w:val="both"/>
        <w:rPr/>
      </w:pPr>
      <w:hyperlink w:anchor="ib2fc48f0ddf244d9844b8de22bde2e36_10">
        <w:r>
          <w:rPr>
            <w:rStyle w:val="InternetLink"/>
            <w:rFonts w:ascii="Times New Roman;sans-serif" w:hAnsi="Times New Roman;sans-serif"/>
            <w:b w:val="false"/>
            <w:color w:val="000080"/>
            <w:sz w:val="20"/>
            <w:u w:val="single"/>
          </w:rPr>
          <w:t>Table of Cont</w:t>
        </w:r>
      </w:hyperlink>
      <w:hyperlink w:anchor="ib2fc48f0ddf244d9844b8de22bde2e36_10">
        <w:r>
          <w:rPr>
            <w:rStyle w:val="InternetLink"/>
            <w:rFonts w:ascii="Times New Roman;sans-serif" w:hAnsi="Times New Roman;sans-serif"/>
            <w:b w:val="false"/>
            <w:color w:val="000080"/>
            <w:sz w:val="20"/>
            <w:u w:val="single"/>
          </w:rPr>
          <w:t>ents</w:t>
        </w:r>
      </w:hyperlink>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Complying with REIT requirements may cause us to liquidate or forgo otherwise attractive opportunities and limit our expansion opportunities.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 qualify as a REIT for U.S. federal income tax purposes, we must continually satisfy tests concerning, among other things, our sources of income, the nature of our investments in real estate and related assets, the amounts we distribute to our stockholders and the ownership of our stock. We may also be required to make distributions to stockholders at disadvantageous times or when we do not have funds readily available for distribution. </w:t>
      </w:r>
    </w:p>
    <w:p>
      <w:pPr>
        <w:pStyle w:val="TextBody"/>
        <w:bidi w:val="0"/>
        <w:spacing w:lineRule="auto" w:line="288" w:before="180" w:after="283"/>
        <w:jc w:val="both"/>
        <w:rPr/>
      </w:pPr>
      <w:r>
        <w:rPr>
          <w:rFonts w:ascii="Times New Roman;sans-serif" w:hAnsi="Times New Roman;sans-serif"/>
          <w:b w:val="false"/>
          <w:color w:val="000000"/>
          <w:sz w:val="20"/>
        </w:rPr>
        <w:t>As a REIT, we must ensure that, at the end of each calendar quarter, at least 75% of the value of our assets consists of cash, cash items, government securities and “real estate assets” (as defined in the Code), including certain mortgage loans and securities. The remainder of our investments (other than government securities, qualified real estate assets and securities issued by a taxable REIT subsidiary) generally cannot include more than 10% of the outstanding voting securities of any one issuer or more than 10% of the total value of the outstanding securities of any one issuer. In addition, in general, no more than 5% of the value of our total assets (other than government securities, qualified real estate assets and securities issued by a taxable REIT subsidiary) can consist of the securities of any one issuer, and no more than 20% of the value of our total assets can be represented by securities of one or more taxable REIT subsidiaries. In addition, not more than 25% of our total assets may be represented by debt instruments issued by publicly offered REITs that are “nonqualified” debt instruments.</w:t>
      </w:r>
      <w:r>
        <w:rPr>
          <w:color w:val="000000"/>
        </w:rPr>
        <w:t xml:space="preserve"> </w:t>
      </w:r>
      <w:r>
        <w:rPr>
          <w:rFonts w:ascii="Times New Roman;sans-serif" w:hAnsi="Times New Roman;sans-serif"/>
          <w:b w:val="false"/>
          <w:color w:val="000000"/>
          <w:sz w:val="20"/>
        </w:rPr>
        <w:t>If we fail to comply with these requirements at the end of any calendar quarter, we must correct the failure within 30 days after the end of the calendar quarter or qualify for certain statutory relief provisions to avoid losing our REIT qualification and suffering adverse tax consequences. As a result, we may be required to liquidate from our portfolio, or contribute to a taxable REIT subsidiary, or forgo otherwise attractive investments in order to maintain our qualification as a REIT. These actions could have the effect of reducing our income and amounts available for distribution to our stockholders. In addition to the asset tests set forth above, to qualify as a REIT we must continually satisfy tests concerning, among other things, the sources of our income, the amounts we distribute to our stockholders and the ownership of our stock. We may be unable to pursue investments that would be otherwise advantageous to us in order to satisfy the source-of-income or asset-diversification requirements for qualifying as a REIT. Thus, compliance with the REIT requirements may hinder our ability to make certain attractive investments.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Complying with REIT requirements may limit our ability to hedge effectively and may cause us to incur tax liabilities.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REIT provisions of the Code substantially limit our ability to hedge our assets and liabilities. Income from certain hedging transactions that we may enter into to manage risk of interest rate changes with respect to borrowings made or to be made to acquire or carry real estate assets or from transactions to manage risk of currency fluctuations with respect to any item of income or gain that satisfy the REIT gross income tests (including gain from the termination of such a transaction) does not constitute “gross income” for purposes of the 75% or 95% gross income tests that apply to REITs, provided that certain identification requirements are met. To the extent that we enter into other types of hedging transactions or fail to properly identify such transaction as a hedge, the income is likely to be treated as non-qualifying income for purposes of both of the gross income tests. As a result of these rules, we may be required to limit our use of advantageous hedging techniques or implement those hedges through a taxable REIT subsidiary. This could increase the cost of our hedging activities because the taxable REIT subsidiary may be subject to tax on gains or expose us to greater risks associated with changes in interest rates that we would otherwise want to bear. In addition, losses in the taxable REIT subsidiary will generally not provide any tax benefit, except that such losses could theoretically be carried back or forward against past or future taxable income of the taxable REIT subsidiary.</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The cash available for distribution to stockholders may not be sufficient to pay dividends at expected levels, nor can we make assurances of our ability to make distributions in the future. We may use borrowed funds to make distributions.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cash available for distribution is less than the amount necessary to make cash distributions, our inability to make the expected distributions could result in a decrease in the market price of our common stock. All distributions will be made at the discretion of our Board of Directors and will depend upon various factors, including, but not limited to: our historical and projected financial condition, cash flows, results of operations and REIT taxable income, limitations contained in financing instruments, debt service requirements, operating cash inflows and outflows, including capital expenditures and acquisitions, limitations on our ability to use cash generated in one or more taxable REIT subsidiaries, if any, to fund distributions and applicable law. We may not be able to make distributions in the future. In addition, some of our distributions may include a return of capital. To the extent that we decide to make distributions in excess of our current and accumulated earnings and profits in the future, such distributions would generally be considered a return of capital for federal income tax purposes to the extent of the holder’s adjusted tax basis in their shares. A return of capital is not taxable, but it has the effect of reducing the holder’s adjusted tax basis in our common stock. To the extent that such distributions exceed the adjusted tax basis of a holder’s shares, they will be treated as gain from the sale or exchange of such stock. If we borrow to fund distributions, our future interest costs would increase, thereby reducing our earnings and cash available for distribution from what they otherwise would have been.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222885"/>
                <wp:effectExtent l="0" t="0" r="0" b="0"/>
                <wp:wrapNone/>
                <wp:docPr id="38" name="Frame3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60" w:after="283"/>
        <w:jc w:val="both"/>
        <w:rPr/>
      </w:pPr>
      <w:hyperlink w:anchor="ib2fc48f0ddf244d9844b8de22bde2e36_10">
        <w:r>
          <w:rPr>
            <w:rStyle w:val="InternetLink"/>
            <w:rFonts w:ascii="Times New Roman;sans-serif" w:hAnsi="Times New Roman;sans-serif"/>
            <w:b w:val="false"/>
            <w:color w:val="000080"/>
            <w:sz w:val="20"/>
            <w:u w:val="single"/>
          </w:rPr>
          <w:t>Table of Cont</w:t>
        </w:r>
      </w:hyperlink>
      <w:hyperlink w:anchor="ib2fc48f0ddf244d9844b8de22bde2e36_10">
        <w:r>
          <w:rPr>
            <w:rStyle w:val="InternetLink"/>
            <w:rFonts w:ascii="Times New Roman;sans-serif" w:hAnsi="Times New Roman;sans-serif"/>
            <w:b w:val="false"/>
            <w:color w:val="000080"/>
            <w:sz w:val="20"/>
            <w:u w:val="single"/>
          </w:rPr>
          <w:t>ents</w:t>
        </w:r>
      </w:hyperlink>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purposes of satisfying the minimum distribution requirement to qualify for and maintain REIT status, our REIT taxable income will be calculated without reference to our cash flow. Consequently, under certain circumstances, we may not have available cash to make our required distributions, and we may need to raise additional equity or debt in order to fund our intended distributions, or we may distribute a portion of our distributions in the form of our common stock or debt instruments, which could result in dilution or higher leverage, respectively. While the IRS has issued a revenue procedure indicating that certain distributions that are made partly in cash and partly in stock will be treated as taxable dividends that would satisfy that REIT annual distribution requirement and qualify for the dividends paid deduction for U.S. federal income tax purposes, no assurance can be provided that we will be able to satisfy the requirements of the revenue procedure. Therefore, it is unclear whether and to what extent we will be able to make taxable dividends payable in-kind. In addition, to the extent we were to make distributions that include our common stock or debt instruments, a stockholder of ours will be required to report dividend income as a result of such distributions even though we distributed no cash or only nominal amounts of cash to such stockholder.</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In the event that we recognize a significant gain from cash settlement of a forward sale agreement, the U.S. federal income tax treatment of the cash that we receive in such instance is unclear and could impact our ability to meet the REIT qualification requirements.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enter into forward sale agreements from time to time and, subject to certain conditions, we have the right to elect physical, cash or net share settlement under these agreements at any time and from time to time, in part or in full. In the event that we elect to settle a forward sale agreement for cash and the settlement price is below the forward sale price, we would be entitled to receive a cash payment from the applicable forward purchaser(s). Under Section 1032 of the Code, generally, no gains and losses are recognized by a corporation in dealing in its own shares, including pursuant to a “securities futures contract,” as defined in the Code by reference to the Exchange Act. Although we believe that any amount received by us in exchange for our shares of common stock would qualify for the exemption under Section 1032 of the Code, because it is not entirely clear whether a forward sale agreement qualifies as a “securities futures contract,” the U.S. federal income tax treatment of any cash settlement payment we receive is uncertain. In the event that we recognize a significant gain from the cash settlement of a forward sale agreement, we might not be able to satisfy the gross income requirements applicable to REITs under the Code. If we were to fail to satisfy one or both of the gross income tests for any taxable year, we may nevertheless qualify as a REIT for such year if we were entitled to relief under certain provisions of the Code. If these relief provisions were inapplicable, we would not qualify to be taxed as a REIT.</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Risks Related to Our Organizational Structure</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VICI is a holding company with no direct operations and relies on distributions received from VICI OP to make distributions to its stockholders.</w:t>
      </w:r>
    </w:p>
    <w:p>
      <w:pPr>
        <w:pStyle w:val="TextBody"/>
        <w:bidi w:val="0"/>
        <w:spacing w:lineRule="auto" w:line="288" w:before="180" w:after="283"/>
        <w:jc w:val="both"/>
        <w:rPr/>
      </w:pPr>
      <w:r>
        <w:rPr>
          <w:rFonts w:ascii="Times New Roman;sans-serif" w:hAnsi="Times New Roman;sans-serif"/>
          <w:b w:val="false"/>
          <w:color w:val="000000"/>
          <w:sz w:val="20"/>
        </w:rPr>
        <w:t xml:space="preserve">VICI is a holding company and conducts its operations through direct and indirect subsidiaries, including VICI OP and VICI Golf. VICI does not have, apart from the units that it owns in VICI OP and VICI Golf, any independent operations. As a result, VICI relies on distributions from VICI OP to make any distributions to its stockholders it might declare on its common stock and to meet any of its obligations, including any tax liability on taxable income allocated to it from VICI OP (which might not be able to make distributions to VICI equal to the tax on such allocated taxable income). In turn, the ability of subsidiaries of VICI OP to make distributions to VICI OP, and therefore, the ability of VICI OP to make distributions to VICI, depends on the operating results of these subsidiaries and VICI OP and on the terms of any financing arrangements they have entered into. </w:t>
      </w:r>
      <w:r>
        <w:rPr>
          <w:rFonts w:ascii="Times New Roman;sans-serif" w:hAnsi="Times New Roman;sans-serif"/>
          <w:b w:val="false"/>
          <w:color w:val="000000"/>
          <w:sz w:val="20"/>
          <w:shd w:fill="FFFFFF" w:val="clear"/>
        </w:rPr>
        <w:t>In addition, because VICI is a holding company, claims of common stockholders of VICI are structurally subordinated to all existing and future liabilities and other obligations (whether or not for borrowed money) and any preferred equity of VICI OP and its subsidiaries. Therefore, in the event of our bankruptcy, liquidation or reorganization, VICI’s assets and those of VICI OP and its subsidiaries will be available to satisfy the claims of VICI common stockholders only after all of VICI’s, VICI OP’s and its subsidiaries’ liabilities and other obligations and any preferred equity of any of them have been paid in full.</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VICI OP may, in connection with its acquisition of additional properties or otherwise, issue additional common units or preferred units to third parties. Such issuances would reduce VICI’s ownership in VICI OP. Because stockholders of VICI do not directly own common units or preferred units of VICI OP, they do not have any voting rights with respect to any such issuances or other partnership level activities of VICI OP.</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222885"/>
                <wp:effectExtent l="0" t="0" r="0" b="0"/>
                <wp:wrapNone/>
                <wp:docPr id="39" name="Frame3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60" w:after="283"/>
        <w:jc w:val="both"/>
        <w:rPr/>
      </w:pPr>
      <w:hyperlink w:anchor="ib2fc48f0ddf244d9844b8de22bde2e36_10">
        <w:r>
          <w:rPr>
            <w:rStyle w:val="InternetLink"/>
            <w:rFonts w:ascii="Times New Roman;sans-serif" w:hAnsi="Times New Roman;sans-serif"/>
            <w:b w:val="false"/>
            <w:color w:val="000080"/>
            <w:sz w:val="20"/>
            <w:u w:val="single"/>
          </w:rPr>
          <w:t>Table of Cont</w:t>
        </w:r>
      </w:hyperlink>
      <w:hyperlink w:anchor="ib2fc48f0ddf244d9844b8de22bde2e36_10">
        <w:r>
          <w:rPr>
            <w:rStyle w:val="InternetLink"/>
            <w:rFonts w:ascii="Times New Roman;sans-serif" w:hAnsi="Times New Roman;sans-serif"/>
            <w:b w:val="false"/>
            <w:color w:val="000080"/>
            <w:sz w:val="20"/>
            <w:u w:val="single"/>
          </w:rPr>
          <w:t>ents</w:t>
        </w:r>
      </w:hyperlink>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Our charter and bylaws contain provisions that may delay, defer or prevent an acquisition of our common stock or a change in control.</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charter and bylaws contain provisions, the exercise or existence of which could delay, defer or prevent a transaction or a change in control that might involve a premium price for our stockholders or otherwise be in their best interests, including the following:</w:t>
      </w:r>
    </w:p>
    <w:p>
      <w:pPr>
        <w:pStyle w:val="TextBody"/>
        <w:bidi w:val="0"/>
        <w:spacing w:lineRule="auto" w:line="288" w:before="180" w:after="283"/>
        <w:jc w:val="both"/>
        <w:rPr/>
      </w:pPr>
      <w:r>
        <w:rPr>
          <w:color w:val="000000"/>
        </w:rPr>
        <w:t xml:space="preserve">• </w:t>
      </w:r>
      <w:r>
        <w:rPr>
          <w:rFonts w:ascii="Times New Roman;sans-serif" w:hAnsi="Times New Roman;sans-serif"/>
          <w:b w:val="false"/>
          <w:i/>
          <w:color w:val="000000"/>
          <w:sz w:val="20"/>
        </w:rPr>
        <w:t>Our charter contains restrictions on the ownership and transfer of our stock.</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order for us to qualify as a REIT, no more than 50% of the value of outstanding shares of our stock may be owned, beneficially or constructively, by five or fewer individuals (or certain other persons) at any time during the last half of each taxable year (“closely held”). Subject to certain exceptions, our charter prohibits any stockholder from owning beneficially or constructively, with respect to any class or series of our capital stock, more than 9.8% (in value or by number of shares, whichever is more restrictive) of the aggregate of the outstanding shares of such class or series of our capital stock.</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constructive ownership rules under the Code are complex and may cause the outstanding stock owned by a group of related individuals or entities to be deemed to be constructively owned by one individual or entity. As a result, the acquisition of 9.8% or less of the outstanding shares of a class or series of our stock by an individual or entity could cause that individual or entity or another individual or entity to own constructively in excess of the relevant ownership limits.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Among other restrictions on ownership and transfer of shares, our charter also prohibits any person from owning shares of our stock that would result in our being “closely held” under Section 856(h) of the Code or otherwise cause us to fail to qualify as a REIT. Any attempt to own or transfer shares of our common stock or of any of our other capital stock in violation of these restrictions may result in the shares being automatically transferred to a charitable trust or may be void.</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charter provides that our board may grant exceptions to the 9.8% ownership limit, subject in each case to certain initial and ongoing conditions designed to protect our status as a REIT. These ownership limits may prevent a third-party from acquiring control of us if our Board of Directors does not grant an exemption from the ownership limits, even if our stockholders believe the change in control is in their best interests. An exemption from the 9.8% ownership limit has previously been granted to certain stockholders, and our board may in the future provide exceptions to the ownership limit for other stockholders, subject to the aforementioned initial and ongoing conditions designed to protect our status as a REIT.</w:t>
      </w:r>
    </w:p>
    <w:p>
      <w:pPr>
        <w:pStyle w:val="TextBody"/>
        <w:bidi w:val="0"/>
        <w:spacing w:lineRule="auto" w:line="288" w:before="180" w:after="283"/>
        <w:jc w:val="both"/>
        <w:rPr>
          <w:color w:val="000000"/>
        </w:rPr>
      </w:pPr>
      <w:r>
        <w:rPr>
          <w:color w:val="000000"/>
        </w:rPr>
        <w:t xml:space="preserve">• </w:t>
      </w:r>
      <w:r>
        <w:rPr>
          <w:rFonts w:ascii="Times New Roman;sans-serif" w:hAnsi="Times New Roman;sans-serif"/>
          <w:b w:val="false"/>
          <w:i/>
          <w:color w:val="000000"/>
          <w:sz w:val="20"/>
        </w:rPr>
        <w:t>Our Board of Directors has the power to cause us to issue and authorize additional shares of our capital stock without stockholder approval.</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charter authorizes us to issue authorized but unissued shares of common or preferred stock in addition to the shares of common stock issued and outstanding. In addition, our Board of Directors may, without stockholder approval, amend our charter to increase the aggregate number of our shares of stock or the number of shares of stock of any class or series that we have authority to issue and classify or reclassify any unissued shares of common or preferred stock and set the preferences, rights and other terms of the classified or reclassified shares. As a result, our Board of Directors may establish a class or series of shares of common or preferred stock that could delay or prevent a transaction or a change in control that might involve a premium price for our shares of common stock or otherwise be in the best interests of our stockholders.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Certain provisions of Maryland law may limit the ability of a third party to acquire control of us.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Certain provisions of the MGCL may have the effect of inhibiting a third party from acquiring us or of impeding a change of control under circumstances that otherwise could provide our common stockholders with the opportunity to realize a premium over the then prevailing market price of such shares, including:</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business combination” provisions that, subject to limitations, (a) prohibit certain business combinations between an “interested stockholder” (defined generally as any person who beneficially owns 10% or more of the voting power of our outstanding shares of voting stock or an affiliate or associate of ours who, at any time within the two-year period immediately prior to the date in question, was the beneficial owner of 10% or more of the voting power of our then outstanding shares of our common stock) or an affiliate of any interested stockholder and us for five years after the most recent date on which the stockholder becomes an interested stockholder, and (b) thereafter impose two super-majority stockholder voting requirements on these combinations; and</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 xml:space="preserve">control share” provisions that provide that holders of “control shares” of our company (defined as voting shares of stock that, if aggregated with all other shares of stock owned or controlled by the acquirer (except solely by virtue of a revocable proxy), would entitle the acquirer to exercise one of three increasing ranges of voting power in electing directors) acquired in a “control share acquisition” (defined as the direct or indirect acquisition of ownership or control of “control shares”) have no voting rights with respect to “control shares” except to the extent approved by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222885"/>
                <wp:effectExtent l="0" t="0" r="0" b="0"/>
                <wp:wrapNone/>
                <wp:docPr id="40" name="Frame3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60" w:after="283"/>
        <w:jc w:val="both"/>
        <w:rPr/>
      </w:pPr>
      <w:hyperlink w:anchor="ib2fc48f0ddf244d9844b8de22bde2e36_10">
        <w:r>
          <w:rPr>
            <w:rStyle w:val="InternetLink"/>
            <w:rFonts w:ascii="Times New Roman;sans-serif" w:hAnsi="Times New Roman;sans-serif"/>
            <w:b w:val="false"/>
            <w:color w:val="000080"/>
            <w:sz w:val="20"/>
            <w:u w:val="single"/>
          </w:rPr>
          <w:t>Table of Cont</w:t>
        </w:r>
      </w:hyperlink>
      <w:hyperlink w:anchor="ib2fc48f0ddf244d9844b8de22bde2e36_10">
        <w:r>
          <w:rPr>
            <w:rStyle w:val="InternetLink"/>
            <w:rFonts w:ascii="Times New Roman;sans-serif" w:hAnsi="Times New Roman;sans-serif"/>
            <w:b w:val="false"/>
            <w:color w:val="000080"/>
            <w:sz w:val="20"/>
            <w:u w:val="single"/>
          </w:rPr>
          <w:t>ents</w:t>
        </w:r>
      </w:hyperlink>
    </w:p>
    <w:p>
      <w:pPr>
        <w:pStyle w:val="TextBody"/>
        <w:bidi w:val="0"/>
        <w:spacing w:lineRule="auto" w:line="288" w:before="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stockholders by the affirmative vote of at least two-thirds of all of the votes entitled to be cast on the matter, excluding all votes entitled to be cast by the acquirer of control shares, and by any of our officers and employees who are also our directors.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charter provides that, notwithstanding any other provision of our charter or our bylaws, the Maryland Business Combination Act (Title 3, Subtitle 6 of the MGCL) does not apply to any business combination between us and any interested stockholder or any affiliate of any interested stockholder of ours and that we expressly elect not to be governed by the provisions of Section 3-602 of the MGCL in whole or in part. Pursuant to the MGCL, our bylaws contain a provision exempting from the Maryland Control Share Acquisition Act any and all acquisitions by any person of shares of our stock. There can be no assurance that any of these provisions of our charter or bylaws will not be amended or eliminated at any time in the future.</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provisions of Title 3, Subtitle 8 of the MGCL permit a Maryland corporation such as the Company, by action of its board of directors and without stockholder approval and regardless of what is provided in the charter or bylaws, to elect to avail itself of certain takeover defenses, such as a classified board, unless the charter or a resolution adopted by the board of directors prohibits such election. Our charter provides that we are prohibited from making any such election unless first approved by our stockholders by the affirmative vote of a majority of all votes entitled to be cast on the matter.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4169" w:type="dxa"/>
        <w:jc w:val="center"/>
        <w:tblInd w:w="0" w:type="dxa"/>
        <w:tblLayout w:type="fixed"/>
        <w:tblCellMar>
          <w:top w:w="28" w:type="dxa"/>
          <w:left w:w="28" w:type="dxa"/>
          <w:bottom w:w="28" w:type="dxa"/>
          <w:right w:w="28" w:type="dxa"/>
        </w:tblCellMar>
      </w:tblPr>
      <w:tblGrid>
        <w:gridCol w:w="423"/>
        <w:gridCol w:w="373"/>
        <w:gridCol w:w="374"/>
        <w:gridCol w:w="877"/>
        <w:gridCol w:w="877"/>
        <w:gridCol w:w="1245"/>
      </w:tblGrid>
      <w:tr>
        <w:trPr/>
        <w:tc>
          <w:tcPr>
            <w:tcW w:w="42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ITEM 1B.</w:t>
            </w:r>
          </w:p>
        </w:tc>
        <w:tc>
          <w:tcPr>
            <w:tcW w:w="2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Unresolved Staff Comments</w:t>
            </w:r>
          </w:p>
        </w:tc>
      </w:tr>
    </w:tbl>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775" w:type="dxa"/>
        <w:jc w:val="center"/>
        <w:tblInd w:w="0" w:type="dxa"/>
        <w:tblLayout w:type="fixed"/>
        <w:tblCellMar>
          <w:top w:w="28" w:type="dxa"/>
          <w:left w:w="28" w:type="dxa"/>
          <w:bottom w:w="28" w:type="dxa"/>
          <w:right w:w="28" w:type="dxa"/>
        </w:tblCellMar>
      </w:tblPr>
      <w:tblGrid>
        <w:gridCol w:w="428"/>
        <w:gridCol w:w="377"/>
        <w:gridCol w:w="379"/>
        <w:gridCol w:w="466"/>
        <w:gridCol w:w="466"/>
        <w:gridCol w:w="659"/>
      </w:tblGrid>
      <w:tr>
        <w:trPr/>
        <w:tc>
          <w:tcPr>
            <w:tcW w:w="428"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r>
      <w:tr>
        <w:trPr/>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ITEM 1C.</w:t>
            </w:r>
          </w:p>
        </w:tc>
        <w:tc>
          <w:tcPr>
            <w:tcW w:w="15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Cybersecurity</w:t>
            </w:r>
          </w:p>
        </w:tc>
      </w:tr>
    </w:tbl>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Cybersecurity Program</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cybersecurity and information technology (“IT”) program includes a number of safeguards, such as network segmentation, conditional analysis, external threat monitoring, access and authentication controls, incident response planning and testing of controls and procedures. We assess for internal and external vulnerabilities through the use of quarterly vulnerability scanning, annual third-party penetration testing and periodic cybersecurity maturity assessments. The results from these assessments are comprehensively addressed based on risk priority and are used to continually improve our cybersecurity risk posture.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use a risk-based approach with respect to our use and oversight of third-party service providers, tailoring processes according to the nature and sensitivity of the data accessed, processed, or stored by such third-party service provider and performing additional risk screenings and procedures, as appropriate. We use a number of means to assess cyber risks related to our third-party service providers, including vendor questionnaires, conducting due diligence in connection with onboarding new vendors and annual due diligence with respect to key third-party vendors. We also seek to collect and assess cybersecurity audit reports and other supporting documentation when available.</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employees receive regular cybersecurity training to address a broad range of key and emerging issues. In addition, we provide additional periodic training modules to address emerging threats or trends within the cybersecurity environment, perform regular simulated phishing exercises and require comprehensive cybersecurity training for all new employees. </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Process for Assessing, Identifying and Managing Material Risks from Cybersecurity Threats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utilize expert cybersecurity independent consultants, including a contracted Chief Information Security Officer (“CISO”) and additional third-party managed service providers, who work with and reports to our Vice President of Accounting and Administration (“VPAA”) to identify potential risks from cybersecurity threats and proactively mitigate their potential impact. The CISO and related team have extensive experience in assessing, detecting, responding and mitigating cybersecurity risk, including holding several different relevant certifications as well as experience working with, and assessing cybersecurity risk of, IT managed service providers.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CISO and his related team perform regular assessments and vulnerability tests and work with other third-party service providers to perform penetration testing and periodic cyber maturity assessments on our behalf through our Enterprise Risk Management (“ERM”) framework. Our CISO and related team work with our VPAA and third-party managed service provider to manage IT troubleshooting and user experience. Additionally, along with our own relationships, we benefit from the extensive third-party service provider relationships of our CISO, which may be used to assist with cybersecurity containment and remediation efforts.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222885"/>
                <wp:effectExtent l="0" t="0" r="0" b="0"/>
                <wp:wrapNone/>
                <wp:docPr id="41" name="Frame4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60" w:after="283"/>
        <w:jc w:val="both"/>
        <w:rPr/>
      </w:pPr>
      <w:hyperlink w:anchor="ib2fc48f0ddf244d9844b8de22bde2e36_10">
        <w:r>
          <w:rPr>
            <w:rStyle w:val="InternetLink"/>
            <w:rFonts w:ascii="Times New Roman;sans-serif" w:hAnsi="Times New Roman;sans-serif"/>
            <w:b w:val="false"/>
            <w:color w:val="000080"/>
            <w:sz w:val="20"/>
            <w:u w:val="single"/>
          </w:rPr>
          <w:t>Table of Cont</w:t>
        </w:r>
      </w:hyperlink>
      <w:hyperlink w:anchor="ib2fc48f0ddf244d9844b8de22bde2e36_10">
        <w:r>
          <w:rPr>
            <w:rStyle w:val="InternetLink"/>
            <w:rFonts w:ascii="Times New Roman;sans-serif" w:hAnsi="Times New Roman;sans-serif"/>
            <w:b w:val="false"/>
            <w:color w:val="000080"/>
            <w:sz w:val="20"/>
            <w:u w:val="single"/>
          </w:rPr>
          <w:t>ents</w:t>
        </w:r>
      </w:hyperlink>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perform specific cybersecurity risk assessments, which are informed by our ongoing vulnerability assessments, external penetration testing and cybersecurity maturity assessments, among other items. Additionally, cybersecurity and IT is also an element of the ERM assessment performed by management on an annual basis, with quarterly reassessments, under the supervision of the Audit Committee and Board of Directors.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the event of a cybersecurity incident, we maintain a regularly tested incident response program, including response programs specifically designed for common threats. Pursuant to our escalation protocols, designated personnel, including our CISO and VPAA, along with appropriate members of our management and executive team, are responsible for assessing the severity/priority of a cybersecurity incident and associated threat, containing the threat, and remediating the threat, including recovery of data and access to systems, analyzing any reporting obligations associated with the incident, and performing post-incident analysis and program enhancements.</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 xml:space="preserve">Governance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Audit Committee, in connection with the Board of Directors, maintains oversight of our Enterprise Risk Management framework, including oversight over our cybersecurity and information technology policies and programs.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CISO and VPAA meet with our IT Executive Committee, comprised of all of our executive officers, on at least a quarterly basis to oversee our cybersecurity and IT framework and more frequently in the event of significant cybersecurity developments. Our management team, including our CISO, updates the Audit Committee and Board of Directors at least twice a year with respect to key developments and updates relating to our cybersecurity and IT infrastructure and the overall threat environment, including recent and emerging trends. With respect to any significant cybersecurity events or incidents, the VPAA, along with the IT Executive Committee, reports to the Board of Directors promptly in accordance with our escalation protocols, as appropriate, depending on the nature of the events.</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Cybersecurity Risks</w:t>
      </w:r>
    </w:p>
    <w:p>
      <w:pPr>
        <w:pStyle w:val="TextBody"/>
        <w:bidi w:val="0"/>
        <w:spacing w:lineRule="auto" w:line="288" w:before="180" w:after="283"/>
        <w:jc w:val="both"/>
        <w:rPr/>
      </w:pPr>
      <w:r>
        <w:rPr>
          <w:rFonts w:ascii="Times New Roman;sans-serif" w:hAnsi="Times New Roman;sans-serif"/>
          <w:b w:val="false"/>
          <w:color w:val="000000"/>
          <w:sz w:val="20"/>
        </w:rPr>
        <w:t>To date, we have not experienced any material risks from cybersecurity threats, including as a result of any previous cybersecurity incidents or threats, that have materially affected the business strategy, results of operations or financial condition of the Company or are reasonably likely to have such a material effect. However, evolving cybersecurity threats make it increasingly challenging to anticipate, detect, and defend against cybersecurity threats and incidents. For more information regarding cybersecurity risks, see “</w:t>
      </w:r>
      <w:hyperlink w:anchor="ib2fc48f0ddf244d9844b8de22bde2e36_22">
        <w:r>
          <w:rPr>
            <w:rStyle w:val="InternetLink"/>
            <w:rFonts w:ascii="Times New Roman;sans-serif" w:hAnsi="Times New Roman;sans-serif"/>
            <w:b w:val="false"/>
            <w:color w:val="000080"/>
            <w:sz w:val="20"/>
            <w:u w:val="single"/>
          </w:rPr>
          <w:t>Item 1A. Risk</w:t>
        </w:r>
      </w:hyperlink>
      <w:hyperlink w:anchor="ib2fc48f0ddf244d9844b8de22bde2e36_22">
        <w:r>
          <w:rPr>
            <w:rStyle w:val="InternetLink"/>
            <w:rFonts w:ascii="Times New Roman;sans-serif" w:hAnsi="Times New Roman;sans-serif"/>
            <w:b w:val="false"/>
            <w:color w:val="000080"/>
            <w:sz w:val="20"/>
            <w:u w:val="single"/>
          </w:rPr>
          <w:t xml:space="preserve"> </w:t>
        </w:r>
      </w:hyperlink>
      <w:hyperlink w:anchor="ib2fc48f0ddf244d9844b8de22bde2e36_22">
        <w:r>
          <w:rPr>
            <w:rStyle w:val="InternetLink"/>
            <w:rFonts w:ascii="Times New Roman;sans-serif" w:hAnsi="Times New Roman;sans-serif"/>
            <w:b w:val="false"/>
            <w:color w:val="000080"/>
            <w:sz w:val="20"/>
            <w:u w:val="single"/>
          </w:rPr>
          <w:t>Factors</w:t>
        </w:r>
      </w:hyperlink>
      <w:r>
        <w:rPr>
          <w:rFonts w:ascii="Times New Roman;sans-serif" w:hAnsi="Times New Roman;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205" w:type="dxa"/>
        <w:jc w:val="center"/>
        <w:tblInd w:w="0" w:type="dxa"/>
        <w:tblLayout w:type="fixed"/>
        <w:tblCellMar>
          <w:top w:w="28" w:type="dxa"/>
          <w:left w:w="28" w:type="dxa"/>
          <w:bottom w:w="28" w:type="dxa"/>
          <w:right w:w="28" w:type="dxa"/>
        </w:tblCellMar>
      </w:tblPr>
      <w:tblGrid>
        <w:gridCol w:w="363"/>
        <w:gridCol w:w="320"/>
        <w:gridCol w:w="321"/>
        <w:gridCol w:w="351"/>
        <w:gridCol w:w="351"/>
        <w:gridCol w:w="499"/>
      </w:tblGrid>
      <w:tr>
        <w:trPr/>
        <w:tc>
          <w:tcPr>
            <w:tcW w:w="36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r>
      <w:tr>
        <w:trPr/>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ITEM 2.</w:t>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Properties</w:t>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geographically diverse portfolio consists of 93 experiential assets as of December 31, 2023, consisting of 54 gaming properties and 39 other experiential properties across the United States and Canada, including Caesars Palace Las Vegas, MGM Grand and the Venetian Resort, three of the most iconic entertainment facilities on the Las Vegas Strip, approximately 33 acres of undeveloped or underdeveloped land on and adjacent to the Las Vegas Strip that is leased to Caesars and four championship golf courses located near certain of our properties, two of which are in close proximity to the Las Vegas Strip. </w:t>
      </w:r>
    </w:p>
    <w:p>
      <w:pPr>
        <w:pStyle w:val="TextBody"/>
        <w:bidi w:val="0"/>
        <w:spacing w:lineRule="auto" w:line="288" w:before="180" w:after="283"/>
        <w:jc w:val="both"/>
        <w:rPr/>
      </w:pPr>
      <w:r>
        <w:rPr>
          <w:rFonts w:ascii="Times New Roman;sans-serif" w:hAnsi="Times New Roman;sans-serif"/>
          <w:b w:val="false"/>
          <w:color w:val="000000"/>
          <w:sz w:val="20"/>
        </w:rPr>
        <w:t xml:space="preserve">See </w:t>
      </w:r>
      <w:hyperlink w:anchor="ib2fc48f0ddf244d9844b8de22bde2e36_16">
        <w:r>
          <w:rPr>
            <w:rStyle w:val="InternetLink"/>
            <w:rFonts w:ascii="Times New Roman;sans-serif" w:hAnsi="Times New Roman;sans-serif"/>
            <w:b w:val="false"/>
            <w:color w:val="0000FF"/>
            <w:sz w:val="20"/>
            <w:u w:val="single"/>
          </w:rPr>
          <w:t>Item 1 - “Business - Our Properties”</w:t>
        </w:r>
      </w:hyperlink>
      <w:r>
        <w:rPr>
          <w:color w:val="000000"/>
        </w:rPr>
        <w:t xml:space="preserve"> </w:t>
      </w:r>
      <w:r>
        <w:rPr>
          <w:rFonts w:ascii="Times New Roman;sans-serif" w:hAnsi="Times New Roman;sans-serif"/>
          <w:b w:val="false"/>
          <w:color w:val="000000"/>
          <w:sz w:val="20"/>
        </w:rPr>
        <w:t>for further information pertaining to our properties.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014" w:type="dxa"/>
        <w:jc w:val="center"/>
        <w:tblInd w:w="0" w:type="dxa"/>
        <w:tblLayout w:type="fixed"/>
        <w:tblCellMar>
          <w:top w:w="28" w:type="dxa"/>
          <w:left w:w="28" w:type="dxa"/>
          <w:bottom w:w="28" w:type="dxa"/>
          <w:right w:w="28" w:type="dxa"/>
        </w:tblCellMar>
      </w:tblPr>
      <w:tblGrid>
        <w:gridCol w:w="363"/>
        <w:gridCol w:w="320"/>
        <w:gridCol w:w="321"/>
        <w:gridCol w:w="588"/>
        <w:gridCol w:w="588"/>
        <w:gridCol w:w="834"/>
      </w:tblGrid>
      <w:tr>
        <w:trPr/>
        <w:tc>
          <w:tcPr>
            <w:tcW w:w="36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r>
      <w:tr>
        <w:trPr/>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ITEM 3.</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Legal Proceedings</w:t>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ordinary course of business, from time to time, we may be subject to legal claims and administrative proceedings. As of December 31, 2023, we are not subject to any litigation that we believe could have, individually or in the aggregate, a material adverse effect on our business, financial condition or results of operations, liquidity or cash flows.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568" w:type="dxa"/>
        <w:jc w:val="center"/>
        <w:tblInd w:w="0" w:type="dxa"/>
        <w:tblLayout w:type="fixed"/>
        <w:tblCellMar>
          <w:top w:w="28" w:type="dxa"/>
          <w:left w:w="28" w:type="dxa"/>
          <w:bottom w:w="28" w:type="dxa"/>
          <w:right w:w="28" w:type="dxa"/>
        </w:tblCellMar>
      </w:tblPr>
      <w:tblGrid>
        <w:gridCol w:w="363"/>
        <w:gridCol w:w="320"/>
        <w:gridCol w:w="321"/>
        <w:gridCol w:w="751"/>
        <w:gridCol w:w="751"/>
        <w:gridCol w:w="1062"/>
      </w:tblGrid>
      <w:tr>
        <w:trPr/>
        <w:tc>
          <w:tcPr>
            <w:tcW w:w="36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r>
      <w:tr>
        <w:trPr/>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ITEM 4.</w:t>
            </w:r>
          </w:p>
        </w:tc>
        <w:tc>
          <w:tcPr>
            <w:tcW w:w="2564" w:type="dxa"/>
            <w:gridSpan w:val="3"/>
            <w:tcBorders/>
            <w:tcMar>
              <w:top w:w="0" w:type="dxa"/>
              <w:left w:w="0" w:type="dxa"/>
              <w:bottom w:w="0" w:type="dxa"/>
              <w:right w:w="0" w:type="dxa"/>
            </w:tcMar>
            <w:vAlign w:val="center"/>
          </w:tcPr>
          <w:p>
            <w:pPr>
              <w:pStyle w:val="TableContents"/>
              <w:bidi w:val="0"/>
              <w:spacing w:lineRule="auto" w:line="240" w:before="0" w:after="0"/>
              <w:ind w:left="0" w:right="0" w:hanging="1440"/>
              <w:jc w:val="left"/>
              <w:rPr>
                <w:rFonts w:ascii="Times New Roman;sans-serif" w:hAnsi="Times New Roman;sans-serif"/>
                <w:b/>
                <w:color w:val="000000"/>
                <w:sz w:val="24"/>
              </w:rPr>
            </w:pPr>
            <w:r>
              <w:rPr>
                <w:rFonts w:ascii="Times New Roman;sans-serif" w:hAnsi="Times New Roman;sans-serif"/>
                <w:b/>
                <w:color w:val="000000"/>
                <w:sz w:val="24"/>
              </w:rPr>
              <w:t>Mine Safety Disclosures</w:t>
            </w:r>
          </w:p>
        </w:tc>
      </w:tr>
    </w:tbl>
    <w:p>
      <w:pPr>
        <w:pStyle w:val="TextBody"/>
        <w:bidi w:val="0"/>
        <w:spacing w:lineRule="auto" w:line="288" w:before="120" w:after="283"/>
        <w:ind w:left="0" w:right="0" w:hanging="144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222885"/>
                <wp:effectExtent l="0" t="0" r="0" b="0"/>
                <wp:wrapNone/>
                <wp:docPr id="42" name="Frame4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60" w:after="283"/>
        <w:jc w:val="both"/>
        <w:rPr/>
      </w:pPr>
      <w:hyperlink w:anchor="ib2fc48f0ddf244d9844b8de22bde2e36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center"/>
        <w:rPr>
          <w:rFonts w:ascii="Times New Roman;sans-serif" w:hAnsi="Times New Roman;sans-serif"/>
          <w:b/>
          <w:color w:val="000000"/>
          <w:sz w:val="24"/>
        </w:rPr>
      </w:pPr>
      <w:r>
        <w:rPr>
          <w:rFonts w:ascii="Times New Roman;sans-serif" w:hAnsi="Times New Roman;sans-serif"/>
          <w:b/>
          <w:color w:val="000000"/>
          <w:sz w:val="24"/>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341"/>
        <w:gridCol w:w="300"/>
        <w:gridCol w:w="301"/>
        <w:gridCol w:w="2709"/>
        <w:gridCol w:w="2709"/>
        <w:gridCol w:w="3845"/>
      </w:tblGrid>
      <w:tr>
        <w:trPr/>
        <w:tc>
          <w:tcPr>
            <w:tcW w:w="341"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709" w:type="dxa"/>
            <w:tcBorders/>
            <w:vAlign w:val="center"/>
          </w:tcPr>
          <w:p>
            <w:pPr>
              <w:pStyle w:val="TableContents"/>
              <w:bidi w:val="0"/>
              <w:spacing w:before="0" w:after="283"/>
              <w:jc w:val="left"/>
              <w:rPr>
                <w:sz w:val="4"/>
                <w:szCs w:val="4"/>
              </w:rPr>
            </w:pPr>
            <w:r>
              <w:rPr>
                <w:sz w:val="4"/>
                <w:szCs w:val="4"/>
              </w:rPr>
            </w:r>
          </w:p>
        </w:tc>
        <w:tc>
          <w:tcPr>
            <w:tcW w:w="2709" w:type="dxa"/>
            <w:tcBorders/>
            <w:vAlign w:val="center"/>
          </w:tcPr>
          <w:p>
            <w:pPr>
              <w:pStyle w:val="TableContents"/>
              <w:bidi w:val="0"/>
              <w:spacing w:before="0" w:after="283"/>
              <w:jc w:val="left"/>
              <w:rPr>
                <w:sz w:val="4"/>
                <w:szCs w:val="4"/>
              </w:rPr>
            </w:pPr>
            <w:r>
              <w:rPr>
                <w:sz w:val="4"/>
                <w:szCs w:val="4"/>
              </w:rPr>
            </w:r>
          </w:p>
        </w:tc>
        <w:tc>
          <w:tcPr>
            <w:tcW w:w="3845" w:type="dxa"/>
            <w:tcBorders/>
            <w:vAlign w:val="center"/>
          </w:tcPr>
          <w:p>
            <w:pPr>
              <w:pStyle w:val="TableContents"/>
              <w:bidi w:val="0"/>
              <w:spacing w:before="0" w:after="283"/>
              <w:jc w:val="left"/>
              <w:rPr>
                <w:sz w:val="4"/>
                <w:szCs w:val="4"/>
              </w:rPr>
            </w:pPr>
            <w:r>
              <w:rPr>
                <w:sz w:val="4"/>
                <w:szCs w:val="4"/>
              </w:rPr>
            </w:r>
          </w:p>
        </w:tc>
      </w:tr>
      <w:tr>
        <w:trPr/>
        <w:tc>
          <w:tcPr>
            <w:tcW w:w="9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ITEM 5.</w:t>
            </w:r>
          </w:p>
        </w:tc>
        <w:tc>
          <w:tcPr>
            <w:tcW w:w="92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4"/>
              </w:rPr>
            </w:pPr>
            <w:r>
              <w:rPr>
                <w:rFonts w:ascii="Times New Roman;sans-serif" w:hAnsi="Times New Roman;sans-serif"/>
                <w:b/>
                <w:color w:val="000000"/>
                <w:sz w:val="24"/>
              </w:rPr>
              <w:t>Market for the Company’s Common Equity, Related Stockholder Matters and Issuer Purchases of Equity Securities</w:t>
            </w:r>
          </w:p>
        </w:tc>
      </w:tr>
    </w:tbl>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 xml:space="preserve">VICI Properties Inc. </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Market Information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common stock trades on the New York Stock Exchange (“NYSE”) under the symbol “VICI.” </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Holders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February 21, 2024, there were 1,042,679,525 shares of common stock issued and outstanding that were held by 313 stockholders of record. The number of stockholders of record does not include beneficial owners of shares registered in nominee or street name.</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Distribution Policy</w:t>
      </w:r>
    </w:p>
    <w:p>
      <w:pPr>
        <w:pStyle w:val="TextBody"/>
        <w:bidi w:val="0"/>
        <w:spacing w:lineRule="auto" w:line="288" w:before="180" w:after="283"/>
        <w:jc w:val="both"/>
        <w:rPr/>
      </w:pPr>
      <w:r>
        <w:rPr>
          <w:rFonts w:ascii="Times New Roman;sans-serif" w:hAnsi="Times New Roman;sans-serif"/>
          <w:b w:val="false"/>
          <w:color w:val="000000"/>
          <w:sz w:val="20"/>
        </w:rPr>
        <w:t>VICI intends to make regular quarterly distributions to holders of shares of its common stock. Any distributions will be at the sole discretion of its Board of Directors, and the form, timing and amount of such distributions, if any, will depend upon a number of factors, including VICI’s actual and projected results of operations, FFO, AFFO, liquidity, cash flows and financial condition, the revenue it actually receives from its properties, operating expenses, debt service requirements, capital expenditures, prohibitions and other limitations under its financing arrangements, REIT taxable income, the annual REIT distribution requirements, applicable law and such other factors as VICI’s Board of Directors deems relevant. For more information regarding risk factors that could materially and adversely affect us and our ability to make cash distributions refer to “</w:t>
      </w:r>
      <w:hyperlink w:anchor="ib2fc48f0ddf244d9844b8de22bde2e36_22">
        <w:r>
          <w:rPr>
            <w:rStyle w:val="InternetLink"/>
            <w:rFonts w:ascii="Times New Roman;sans-serif" w:hAnsi="Times New Roman;sans-serif"/>
            <w:b w:val="false"/>
            <w:color w:val="0000FF"/>
            <w:sz w:val="20"/>
            <w:u w:val="single"/>
          </w:rPr>
          <w:t>Part I – Item 1A. Risk Factors</w:t>
        </w:r>
      </w:hyperlink>
      <w:r>
        <w:rPr>
          <w:color w:val="000000"/>
        </w:rPr>
        <w:t>”</w:t>
      </w:r>
      <w:r>
        <w:rPr>
          <w:rFonts w:ascii="Times New Roman;sans-serif" w:hAnsi="Times New Roman;sans-serif"/>
          <w:b w:val="false"/>
          <w:color w:val="000000"/>
          <w:sz w:val="20"/>
        </w:rPr>
        <w:t>.</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VICI intends to make distributions to its stockholders to comply with the REIT requirements of the Code and to avoid or otherwise minimize paying entity level federal or excise tax (other than at any TRS). Federal income tax law requires that a REIT distribute annually at least 90% of its REIT taxable income (with certain adjustments), determined without regard to the dividends paid deduction and excluding any net capital gains, and that it pay tax at regular corporate rates to the extent that it annually distributes less than 100% of its REIT taxable income, determined without regard to the dividends paid deduction and including any net capital gains. </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Recent Sales of Unregistered Securities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VICI did not sell any unregistered equity securities during the year ended December 31, 2023.</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Issuer Repurchases of Equity Securities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December 31, 2023, VICI did not repurchase any equity securities registered pursuant to Section 12 of the Exchange Act.</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Registered Offering of Securities - Use of Proceeds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VICI Properties LP</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Market Information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is no established public trading market for limited partnership units of VICI LP.</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Holders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February 22, 2024, there was one holder of record of limited partnership units of VICI LP.</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Distribution Policy</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VICI LP intends to make regular quarterly distributions to holders of its units. Any distributions will be at VICI LP’s sole discretion, and the form, timing and amount of such distributions, if any, will depend upon a number of factors, including VICI LP’s actual and projected results of operations, FFO, AFFO, liquidity, cash flows and financial condition, the revenue it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222885"/>
                <wp:effectExtent l="0" t="0" r="0" b="0"/>
                <wp:wrapNone/>
                <wp:docPr id="43" name="Frame4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60" w:after="283"/>
        <w:jc w:val="both"/>
        <w:rPr/>
      </w:pPr>
      <w:hyperlink w:anchor="ib2fc48f0ddf244d9844b8de22bde2e36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actually receives from properties, operating expenses, debt service requirements, capital expenditures, prohibitions and other limitations under its financing arrangements, REIT taxable income, the annual REIT distribution requirements, applicable law and such other factors as VICI’s Board of Directors deems relevant.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VICI LP intends to make distributions to its unit holders to comply with the REIT requirements of VICI and to avoid or otherwise minimize paying entity level federal or excise tax.</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Recent Sales of Unregistered Securities</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VICI LP did not sell any unregistered equity securities during the year ended December 31, 2023.</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Issuer Repurchases of Equity Securities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December 31, 2023, VICI LP did not repurchase any equity securities registered pursuant to Section 12 of the Exchange Act.</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Registered Offering of Securities - Use of Proceeds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Stock Performance Graph</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graph below compares our cumulative total stockholder return for the period from December 31, 2018 to December 31, 2023 on our common stock with the cumulative total returns of the S&amp;P 500 Index and the MSCI US REIT index. The graph tracks the performance of a $100 investment in our common stock and in each index (with the reinvestment of all dividends as required by the SEC) from December 31, 2018 until December 31, 2023. The return shown on the graph is not necessarily indicative of future performance.</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performance graph shall not be deemed to be "filed" for purposes of Section 18 of the Exchange Act, nor shall this information be incorporated by reference into any future filing under the Securities Act or the Exchange Act, except to the extent that we specifically incorporate it by reference into a filing.</w:t>
      </w:r>
    </w:p>
    <w:p>
      <w:pPr>
        <w:pStyle w:val="TextBody"/>
        <w:bidi w:val="0"/>
        <w:spacing w:before="0" w:after="0"/>
        <w:jc w:val="center"/>
        <w:rPr/>
      </w:pPr>
      <w:r>
        <w:rPr/>
        <w:drawing>
          <wp:inline distT="0" distB="0" distL="0" distR="0">
            <wp:extent cx="6448425" cy="3838575"/>
            <wp:effectExtent l="0" t="0" r="0" b="0"/>
            <wp:docPr id="4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2" descr=""/>
                    <pic:cNvPicPr>
                      <a:picLocks noChangeAspect="1" noChangeArrowheads="1"/>
                    </pic:cNvPicPr>
                  </pic:nvPicPr>
                  <pic:blipFill>
                    <a:blip r:embed="rId3"/>
                    <a:stretch>
                      <a:fillRect/>
                    </a:stretch>
                  </pic:blipFill>
                  <pic:spPr bwMode="auto">
                    <a:xfrm>
                      <a:off x="0" y="0"/>
                      <a:ext cx="6448425" cy="3838575"/>
                    </a:xfrm>
                    <a:prstGeom prst="rect">
                      <a:avLst/>
                    </a:prstGeom>
                  </pic:spPr>
                </pic:pic>
              </a:graphicData>
            </a:graphic>
          </wp:inline>
        </w:drawing>
      </w:r>
    </w:p>
    <w:tbl>
      <w:tblPr>
        <w:tblW w:w="9498" w:type="dxa"/>
        <w:jc w:val="center"/>
        <w:tblInd w:w="0" w:type="dxa"/>
        <w:tblLayout w:type="fixed"/>
        <w:tblCellMar>
          <w:top w:w="28" w:type="dxa"/>
          <w:left w:w="28" w:type="dxa"/>
          <w:bottom w:w="28" w:type="dxa"/>
          <w:right w:w="28" w:type="dxa"/>
        </w:tblCellMar>
      </w:tblPr>
      <w:tblGrid>
        <w:gridCol w:w="679"/>
        <w:gridCol w:w="597"/>
        <w:gridCol w:w="59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67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Company / Index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12/31/18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12/31/19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12/31/20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12/31/21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12/31/22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12/31/23</w:t>
            </w:r>
          </w:p>
        </w:tc>
      </w:tr>
      <w:tr>
        <w:trPr/>
        <w:tc>
          <w:tcPr>
            <w:tcW w:w="18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VICI Properties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MSCI US REIT Index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S&amp;P 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222885"/>
                <wp:effectExtent l="0" t="0" r="0" b="0"/>
                <wp:wrapNone/>
                <wp:docPr id="45" name="Frame4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60" w:after="283"/>
        <w:jc w:val="both"/>
        <w:rPr/>
      </w:pPr>
      <w:hyperlink w:anchor="ib2fc48f0ddf244d9844b8de22bde2e36_10">
        <w:r>
          <w:rPr>
            <w:rStyle w:val="InternetLink"/>
            <w:rFonts w:ascii="Times New Roman;sans-serif" w:hAnsi="Times New Roman;sans-serif"/>
            <w:b w:val="false"/>
            <w:color w:val="0000FF"/>
            <w:sz w:val="20"/>
            <w:u w:val="single"/>
          </w:rPr>
          <w:t>Table of Contents</w:t>
        </w:r>
      </w:hyperlink>
    </w:p>
    <w:tbl>
      <w:tblPr>
        <w:tblW w:w="2308" w:type="dxa"/>
        <w:jc w:val="center"/>
        <w:tblInd w:w="0" w:type="dxa"/>
        <w:tblLayout w:type="fixed"/>
        <w:tblCellMar>
          <w:top w:w="28" w:type="dxa"/>
          <w:left w:w="28" w:type="dxa"/>
          <w:bottom w:w="28" w:type="dxa"/>
          <w:right w:w="28" w:type="dxa"/>
        </w:tblCellMar>
      </w:tblPr>
      <w:tblGrid>
        <w:gridCol w:w="363"/>
        <w:gridCol w:w="320"/>
        <w:gridCol w:w="321"/>
        <w:gridCol w:w="381"/>
        <w:gridCol w:w="381"/>
        <w:gridCol w:w="542"/>
      </w:tblGrid>
      <w:tr>
        <w:trPr/>
        <w:tc>
          <w:tcPr>
            <w:tcW w:w="36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ITEM 6.</w:t>
            </w:r>
          </w:p>
        </w:tc>
        <w:tc>
          <w:tcPr>
            <w:tcW w:w="13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[Reserved.]</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168" w:type="dxa"/>
        <w:jc w:val="center"/>
        <w:tblInd w:w="0" w:type="dxa"/>
        <w:tblLayout w:type="fixed"/>
        <w:tblCellMar>
          <w:top w:w="28" w:type="dxa"/>
          <w:left w:w="28" w:type="dxa"/>
          <w:bottom w:w="28" w:type="dxa"/>
          <w:right w:w="28" w:type="dxa"/>
        </w:tblCellMar>
      </w:tblPr>
      <w:tblGrid>
        <w:gridCol w:w="363"/>
        <w:gridCol w:w="320"/>
        <w:gridCol w:w="321"/>
        <w:gridCol w:w="2681"/>
        <w:gridCol w:w="2681"/>
        <w:gridCol w:w="3802"/>
      </w:tblGrid>
      <w:tr>
        <w:trPr/>
        <w:tc>
          <w:tcPr>
            <w:tcW w:w="36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2681" w:type="dxa"/>
            <w:tcBorders/>
            <w:vAlign w:val="center"/>
          </w:tcPr>
          <w:p>
            <w:pPr>
              <w:pStyle w:val="TableContents"/>
              <w:bidi w:val="0"/>
              <w:spacing w:before="0" w:after="283"/>
              <w:jc w:val="left"/>
              <w:rPr>
                <w:sz w:val="4"/>
                <w:szCs w:val="4"/>
              </w:rPr>
            </w:pPr>
            <w:r>
              <w:rPr>
                <w:sz w:val="4"/>
                <w:szCs w:val="4"/>
              </w:rPr>
            </w:r>
          </w:p>
        </w:tc>
        <w:tc>
          <w:tcPr>
            <w:tcW w:w="2681"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ITEM 7.</w:t>
            </w:r>
          </w:p>
        </w:tc>
        <w:tc>
          <w:tcPr>
            <w:tcW w:w="9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Management’s Discussion and Analysis of Financial Condition and Results of Operations</w:t>
            </w:r>
          </w:p>
        </w:tc>
      </w:tr>
    </w:tbl>
    <w:p>
      <w:pPr>
        <w:pStyle w:val="TextBody"/>
        <w:bidi w:val="0"/>
        <w:spacing w:lineRule="auto" w:line="288" w:before="60" w:after="283"/>
        <w:jc w:val="both"/>
        <w:rPr/>
      </w:pPr>
      <w:r>
        <w:rPr>
          <w:rFonts w:ascii="Times New Roman;sans-serif" w:hAnsi="Times New Roman;sans-serif"/>
          <w:b w:val="false"/>
          <w:i/>
          <w:color w:val="000000"/>
          <w:sz w:val="20"/>
        </w:rPr>
        <w:t xml:space="preserve">The following discussion and analysis of the financial condition and results of operations of VICI Properties Inc. and VICI Properties L.P. for the year ended December 31, 2023 should be read in conjunction with the audited consolidated Financial Statements and notes thereto and other financial information included elsewhere in this Annual Report on Form 10-K. Some of the information contained in this discussion and analysis or set forth elsewhere in this Annual Report on Form 10-K, including information with respect to our business and growth strategies, statements regarding the industry outlook and our expectations regarding the future performance of our business contained herein are forward-looking statements. See “Cautionary Note Regarding Forward-Looking Statements.” You should also review the </w:t>
      </w:r>
      <w:hyperlink w:anchor="ib2fc48f0ddf244d9844b8de22bde2e36_22">
        <w:r>
          <w:rPr>
            <w:rStyle w:val="InternetLink"/>
            <w:color w:val="0000FF"/>
            <w:u w:val="single"/>
          </w:rPr>
          <w:t>“</w:t>
        </w:r>
      </w:hyperlink>
      <w:hyperlink w:anchor="ib2fc48f0ddf244d9844b8de22bde2e36_22">
        <w:r>
          <w:rPr>
            <w:rStyle w:val="InternetLink"/>
            <w:rFonts w:ascii="Times New Roman;sans-serif" w:hAnsi="Times New Roman;sans-serif"/>
            <w:b w:val="false"/>
            <w:i/>
            <w:color w:val="0000FF"/>
            <w:sz w:val="20"/>
            <w:u w:val="single"/>
          </w:rPr>
          <w:t>Risk Factors”</w:t>
        </w:r>
      </w:hyperlink>
      <w:r>
        <w:rPr>
          <w:color w:val="000000"/>
        </w:rPr>
        <w:t xml:space="preserve"> </w:t>
      </w:r>
      <w:r>
        <w:rPr>
          <w:rFonts w:ascii="Times New Roman;sans-serif" w:hAnsi="Times New Roman;sans-serif"/>
          <w:b w:val="false"/>
          <w:i/>
          <w:color w:val="000000"/>
          <w:sz w:val="20"/>
        </w:rPr>
        <w:t>section in Item 1A. of this Annual Report on Form 10-K for a discussion of important factors that could cause actual results to differ materially from the results described in or implied by such forward-looking statements</w:t>
      </w:r>
      <w:r>
        <w:rPr>
          <w:rFonts w:ascii="Times New Roman;sans-serif" w:hAnsi="Times New Roman;sans-serif"/>
          <w:b w:val="false"/>
          <w:color w:val="000000"/>
          <w:sz w:val="20"/>
        </w:rPr>
        <w:t>.</w:t>
      </w:r>
    </w:p>
    <w:p>
      <w:pPr>
        <w:pStyle w:val="TextBody"/>
        <w:bidi w:val="0"/>
        <w:spacing w:lineRule="auto" w:line="288" w:before="240" w:after="283"/>
        <w:jc w:val="center"/>
        <w:rPr>
          <w:rFonts w:ascii="Times New Roman;sans-serif" w:hAnsi="Times New Roman;sans-serif"/>
          <w:b/>
          <w:color w:val="000000"/>
          <w:sz w:val="22"/>
        </w:rPr>
      </w:pPr>
      <w:r>
        <w:rPr>
          <w:rFonts w:ascii="Times New Roman;sans-serif" w:hAnsi="Times New Roman;sans-serif"/>
          <w:b/>
          <w:color w:val="000000"/>
          <w:sz w:val="22"/>
        </w:rPr>
        <w:t>OVERVIEW</w:t>
      </w:r>
    </w:p>
    <w:p>
      <w:pPr>
        <w:pStyle w:val="TextBody"/>
        <w:bidi w:val="0"/>
        <w:spacing w:lineRule="auto" w:line="288" w:before="180" w:after="283"/>
        <w:jc w:val="both"/>
        <w:rPr/>
      </w:pPr>
      <w:r>
        <w:rPr>
          <w:rFonts w:ascii="Times New Roman;sans-serif" w:hAnsi="Times New Roman;sans-serif"/>
          <w:b w:val="false"/>
          <w:color w:val="000000"/>
          <w:sz w:val="20"/>
        </w:rPr>
        <w:t xml:space="preserve">We are an owner and acquirer of experiential real estate assets across leading gaming, hospitality, entertainment and leisure destinations. Our geographically diverse portfolio currently consists of 93 experiential assets consisting of 54 gaming properties and 39 other experiential properties across the United States and Canada. Our portfolio also includes certain real estate debt investments, most of which we have originated for strategic reasons in connection with transactions that either do or may provide the potential to convert our investment into the ownership of certain of the underlying real estate in the future. In addition, we own approximately 33 acres of undeveloped or underdeveloped land on and adjacent to the Las Vegas Strip that is leased to Caesars, which we may look to monetize as appropriate. We also own four championship golf courses located near certain of our properties, two of which are in close proximity to the Las Vegas Strip. We conduct our operations as a REIT for U.S. federal income tax purposes. We conduct our real property business through our operating partnership, VICI OP, and our golf course business through a TRS, VICI Golf. For additional information with respect to our business and operations, refer to </w:t>
      </w:r>
      <w:hyperlink w:anchor="ib2fc48f0ddf244d9844b8de22bde2e36_16">
        <w:r>
          <w:rPr>
            <w:rStyle w:val="InternetLink"/>
            <w:rFonts w:ascii="Times New Roman;sans-serif" w:hAnsi="Times New Roman;sans-serif"/>
            <w:b w:val="false"/>
            <w:color w:val="0000FF"/>
            <w:sz w:val="20"/>
            <w:u w:val="single"/>
          </w:rPr>
          <w:t>Item 1. - Business</w:t>
        </w:r>
      </w:hyperlink>
      <w:r>
        <w:rPr>
          <w:rFonts w:ascii="Times New Roman;sans-serif" w:hAnsi="Times New Roman;sans-serif"/>
          <w:b w:val="false"/>
          <w:color w:val="000000"/>
          <w:sz w:val="20"/>
        </w:rPr>
        <w:t xml:space="preserve">. </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Key 2023 Highlights</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Operating Results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Collected 100% of rent in cash.</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Total revenues increased 38.9% year-over-year to $3.6 billion.</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Net income attributable to common stockholders increased 124.9% year-over-year to $2.5 billion, and net income attributable to common stockholders per diluted share increased 94.8% to $2.47, primarily due to the impact of our CECL allowance in the prior year and the timing of our transaction activity.</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AFFO increased 29.1% year-over-year to $2.2 billion and AFFO per diluted share increased 11.8% to $2.15.</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Significant Achievements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 xml:space="preserve">Invested over $4.1 billion to acquire 51 properties and added $291.5 million in annualized rent to our portfolio.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Made first international property investments through the acquisition of eight gaming assets in Canada.</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Acquired 39 other experiential properties, representing our inaugural investments in the sports and family entertainment categories.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Originated six debt investments totaling $698.2 million of commitments.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 xml:space="preserve">Made first international loan investments in connection with our partnership with Cabot, in Saint Lucia and Scotland. </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Funded new and existing loan commitments totaling $959.1 million.</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Announced an increase in our quarterly cash dividend to $0.415 per share (or $1.66 per share on an annualized basis) in the third quarter of 2023, representing a 6.4% increase compared to our previous quarterly dividend.</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Completed a 30,302,500 share forward equity offering with an aggregate offering value of $1.0 billion, which was settled in each of April, July and October 2023 for aggregate net proceeds of $960.5 million.</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Sold 21,365,397 forward shares under our ATM program during the year with an aggregate offering value of $643.0 million and settled 29,788,250 forward shares outstanding under our ATM program for aggregate net proceeds of $945.7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222885"/>
                <wp:effectExtent l="0" t="0" r="0" b="0"/>
                <wp:wrapNone/>
                <wp:docPr id="46" name="Frame4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60" w:after="283"/>
        <w:jc w:val="both"/>
        <w:rPr/>
      </w:pPr>
      <w:hyperlink w:anchor="ib2fc48f0ddf244d9844b8de22bde2e36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2"/>
        </w:rPr>
      </w:pPr>
      <w:r>
        <w:rPr>
          <w:rFonts w:ascii="Times New Roman;sans-serif" w:hAnsi="Times New Roman;sans-serif"/>
          <w:b/>
          <w:color w:val="000000"/>
          <w:sz w:val="22"/>
        </w:rPr>
        <w:t>SUMMARY OF SIGNIFICANT ACTIVITIES</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Acquisition and Leasing Activity</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acquisition and leasing activity (each as defined in the column titled “Transaction”) for the year ended December 31, 2023:</w:t>
      </w:r>
    </w:p>
    <w:tbl>
      <w:tblPr>
        <w:tblW w:w="10205" w:type="dxa"/>
        <w:jc w:val="left"/>
        <w:tblInd w:w="0" w:type="dxa"/>
        <w:tblLayout w:type="fixed"/>
        <w:tblCellMar>
          <w:top w:w="28" w:type="dxa"/>
          <w:left w:w="28" w:type="dxa"/>
          <w:bottom w:w="28" w:type="dxa"/>
          <w:right w:w="28" w:type="dxa"/>
        </w:tblCellMar>
      </w:tblPr>
      <w:tblGrid>
        <w:gridCol w:w="701"/>
        <w:gridCol w:w="619"/>
        <w:gridCol w:w="457"/>
        <w:gridCol w:w="109"/>
        <w:gridCol w:w="109"/>
        <w:gridCol w:w="109"/>
        <w:gridCol w:w="374"/>
        <w:gridCol w:w="334"/>
        <w:gridCol w:w="339"/>
        <w:gridCol w:w="109"/>
        <w:gridCol w:w="109"/>
        <w:gridCol w:w="109"/>
        <w:gridCol w:w="357"/>
        <w:gridCol w:w="357"/>
        <w:gridCol w:w="358"/>
        <w:gridCol w:w="109"/>
        <w:gridCol w:w="109"/>
        <w:gridCol w:w="109"/>
        <w:gridCol w:w="393"/>
        <w:gridCol w:w="393"/>
        <w:gridCol w:w="395"/>
        <w:gridCol w:w="109"/>
        <w:gridCol w:w="109"/>
        <w:gridCol w:w="109"/>
        <w:gridCol w:w="214"/>
        <w:gridCol w:w="778"/>
        <w:gridCol w:w="110"/>
        <w:gridCol w:w="109"/>
        <w:gridCol w:w="109"/>
        <w:gridCol w:w="109"/>
        <w:gridCol w:w="229"/>
        <w:gridCol w:w="670"/>
        <w:gridCol w:w="118"/>
        <w:gridCol w:w="109"/>
        <w:gridCol w:w="109"/>
        <w:gridCol w:w="109"/>
        <w:gridCol w:w="303"/>
        <w:gridCol w:w="303"/>
        <w:gridCol w:w="441"/>
      </w:tblGrid>
      <w:tr>
        <w:trPr/>
        <w:tc>
          <w:tcPr>
            <w:tcW w:w="701"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r>
      <w:tr>
        <w:trPr/>
        <w:tc>
          <w:tcPr>
            <w:tcW w:w="17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Transaction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Guarantor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Lease Agreement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Purchase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Initial Annual 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Number of Properties</w:t>
            </w:r>
          </w:p>
        </w:tc>
      </w:tr>
      <w:tr>
        <w:trPr/>
        <w:tc>
          <w:tcPr>
            <w:tcW w:w="17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Chelsea Piers Sale-Leaseback Transaction </w:t>
            </w:r>
            <w:r>
              <w:rPr>
                <w:rFonts w:ascii="Times New Roman;sans-serif" w:hAnsi="Times New Roman;sans-serif"/>
                <w:b w:val="false"/>
                <w:i/>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18,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Chelsea Piers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Chelsea Piers Lease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342.9 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r>
      <w:tr>
        <w:trPr/>
        <w:tc>
          <w:tcPr>
            <w:tcW w:w="17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Bowlero Sale-Leaseback Transaction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October 19,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Bowlero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Bowlero Master Lease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c>
      </w:tr>
      <w:tr>
        <w:trPr/>
        <w:tc>
          <w:tcPr>
            <w:tcW w:w="17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Century Canadian Portfolio Sale-Leaseback Transaction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6,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Century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Century Master Lease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i/>
                <w:color w:val="000000"/>
                <w:sz w:val="13"/>
              </w:rPr>
            </w:pPr>
            <w:r>
              <w:rPr>
                <w:rFonts w:ascii="Times New Roman;sans-serif" w:hAnsi="Times New Roman;sans-serif"/>
                <w:b w:val="false"/>
                <w:i/>
                <w:color w:val="000000"/>
                <w:sz w:val="13"/>
              </w:rPr>
              <w:t>(2)</w:t>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i/>
                <w:color w:val="000000"/>
                <w:sz w:val="13"/>
              </w:rPr>
            </w:pPr>
            <w:r>
              <w:rPr>
                <w:rFonts w:ascii="Times New Roman;sans-serif" w:hAnsi="Times New Roman;sans-serif"/>
                <w:b w:val="false"/>
                <w:i/>
                <w:color w:val="000000"/>
                <w:sz w:val="13"/>
              </w:rPr>
              <w:t>(3)</w:t>
            </w:r>
          </w:p>
        </w:tc>
        <w:tc>
          <w:tcPr>
            <w:tcW w:w="10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c>
      </w:tr>
      <w:tr>
        <w:trPr/>
        <w:tc>
          <w:tcPr>
            <w:tcW w:w="17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Rocky Gap Casino Acquisition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5,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Century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Century Master Lease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r>
      <w:tr>
        <w:trPr/>
        <w:tc>
          <w:tcPr>
            <w:tcW w:w="17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Gold Strike Severance Lease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15,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CNB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CNE Gold Strike Lease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i/>
                <w:color w:val="000000"/>
                <w:sz w:val="13"/>
              </w:rPr>
            </w:pPr>
            <w:r>
              <w:rPr>
                <w:rFonts w:ascii="Times New Roman;sans-serif" w:hAnsi="Times New Roman;sans-serif"/>
                <w:b w:val="false"/>
                <w:i/>
                <w:color w:val="000000"/>
                <w:sz w:val="13"/>
              </w:rPr>
              <w:t>(4)</w:t>
            </w:r>
          </w:p>
        </w:tc>
        <w:tc>
          <w:tcPr>
            <w:tcW w:w="10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r>
      <w:tr>
        <w:trPr/>
        <w:tc>
          <w:tcPr>
            <w:tcW w:w="1777" w:type="dxa"/>
            <w:gridSpan w:val="3"/>
            <w:tcBorders/>
            <w:shd w:fill="FFFFFF" w:val="clear"/>
            <w:tcMar>
              <w:top w:w="0" w:type="dxa"/>
              <w:left w:w="0" w:type="dxa"/>
              <w:bottom w:w="0" w:type="dxa"/>
              <w:right w:w="0" w:type="dxa"/>
            </w:tcMar>
            <w:vAlign w:val="center"/>
          </w:tcPr>
          <w:p>
            <w:pPr>
              <w:pStyle w:val="TableContents"/>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MGM Grand/Mandalay Bay JV Interest Acquisition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January 9,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MGM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MGM Grand/Mandalay Bay Lease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2,758.9 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i/>
                <w:color w:val="000000"/>
                <w:sz w:val="13"/>
              </w:rPr>
            </w:pPr>
            <w:r>
              <w:rPr>
                <w:rFonts w:ascii="Times New Roman;sans-serif" w:hAnsi="Times New Roman;sans-serif"/>
                <w:b w:val="false"/>
                <w:i/>
                <w:color w:val="000000"/>
                <w:sz w:val="13"/>
              </w:rPr>
              <w:t>(5)</w:t>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i/>
                <w:color w:val="000000"/>
                <w:sz w:val="13"/>
              </w:rPr>
            </w:pPr>
            <w:r>
              <w:rPr>
                <w:rFonts w:ascii="Times New Roman;sans-serif" w:hAnsi="Times New Roman;sans-serif"/>
                <w:b w:val="false"/>
                <w:i/>
                <w:color w:val="000000"/>
                <w:sz w:val="13"/>
              </w:rPr>
              <w:t>(6)</w:t>
            </w:r>
          </w:p>
        </w:tc>
        <w:tc>
          <w:tcPr>
            <w:tcW w:w="10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r>
      <w:tr>
        <w:trPr/>
        <w:tc>
          <w:tcPr>
            <w:tcW w:w="1777" w:type="dxa"/>
            <w:gridSpan w:val="3"/>
            <w:tcBorders/>
            <w:shd w:fill="CCEEFF" w:val="clear"/>
            <w:tcMar>
              <w:top w:w="0" w:type="dxa"/>
              <w:left w:w="0" w:type="dxa"/>
              <w:bottom w:w="0" w:type="dxa"/>
              <w:right w:w="0" w:type="dxa"/>
            </w:tcMar>
            <w:vAlign w:val="center"/>
          </w:tcPr>
          <w:p>
            <w:pPr>
              <w:pStyle w:val="TableContents"/>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PURE Canadian Gaming Sale-Leaseback Transaction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January 6,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PURE Canadian Gaming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PURE Master Lease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i/>
                <w:color w:val="000000"/>
                <w:sz w:val="13"/>
              </w:rPr>
            </w:pPr>
            <w:r>
              <w:rPr>
                <w:rFonts w:ascii="Times New Roman;sans-serif" w:hAnsi="Times New Roman;sans-serif"/>
                <w:b w:val="false"/>
                <w:i/>
                <w:color w:val="000000"/>
                <w:sz w:val="13"/>
              </w:rPr>
              <w:t>(7)</w:t>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i/>
                <w:color w:val="000000"/>
                <w:sz w:val="13"/>
              </w:rPr>
            </w:pPr>
            <w:r>
              <w:rPr>
                <w:rFonts w:ascii="Times New Roman;sans-serif" w:hAnsi="Times New Roman;sans-serif"/>
                <w:b w:val="false"/>
                <w:i/>
                <w:color w:val="000000"/>
                <w:sz w:val="13"/>
              </w:rPr>
              <w:t>(8)</w:t>
            </w:r>
          </w:p>
        </w:tc>
        <w:tc>
          <w:tcPr>
            <w:tcW w:w="10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c>
      </w:tr>
      <w:tr>
        <w:trPr/>
        <w:tc>
          <w:tcPr>
            <w:tcW w:w="17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4,101.9 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291.5 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i/>
          <w:color w:val="000000"/>
          <w:sz w:val="12"/>
        </w:rPr>
      </w:pPr>
      <w:r>
        <w:rPr>
          <w:rFonts w:ascii="Times New Roman;sans-serif" w:hAnsi="Times New Roman;sans-serif"/>
          <w:b w:val="false"/>
          <w:i/>
          <w:color w:val="000000"/>
          <w:sz w:val="12"/>
        </w:rPr>
        <w:t>____________________</w:t>
      </w:r>
    </w:p>
    <w:p>
      <w:pPr>
        <w:pStyle w:val="TextBody"/>
        <w:bidi w:val="0"/>
        <w:spacing w:lineRule="auto" w:line="288" w:before="20" w:after="283"/>
        <w:jc w:val="both"/>
        <w:rPr>
          <w:rFonts w:ascii="Times New Roman;sans-serif" w:hAnsi="Times New Roman;sans-serif"/>
          <w:b w:val="false"/>
          <w:i/>
          <w:color w:val="000000"/>
          <w:sz w:val="16"/>
        </w:rPr>
      </w:pPr>
      <w:r>
        <w:rPr>
          <w:rFonts w:ascii="Times New Roman;sans-serif" w:hAnsi="Times New Roman;sans-serif"/>
          <w:b w:val="false"/>
          <w:i/>
          <w:color w:val="000000"/>
          <w:sz w:val="16"/>
        </w:rPr>
        <w:t>(1) Investment represents acquisition of the existing leasehold interest associated with Chelsea Piers from Chelsea Piers L.P. in a sale-leaseback transaction. The $71.5 million outstanding Chelsea Piers loan was repaid in full and terminated in connection with the closing of the acquisition.</w:t>
      </w:r>
    </w:p>
    <w:p>
      <w:pPr>
        <w:pStyle w:val="TextBody"/>
        <w:bidi w:val="0"/>
        <w:spacing w:lineRule="auto" w:line="288" w:before="20" w:after="283"/>
        <w:jc w:val="both"/>
        <w:rPr>
          <w:rFonts w:ascii="Times New Roman;sans-serif" w:hAnsi="Times New Roman;sans-serif"/>
          <w:b w:val="false"/>
          <w:i/>
          <w:color w:val="000000"/>
          <w:sz w:val="16"/>
        </w:rPr>
      </w:pPr>
      <w:r>
        <w:rPr>
          <w:rFonts w:ascii="Times New Roman;sans-serif" w:hAnsi="Times New Roman;sans-serif"/>
          <w:b w:val="false"/>
          <w:i/>
          <w:color w:val="000000"/>
          <w:sz w:val="16"/>
        </w:rPr>
        <w:t>(2) Amount represents USD equivalent to C$221.7 million investment based on the exchange rate at the time of closing.</w:t>
      </w:r>
    </w:p>
    <w:p>
      <w:pPr>
        <w:pStyle w:val="TextBody"/>
        <w:bidi w:val="0"/>
        <w:spacing w:lineRule="auto" w:line="288" w:before="20" w:after="283"/>
        <w:jc w:val="both"/>
        <w:rPr>
          <w:rFonts w:ascii="Times New Roman;sans-serif" w:hAnsi="Times New Roman;sans-serif"/>
          <w:b w:val="false"/>
          <w:i/>
          <w:color w:val="000000"/>
          <w:sz w:val="16"/>
        </w:rPr>
      </w:pPr>
      <w:r>
        <w:rPr>
          <w:rFonts w:ascii="Times New Roman;sans-serif" w:hAnsi="Times New Roman;sans-serif"/>
          <w:b w:val="false"/>
          <w:i/>
          <w:color w:val="000000"/>
          <w:sz w:val="16"/>
        </w:rPr>
        <w:t>(3) Amount represents USD equivalent to C$17.3 million rent based on the exchange rate at the time of closing.</w:t>
      </w:r>
    </w:p>
    <w:p>
      <w:pPr>
        <w:pStyle w:val="TextBody"/>
        <w:bidi w:val="0"/>
        <w:spacing w:lineRule="auto" w:line="288" w:before="20" w:after="283"/>
        <w:jc w:val="both"/>
        <w:rPr>
          <w:rFonts w:ascii="Times New Roman;sans-serif" w:hAnsi="Times New Roman;sans-serif"/>
          <w:b w:val="false"/>
          <w:i/>
          <w:color w:val="000000"/>
          <w:sz w:val="16"/>
        </w:rPr>
      </w:pPr>
      <w:r>
        <w:rPr>
          <w:rFonts w:ascii="Times New Roman;sans-serif" w:hAnsi="Times New Roman;sans-serif"/>
          <w:b w:val="false"/>
          <w:i/>
          <w:color w:val="000000"/>
          <w:sz w:val="16"/>
        </w:rPr>
        <w:t xml:space="preserve">(4) Simultaneous with the entrance into the CNE Gold Strike Lease, we entered into an amendment to the MGM Master Lease in order to account for MGM’s divestiture of the operations of Gold Strike and to reduce the annual base rent by $40.0 million. </w:t>
      </w:r>
    </w:p>
    <w:p>
      <w:pPr>
        <w:pStyle w:val="TextBody"/>
        <w:bidi w:val="0"/>
        <w:spacing w:lineRule="auto" w:line="288" w:before="20" w:after="283"/>
        <w:jc w:val="both"/>
        <w:rPr>
          <w:rFonts w:ascii="Times New Roman;sans-serif" w:hAnsi="Times New Roman;sans-serif"/>
          <w:b w:val="false"/>
          <w:i/>
          <w:color w:val="000000"/>
          <w:sz w:val="16"/>
        </w:rPr>
      </w:pPr>
      <w:r>
        <w:rPr>
          <w:rFonts w:ascii="Times New Roman;sans-serif" w:hAnsi="Times New Roman;sans-serif"/>
          <w:b w:val="false"/>
          <w:i/>
          <w:color w:val="000000"/>
          <w:sz w:val="16"/>
        </w:rPr>
        <w:t>(5) Amount includes the assumption of BREIT’s $1,497.0 million pro rata share of an aggregate $3.0 billion of property-level debt, which matures in 2032 and bears interest at a fixed rate of 3.558% per annum through March 2030.</w:t>
      </w:r>
    </w:p>
    <w:p>
      <w:pPr>
        <w:pStyle w:val="TextBody"/>
        <w:bidi w:val="0"/>
        <w:spacing w:lineRule="auto" w:line="288" w:before="20" w:after="283"/>
        <w:jc w:val="both"/>
        <w:rPr>
          <w:rFonts w:ascii="Times New Roman;sans-serif" w:hAnsi="Times New Roman;sans-serif"/>
          <w:b w:val="false"/>
          <w:i/>
          <w:color w:val="000000"/>
          <w:sz w:val="16"/>
        </w:rPr>
      </w:pPr>
      <w:r>
        <w:rPr>
          <w:rFonts w:ascii="Times New Roman;sans-serif" w:hAnsi="Times New Roman;sans-serif"/>
          <w:b w:val="false"/>
          <w:i/>
          <w:color w:val="000000"/>
          <w:sz w:val="16"/>
        </w:rPr>
        <w:t>(6) Amount represents our pro-rata share of the MGM Grand/Mandalay Bay Lease which had total annual rent of $303.8 million upon closing.</w:t>
      </w:r>
    </w:p>
    <w:p>
      <w:pPr>
        <w:pStyle w:val="TextBody"/>
        <w:bidi w:val="0"/>
        <w:spacing w:lineRule="auto" w:line="288" w:before="20" w:after="283"/>
        <w:jc w:val="both"/>
        <w:rPr>
          <w:rFonts w:ascii="Times New Roman;sans-serif" w:hAnsi="Times New Roman;sans-serif"/>
          <w:b w:val="false"/>
          <w:i/>
          <w:color w:val="000000"/>
          <w:sz w:val="16"/>
        </w:rPr>
      </w:pPr>
      <w:r>
        <w:rPr>
          <w:rFonts w:ascii="Times New Roman;sans-serif" w:hAnsi="Times New Roman;sans-serif"/>
          <w:b w:val="false"/>
          <w:i/>
          <w:color w:val="000000"/>
          <w:sz w:val="16"/>
        </w:rPr>
        <w:t>(7) Amount represents USD equivalent to C$271.9 million investment based on the exchange rate at the time of closing.</w:t>
      </w:r>
    </w:p>
    <w:p>
      <w:pPr>
        <w:pStyle w:val="TextBody"/>
        <w:bidi w:val="0"/>
        <w:spacing w:lineRule="auto" w:line="288" w:before="20" w:after="283"/>
        <w:jc w:val="both"/>
        <w:rPr>
          <w:rFonts w:ascii="Times New Roman;sans-serif" w:hAnsi="Times New Roman;sans-serif"/>
          <w:b w:val="false"/>
          <w:i/>
          <w:color w:val="000000"/>
          <w:sz w:val="16"/>
        </w:rPr>
      </w:pPr>
      <w:r>
        <w:rPr>
          <w:rFonts w:ascii="Times New Roman;sans-serif" w:hAnsi="Times New Roman;sans-serif"/>
          <w:b w:val="false"/>
          <w:i/>
          <w:color w:val="000000"/>
          <w:sz w:val="16"/>
        </w:rPr>
        <w:t>(8) Amount represents USD equivalent to C$21.8 million rent based on the exchange rate at the time of closing.</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Real Estate Debt Investment Activity</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real estate debt investment activity (each as defined in the column titled “Real Estate Debt Investment”) for the year ended December 31, 2023:</w:t>
      </w:r>
    </w:p>
    <w:tbl>
      <w:tblPr>
        <w:tblW w:w="10205" w:type="dxa"/>
        <w:jc w:val="left"/>
        <w:tblInd w:w="0" w:type="dxa"/>
        <w:tblLayout w:type="fixed"/>
        <w:tblCellMar>
          <w:top w:w="28" w:type="dxa"/>
          <w:left w:w="28" w:type="dxa"/>
          <w:bottom w:w="28" w:type="dxa"/>
          <w:right w:w="28" w:type="dxa"/>
        </w:tblCellMar>
      </w:tblPr>
      <w:tblGrid>
        <w:gridCol w:w="754"/>
        <w:gridCol w:w="654"/>
        <w:gridCol w:w="582"/>
        <w:gridCol w:w="109"/>
        <w:gridCol w:w="109"/>
        <w:gridCol w:w="109"/>
        <w:gridCol w:w="420"/>
        <w:gridCol w:w="402"/>
        <w:gridCol w:w="407"/>
        <w:gridCol w:w="109"/>
        <w:gridCol w:w="109"/>
        <w:gridCol w:w="109"/>
        <w:gridCol w:w="523"/>
        <w:gridCol w:w="505"/>
        <w:gridCol w:w="506"/>
        <w:gridCol w:w="109"/>
        <w:gridCol w:w="109"/>
        <w:gridCol w:w="109"/>
        <w:gridCol w:w="253"/>
        <w:gridCol w:w="741"/>
        <w:gridCol w:w="132"/>
        <w:gridCol w:w="109"/>
        <w:gridCol w:w="109"/>
        <w:gridCol w:w="109"/>
        <w:gridCol w:w="882"/>
        <w:gridCol w:w="882"/>
        <w:gridCol w:w="1254"/>
      </w:tblGrid>
      <w:tr>
        <w:trPr/>
        <w:tc>
          <w:tcPr>
            <w:tcW w:w="75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r>
      <w:tr>
        <w:trPr/>
        <w:tc>
          <w:tcPr>
            <w:tcW w:w="1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Real Estate Debt Investment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Investment 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Commitment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Collateral</w:t>
            </w:r>
          </w:p>
        </w:tc>
      </w:tr>
      <w:tr>
        <w:trPr/>
        <w:tc>
          <w:tcPr>
            <w:tcW w:w="19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Cabot Highlands Loan </w:t>
            </w:r>
            <w:r>
              <w:rPr>
                <w:rFonts w:ascii="Times New Roman;sans-serif" w:hAnsi="Times New Roman;sans-serif"/>
                <w:b w:val="false"/>
                <w:i/>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19,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Senior Secured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Luxury golf resort development in the Scottish Highlands</w:t>
            </w:r>
          </w:p>
        </w:tc>
      </w:tr>
      <w:tr>
        <w:trPr/>
        <w:tc>
          <w:tcPr>
            <w:tcW w:w="1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Kalahari Virginia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7,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Mezzanine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907-key indoor waterpark resort in Thornburg, VA under development</w:t>
            </w:r>
          </w:p>
        </w:tc>
      </w:tr>
      <w:tr>
        <w:trPr/>
        <w:tc>
          <w:tcPr>
            <w:tcW w:w="1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Cabot Saint Lucia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November 3,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Senior Secured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Luxury golf resort development in Saint Lucia, Virgin Islands</w:t>
            </w:r>
          </w:p>
        </w:tc>
      </w:tr>
      <w:tr>
        <w:trPr/>
        <w:tc>
          <w:tcPr>
            <w:tcW w:w="19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Canyon Ranch Lenox and Tucson Loan </w:t>
            </w:r>
            <w:r>
              <w:rPr>
                <w:rFonts w:ascii="Times New Roman;sans-serif" w:hAnsi="Times New Roman;sans-serif"/>
                <w:b w:val="false"/>
                <w:i/>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22,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Senior Secured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Canyon Ranch Tucson and Canyon Ranch Lenox wellness resorts</w:t>
            </w:r>
          </w:p>
        </w:tc>
      </w:tr>
      <w:tr>
        <w:trPr/>
        <w:tc>
          <w:tcPr>
            <w:tcW w:w="1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Canyon Ranch Preferred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26,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Preferred Equity Investment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interests in controlling entity of Canyon Ranch</w:t>
            </w:r>
          </w:p>
        </w:tc>
      </w:tr>
      <w:tr>
        <w:trPr/>
        <w:tc>
          <w:tcPr>
            <w:tcW w:w="19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Hard Rock Ottawa Notes </w:t>
            </w:r>
            <w:r>
              <w:rPr>
                <w:rFonts w:ascii="Times New Roman;sans-serif" w:hAnsi="Times New Roman;sans-serif"/>
                <w:b w:val="false"/>
                <w:i/>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28,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Senior Secured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Hard Rock Ottawa Hotel &amp; Casino</w:t>
            </w:r>
          </w:p>
        </w:tc>
      </w:tr>
      <w:tr>
        <w:trPr/>
        <w:tc>
          <w:tcPr>
            <w:tcW w:w="1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698.2 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i/>
          <w:color w:val="000000"/>
          <w:sz w:val="12"/>
        </w:rPr>
      </w:pPr>
      <w:r>
        <w:rPr>
          <w:rFonts w:ascii="Times New Roman;sans-serif" w:hAnsi="Times New Roman;sans-serif"/>
          <w:b w:val="false"/>
          <w:i/>
          <w:color w:val="000000"/>
          <w:sz w:val="12"/>
        </w:rPr>
        <w:t>____________________</w:t>
      </w:r>
    </w:p>
    <w:p>
      <w:pPr>
        <w:pStyle w:val="TextBody"/>
        <w:bidi w:val="0"/>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 xml:space="preserve">(1) Amount represents USD equivalent to £9.0 million based on the exchange rate at the time of closing.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222885"/>
                <wp:effectExtent l="0" t="0" r="0" b="0"/>
                <wp:wrapNone/>
                <wp:docPr id="47" name="Frame4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60" w:after="283"/>
        <w:jc w:val="both"/>
        <w:rPr/>
      </w:pPr>
      <w:hyperlink w:anchor="ib2fc48f0ddf244d9844b8de22bde2e36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pPr>
      <w:r>
        <w:rPr>
          <w:rFonts w:ascii="Times New Roman;sans-serif" w:hAnsi="Times New Roman;sans-serif"/>
          <w:b w:val="false"/>
          <w:i/>
          <w:color w:val="000000"/>
          <w:sz w:val="16"/>
        </w:rPr>
        <w:t xml:space="preserve">(2) In connection with the Canyon Ranch Lenox and Tucson Loan and Canyon Ranch Preferred Equity Investment, we entered into (i) a call right agreement for Canyon Ranch Tucson and Canyon Ranch Lenox, and (ii) a right of first financing agreement to serve as the real estate capital financing partner for Canyon Ranch with respect to the acquisition, build-out and redevelopment of future wellness resorts. If the call right(s) are exercised, Canyon Ranch would continue to operate the applicable wellness resort(s) subject to a long-term triple net master lease with the Company. Refer to </w:t>
      </w:r>
      <w:hyperlink w:anchor="ib2fc48f0ddf244d9844b8de22bde2e36_16">
        <w:r>
          <w:rPr>
            <w:rStyle w:val="InternetLink"/>
            <w:rFonts w:ascii="Times New Roman;sans-serif" w:hAnsi="Times New Roman;sans-serif"/>
            <w:b w:val="false"/>
            <w:i/>
            <w:color w:val="0000FF"/>
            <w:sz w:val="16"/>
            <w:u w:val="single"/>
          </w:rPr>
          <w:t>Item 1 - Our Growth Agreements</w:t>
        </w:r>
      </w:hyperlink>
      <w:r>
        <w:rPr>
          <w:color w:val="000000"/>
        </w:rPr>
        <w:t xml:space="preserve"> </w:t>
      </w:r>
      <w:r>
        <w:rPr>
          <w:rFonts w:ascii="Times New Roman;sans-serif" w:hAnsi="Times New Roman;sans-serif"/>
          <w:b w:val="false"/>
          <w:i/>
          <w:color w:val="000000"/>
          <w:sz w:val="16"/>
        </w:rPr>
        <w:t xml:space="preserve">for further details. </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Financing and Capital Markets Activity</w:t>
      </w:r>
    </w:p>
    <w:p>
      <w:pPr>
        <w:pStyle w:val="TextBody"/>
        <w:bidi w:val="0"/>
        <w:spacing w:lineRule="auto" w:line="288" w:before="120" w:after="283"/>
        <w:ind w:left="0" w:right="0" w:hanging="360"/>
        <w:jc w:val="both"/>
        <w:rPr/>
      </w:pPr>
      <w:r>
        <w:rPr>
          <w:color w:val="231F20"/>
        </w:rPr>
        <w:t>•</w:t>
      </w:r>
      <w:r>
        <w:rPr>
          <w:rFonts w:ascii="Times New Roman;sans-serif" w:hAnsi="Times New Roman;sans-serif"/>
          <w:b/>
          <w:i/>
          <w:color w:val="000000"/>
          <w:sz w:val="20"/>
        </w:rPr>
        <w:t xml:space="preserve">January 2023 Offering. </w:t>
      </w:r>
      <w:r>
        <w:rPr>
          <w:rFonts w:ascii="Times New Roman;sans-serif" w:hAnsi="Times New Roman;sans-serif"/>
          <w:b w:val="false"/>
          <w:color w:val="000000"/>
          <w:sz w:val="20"/>
        </w:rPr>
        <w:t xml:space="preserve">On January 12, 2023, we completed a primary offering of 30,302,500 shares of common stock (inclusive of 3,952,500 shares sold pursuant to the exercise in full of the underwriters’ option to purchase additional common stock) at a public offering price of $33.00 per share for an aggregate offering value of $1.0 billion, resulting in net proceeds, after deduction of the underwriting discount and expenses, of $964.4 million. The shares are subject to forward sale agreements (the “January 2023 Forward Sale Agreements”), which required settlement by January 16, 2024. We did not initially receive any proceeds from the sale of the shares of common stock in the offering, which were sold to the underwriters by the forward purchasers or their respective affiliates. In April, July, August and October 2023, we physically settled the January 2023 Forward Sale Agreements (as defined in </w:t>
      </w:r>
      <w:hyperlink w:anchor="ib2fc48f0ddf244d9844b8de22bde2e36_175">
        <w:r>
          <w:rPr>
            <w:rStyle w:val="InternetLink"/>
            <w:rFonts w:ascii="Times New Roman;sans-serif" w:hAnsi="Times New Roman;sans-serif"/>
            <w:b w:val="false"/>
            <w:color w:val="0000FF"/>
            <w:sz w:val="20"/>
            <w:u w:val="single"/>
          </w:rPr>
          <w:t>Note 11 - Stockholders Equity</w:t>
        </w:r>
      </w:hyperlink>
      <w:r>
        <w:rPr>
          <w:rFonts w:ascii="Times New Roman;sans-serif" w:hAnsi="Times New Roman;sans-serif"/>
          <w:b w:val="false"/>
          <w:color w:val="000000"/>
          <w:sz w:val="20"/>
        </w:rPr>
        <w:t>) in exchange for total net proceeds of approximately $960.5 million.</w:t>
      </w:r>
    </w:p>
    <w:p>
      <w:pPr>
        <w:pStyle w:val="TextBody"/>
        <w:bidi w:val="0"/>
        <w:spacing w:lineRule="auto" w:line="288" w:before="120" w:after="283"/>
        <w:ind w:left="0" w:right="0" w:hanging="360"/>
        <w:jc w:val="both"/>
        <w:rPr/>
      </w:pPr>
      <w:r>
        <w:rPr>
          <w:color w:val="231F20"/>
        </w:rPr>
        <w:t>•</w:t>
      </w:r>
      <w:r>
        <w:rPr>
          <w:rFonts w:ascii="Times New Roman;sans-serif" w:hAnsi="Times New Roman;sans-serif"/>
          <w:b/>
          <w:i/>
          <w:color w:val="000000"/>
          <w:sz w:val="20"/>
        </w:rPr>
        <w:t xml:space="preserve">At-The-Market Offering Programs. </w:t>
      </w:r>
      <w:r>
        <w:rPr>
          <w:rFonts w:ascii="Times New Roman;sans-serif" w:hAnsi="Times New Roman;sans-serif"/>
          <w:b w:val="false"/>
          <w:color w:val="000000"/>
          <w:sz w:val="20"/>
        </w:rPr>
        <w:t xml:space="preserve">During the year ended December 31, 2023, we sold an aggregate of 21,365,397 shares under the ATM Program (as defined in </w:t>
      </w:r>
      <w:hyperlink w:anchor="ib2fc48f0ddf244d9844b8de22bde2e36_175">
        <w:r>
          <w:rPr>
            <w:rStyle w:val="InternetLink"/>
            <w:rFonts w:ascii="Times New Roman;sans-serif" w:hAnsi="Times New Roman;sans-serif"/>
            <w:b w:val="false"/>
            <w:color w:val="0000FF"/>
            <w:sz w:val="20"/>
            <w:u w:val="single"/>
          </w:rPr>
          <w:t>Note 11 - Stockholders Equity</w:t>
        </w:r>
      </w:hyperlink>
      <w:r>
        <w:rPr>
          <w:rFonts w:ascii="Times New Roman;sans-serif" w:hAnsi="Times New Roman;sans-serif"/>
          <w:b w:val="false"/>
          <w:color w:val="000000"/>
          <w:sz w:val="20"/>
        </w:rPr>
        <w:t>), all of which were subject to forward sale agreements, for estimated aggregate net value of $634.6 million based on the initial forward sale price with respect to each forward sale agreement. We did not initially receive any proceeds from the sale of the shares of common stock under the ATM Program, which were sold to the underwriters by the forward purchasers or their respective affiliates. In October 2023, we physically settled all the then outstanding forward shares issued under the ATM Program in exchange for total net proceeds of approximately $249.1 million.</w:t>
      </w:r>
    </w:p>
    <w:p>
      <w:pPr>
        <w:pStyle w:val="TextBody"/>
        <w:bidi w:val="0"/>
        <w:spacing w:lineRule="auto" w:line="288" w:before="120" w:after="283"/>
        <w:ind w:left="0" w:right="0" w:hanging="360"/>
        <w:jc w:val="both"/>
        <w:rPr/>
      </w:pPr>
      <w:r>
        <w:rPr>
          <w:color w:val="000000"/>
        </w:rPr>
        <w:t>•</w:t>
      </w:r>
      <w:r>
        <w:rPr>
          <w:rFonts w:ascii="Times New Roman;sans-serif" w:hAnsi="Times New Roman;sans-serif"/>
          <w:b/>
          <w:i/>
          <w:color w:val="000000"/>
          <w:sz w:val="20"/>
        </w:rPr>
        <w:t xml:space="preserve">Entry into Forward-Starting Interest Rate Swap Agreements. </w:t>
      </w:r>
      <w:r>
        <w:rPr>
          <w:rFonts w:ascii="Times New Roman;sans-serif" w:hAnsi="Times New Roman;sans-serif"/>
          <w:b w:val="false"/>
          <w:color w:val="000000"/>
          <w:sz w:val="20"/>
        </w:rPr>
        <w:t>During the year ended December 31, 2023, we entered into seven forward-starting interest rate swap agreements with an aggregate notional amount of $500.0 million intended to reduce the variability in the forecasted interest expense related to the fixed-rate debt we expect to refinance.</w:t>
      </w:r>
    </w:p>
    <w:p>
      <w:pPr>
        <w:pStyle w:val="TextBody"/>
        <w:bidi w:val="0"/>
        <w:spacing w:lineRule="auto" w:line="288" w:before="240" w:after="283"/>
        <w:jc w:val="center"/>
        <w:rPr>
          <w:rFonts w:ascii="Times New Roman;sans-serif" w:hAnsi="Times New Roman;sans-serif"/>
          <w:b/>
          <w:color w:val="000000"/>
          <w:sz w:val="22"/>
        </w:rPr>
      </w:pPr>
      <w:r>
        <w:rPr>
          <w:rFonts w:ascii="Times New Roman;sans-serif" w:hAnsi="Times New Roman;sans-serif"/>
          <w:b/>
          <w:color w:val="000000"/>
          <w:sz w:val="22"/>
        </w:rPr>
        <w:t>KEY TRENDS THAT MAY AFFECT OUR BUSINESS</w:t>
      </w:r>
    </w:p>
    <w:p>
      <w:pPr>
        <w:pStyle w:val="TextBody"/>
        <w:bidi w:val="0"/>
        <w:spacing w:lineRule="auto" w:line="288" w:before="24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Tenant and Industry Performance</w:t>
      </w:r>
    </w:p>
    <w:p>
      <w:pPr>
        <w:pStyle w:val="TextBody"/>
        <w:bidi w:val="0"/>
        <w:spacing w:lineRule="auto" w:line="288" w:before="240" w:after="283"/>
        <w:jc w:val="both"/>
        <w:rPr/>
      </w:pPr>
      <w:r>
        <w:rPr>
          <w:rFonts w:ascii="Times New Roman;sans-serif" w:hAnsi="Times New Roman;sans-serif"/>
          <w:b w:val="false"/>
          <w:color w:val="000000"/>
          <w:sz w:val="20"/>
          <w:shd w:fill="FFFFFF" w:val="clear"/>
        </w:rPr>
        <w:t>Our tenants and the guarantors of their respective obligations, as applicable, under our lease agreements are leading gaming and experiential operators across the United States, Canada and abroad. Rental payments under our</w:t>
      </w:r>
      <w:r>
        <w:rPr>
          <w:color w:val="000000"/>
        </w:rPr>
        <w:t xml:space="preserve"> </w:t>
      </w:r>
      <w:r>
        <w:rPr>
          <w:rFonts w:ascii="Times New Roman;sans-serif" w:hAnsi="Times New Roman;sans-serif"/>
          <w:b w:val="false"/>
          <w:color w:val="000000"/>
          <w:sz w:val="20"/>
        </w:rPr>
        <w:t xml:space="preserve">lease agreements comprise, and are expected to continue to comprise, a substantial majority of our revenues. Accordingly, we are dependent on, among other things, our tenants’ and, as applicable, their respective guarantors’, financial performance, the performance of the gaming and other experiential industries and the health of the economies in the areas where our properties are located for the foreseeable future, and an event that has a material adverse effect on any of our tenant’s business, financial condition, liquidity, results of operations or prospects could have a material adverse effect on our business, financial condition, liquidity, results of operations and prospects. In addition, the financial performance of our tenants and their respective guarantors also has a direct impact on our financial results in a given reporting period due to the impact of ASC 326 “Credit Losses” (“ASC 326”), which requires us to estimate and record non-cash expected credit losses related to our investments, including changes on a quarterly basis, that are recorded in our Statement of Operations and impact our reported net income. The change in non-cash allowance for credit losses for a given period is dependent upon, among other things, our tenants’ and guarantors’ financial performance. For more information regarding ASC 326, refer to </w:t>
      </w:r>
      <w:hyperlink w:anchor="ib2fc48f0ddf244d9844b8de22bde2e36_154">
        <w:r>
          <w:rPr>
            <w:rStyle w:val="InternetLink"/>
            <w:rFonts w:ascii="Times New Roman;sans-serif" w:hAnsi="Times New Roman;sans-serif"/>
            <w:b w:val="false"/>
            <w:color w:val="0000FF"/>
            <w:sz w:val="20"/>
            <w:u w:val="single"/>
          </w:rPr>
          <w:t>Note 5 - Allowance for Credit Losses</w:t>
        </w:r>
      </w:hyperlink>
      <w:r>
        <w:rPr>
          <w:color w:val="000000"/>
        </w:rPr>
        <w:t xml:space="preserve"> </w:t>
      </w:r>
      <w:r>
        <w:rPr>
          <w:rFonts w:ascii="Times New Roman;sans-serif" w:hAnsi="Times New Roman;sans-serif"/>
          <w:b w:val="false"/>
          <w:color w:val="000000"/>
          <w:sz w:val="20"/>
        </w:rPr>
        <w:t>included in this Annual Report on Form 10-K.</w:t>
      </w:r>
    </w:p>
    <w:p>
      <w:pPr>
        <w:pStyle w:val="TextBody"/>
        <w:bidi w:val="0"/>
        <w:spacing w:lineRule="auto" w:line="288" w:before="18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Business Strategy</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business prospects and future growth will be significantly influenced by the success of our business strategy, and the timing, availability and terms of financing of any acquisitions and investments that we may complete, as well as broader macroeconomic and other conditions that affect our tenants’ operating and financial performance, including those described herein. Further, the pricing of any acquisitions or other investments we may consummate and the terms of any leases that we may enter into will significantly impact our future results. Competition to enter into transactions with attractive properties and desirable tenants is intense, and we can provide no assurance that any future acquisitions, investments or leases will be on terms as favorable to us as those relating to recent or historical transactions.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222885"/>
                <wp:effectExtent l="0" t="0" r="0" b="0"/>
                <wp:wrapNone/>
                <wp:docPr id="48" name="Frame4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60" w:after="283"/>
        <w:jc w:val="both"/>
        <w:rPr/>
      </w:pPr>
      <w:hyperlink w:anchor="ib2fc48f0ddf244d9844b8de22bde2e36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Impact of the Macroeconomic Environment</w:t>
      </w:r>
    </w:p>
    <w:p>
      <w:pPr>
        <w:pStyle w:val="TextBody"/>
        <w:bidi w:val="0"/>
        <w:spacing w:lineRule="auto" w:line="288" w:before="180" w:after="283"/>
        <w:jc w:val="both"/>
        <w:rPr/>
      </w:pPr>
      <w:r>
        <w:rPr>
          <w:rFonts w:ascii="Times New Roman;sans-serif" w:hAnsi="Times New Roman;sans-serif"/>
          <w:b w:val="false"/>
          <w:color w:val="000000"/>
          <w:sz w:val="20"/>
          <w:shd w:fill="FFFFFF" w:val="clear"/>
        </w:rPr>
        <w:t>We anticipate that we will finance our future growth with a combination of debt and equity, although no assurance can be given that we will be able to issue equity and/or debt in such amounts on favorable terms, or at all, or that we would not determine to incur more debt on a relative basis at the relevant time due to market conditions or otherwise. M</w:t>
      </w:r>
      <w:r>
        <w:rPr>
          <w:rFonts w:ascii="Times New Roman;sans-serif" w:hAnsi="Times New Roman;sans-serif"/>
          <w:b w:val="false"/>
          <w:color w:val="000000"/>
          <w:sz w:val="20"/>
        </w:rPr>
        <w:t xml:space="preserve">acroeconomic volatility has introduced significant uncertainty and heightened risk for businesses, including us and our tenants, including the impact of heightened interest rates, inflation, threat of recession and increased cost of capital. Our tenants also face additional challenges, including potential changes in consumer confidence levels, behavior and spending and increased operational expenses, such as with respect to labor or energy costs. As a triple-net lessor, increased operational expenses at our leased properties are borne by our tenants and do not directly impact their rent obligations (other than with respect to underlying inflation as applied to the CPI-based escalators described below) or other obligations under our lease agreements.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However, the current macroeconomic environment, including heightened interest rates and market volatility, impacts our business in certain respects, such as by increasing interest expense with respect to any borrowings under our Revolving Credit Facility and future refinancing of upcoming debt maturities, volatility of our share price with respect to sales of common stock, and, with respect to potential transactions, evaluating asset and property values in discussions with potential counterparties and obtaining transaction financing on attractive terms, all of which could increase our cost of capital and negatively impact our growth prospects.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With respect to our lease agreements, which generally provide for annual rent escalation based on a specified percentage increase and/or increases in CPI, we expect that currently elevated inflation levels will result in additional rent increases over time under our CPI-based lease provisions (subject to any applicable caps or periods in which such provisions do not apply). However, these rent increases may not match increasing inflation during periods when inflation rates are greater than the applicable CPI-based caps. </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Overall Implications of Such Material Trends on Our Business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a triple-net lessor, we believe we are generally in a strong creditor position and structurally insulated from operational and performance impacts of our tenants, both positive and negative. However, the full extent to which the trends set forth herein adversely affect our tenants and/or ultimately impact us depends on future developments that cannot be predicted with confidence, including our tenants’ financial performance, the direct and indirect effects of such trends discussed herein (including among other things, heightened interest rates, inflation, economic recessions, consumer confidence levels and general conditions in the capital and credit markets) and the impact of any future measures taken in response to such trends on our tenants. </w:t>
      </w:r>
    </w:p>
    <w:p>
      <w:pPr>
        <w:pStyle w:val="TextBody"/>
        <w:bidi w:val="0"/>
        <w:spacing w:lineRule="auto" w:line="288" w:before="180" w:after="283"/>
        <w:jc w:val="both"/>
        <w:rPr/>
      </w:pPr>
      <w:r>
        <w:rPr>
          <w:rFonts w:ascii="Times New Roman;sans-serif" w:hAnsi="Times New Roman;sans-serif"/>
          <w:b w:val="false"/>
          <w:color w:val="000000"/>
          <w:sz w:val="20"/>
        </w:rPr>
        <w:t>For more information, refer to “</w:t>
      </w:r>
      <w:hyperlink w:anchor="ib2fc48f0ddf244d9844b8de22bde2e36_22">
        <w:r>
          <w:rPr>
            <w:rStyle w:val="InternetLink"/>
            <w:rFonts w:ascii="Times New Roman;sans-serif" w:hAnsi="Times New Roman;sans-serif"/>
            <w:b w:val="false"/>
            <w:color w:val="0000FF"/>
            <w:sz w:val="20"/>
            <w:u w:val="single"/>
          </w:rPr>
          <w:t>Part I – Item 1A. Risk Factors</w:t>
        </w:r>
      </w:hyperlink>
      <w:r>
        <w:rPr>
          <w:color w:val="000000"/>
        </w:rPr>
        <w:t xml:space="preserve">” </w:t>
      </w:r>
      <w:r>
        <w:rPr>
          <w:rFonts w:ascii="Times New Roman;sans-serif" w:hAnsi="Times New Roman;sans-serif"/>
          <w:b w:val="false"/>
          <w:color w:val="000000"/>
          <w:sz w:val="20"/>
        </w:rPr>
        <w:t>included in this Annual Report on Form 10-K.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222885"/>
                <wp:effectExtent l="0" t="0" r="0" b="0"/>
                <wp:wrapNone/>
                <wp:docPr id="49" name="Frame4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60" w:after="283"/>
        <w:jc w:val="both"/>
        <w:rPr/>
      </w:pPr>
      <w:hyperlink w:anchor="ib2fc48f0ddf244d9844b8de22bde2e36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center"/>
        <w:rPr>
          <w:rFonts w:ascii="Times New Roman;sans-serif" w:hAnsi="Times New Roman;sans-serif"/>
          <w:b/>
          <w:color w:val="000000"/>
          <w:sz w:val="22"/>
        </w:rPr>
      </w:pPr>
      <w:r>
        <w:rPr>
          <w:rFonts w:ascii="Times New Roman;sans-serif" w:hAnsi="Times New Roman;sans-serif"/>
          <w:b/>
          <w:color w:val="000000"/>
          <w:sz w:val="22"/>
        </w:rPr>
        <w:t>DISCUSSION OF OPERATING RESULTS</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 xml:space="preserve">Results of Operations for the Years Ended December 31, 2023 and December 31, 2022 </w:t>
      </w:r>
    </w:p>
    <w:tbl>
      <w:tblPr>
        <w:tblW w:w="9642" w:type="dxa"/>
        <w:jc w:val="center"/>
        <w:tblInd w:w="0" w:type="dxa"/>
        <w:tblLayout w:type="fixed"/>
        <w:tblCellMar>
          <w:top w:w="28" w:type="dxa"/>
          <w:left w:w="28" w:type="dxa"/>
          <w:bottom w:w="28" w:type="dxa"/>
          <w:right w:w="28" w:type="dxa"/>
        </w:tblCellMar>
      </w:tblPr>
      <w:tblGrid>
        <w:gridCol w:w="1829"/>
        <w:gridCol w:w="1609"/>
        <w:gridCol w:w="1617"/>
        <w:gridCol w:w="211"/>
        <w:gridCol w:w="976"/>
        <w:gridCol w:w="109"/>
        <w:gridCol w:w="109"/>
        <w:gridCol w:w="109"/>
        <w:gridCol w:w="109"/>
        <w:gridCol w:w="211"/>
        <w:gridCol w:w="976"/>
        <w:gridCol w:w="109"/>
        <w:gridCol w:w="109"/>
        <w:gridCol w:w="109"/>
        <w:gridCol w:w="109"/>
        <w:gridCol w:w="211"/>
        <w:gridCol w:w="976"/>
        <w:gridCol w:w="154"/>
      </w:tblGrid>
      <w:tr>
        <w:trPr/>
        <w:tc>
          <w:tcPr>
            <w:tcW w:w="1829"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c>
          <w:tcPr>
            <w:tcW w:w="16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u w:val="single"/>
              </w:rPr>
            </w:pPr>
            <w:r>
              <w:rPr>
                <w:rFonts w:ascii="Times New Roman;sans-serif" w:hAnsi="Times New Roman;sans-serif"/>
                <w:b/>
                <w:i/>
                <w:color w:val="000000"/>
                <w:sz w:val="20"/>
                <w:u w:val="single"/>
              </w:rPr>
              <w:t>(In thousands)</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Variance</w:t>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Revenues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sales-type leases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1,980,178 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1,464,245 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515,933 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lease financing receivables, loans and securities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1,519,516 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1,041,229 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478,287 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13,697 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Golf revenues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3,611,988 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2,600,697 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1,011,291 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Operating expenses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Golf expenses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allowance for credit losses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102,824 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834,494 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(731,670)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and acquisition expenses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(14,636)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275,157 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990,900 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(715,743)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unconsolidated affiliate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(58,489)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(818,056)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(539,953)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(278,103)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gains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2,548,481 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1,139,143 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1,409,338 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 from (provision for) income taxes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2,554,622 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1,136,267 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1,418,355 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income attributable to non-controlling interests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common stockholders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2,513,540 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1,117,635 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1,395,905 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222885"/>
                <wp:effectExtent l="0" t="0" r="0" b="0"/>
                <wp:wrapNone/>
                <wp:docPr id="50" name="Frame4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88" w:before="60" w:after="283"/>
        <w:jc w:val="both"/>
        <w:rPr/>
      </w:pPr>
      <w:hyperlink w:anchor="ib2fc48f0ddf244d9844b8de22bde2e36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both"/>
        <w:rPr>
          <w:rFonts w:ascii="Times New Roman;sans-serif" w:hAnsi="Times New Roman;sans-serif"/>
          <w:b/>
          <w:color w:val="000000"/>
          <w:sz w:val="22"/>
        </w:rPr>
      </w:pPr>
      <w:r>
        <w:rPr>
          <w:rFonts w:ascii="Times New Roman;sans-serif" w:hAnsi="Times New Roman;sans-serif"/>
          <w:b/>
          <w:color w:val="000000"/>
          <w:sz w:val="22"/>
        </w:rPr>
        <w:t xml:space="preserve">Revenue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years ended December 31, 2023 and 2022, our revenue was comprised of the following items:</w:t>
      </w:r>
    </w:p>
    <w:tbl>
      <w:tblPr>
        <w:tblW w:w="6207" w:type="dxa"/>
        <w:jc w:val="center"/>
        <w:tblInd w:w="0" w:type="dxa"/>
        <w:tblLayout w:type="fixed"/>
        <w:tblCellMar>
          <w:top w:w="28" w:type="dxa"/>
          <w:left w:w="28" w:type="dxa"/>
          <w:bottom w:w="28" w:type="dxa"/>
          <w:right w:w="28" w:type="dxa"/>
        </w:tblCellMar>
      </w:tblPr>
      <w:tblGrid>
        <w:gridCol w:w="587"/>
        <w:gridCol w:w="516"/>
        <w:gridCol w:w="517"/>
        <w:gridCol w:w="211"/>
        <w:gridCol w:w="976"/>
        <w:gridCol w:w="109"/>
        <w:gridCol w:w="109"/>
        <w:gridCol w:w="109"/>
        <w:gridCol w:w="109"/>
        <w:gridCol w:w="211"/>
        <w:gridCol w:w="976"/>
        <w:gridCol w:w="109"/>
        <w:gridCol w:w="109"/>
        <w:gridCol w:w="109"/>
        <w:gridCol w:w="109"/>
        <w:gridCol w:w="211"/>
        <w:gridCol w:w="976"/>
        <w:gridCol w:w="154"/>
      </w:tblGrid>
      <w:tr>
        <w:trPr/>
        <w:tc>
          <w:tcPr>
            <w:tcW w:w="587"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Variance</w:t>
            </w:r>
          </w:p>
        </w:tc>
      </w:tr>
      <w:tr>
        <w:trPr/>
        <w:tc>
          <w:tcPr>
            <w:tcW w:w="1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Leasing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3,420,934 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2,461,299 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959,635 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loans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Golf revenues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3,611,988 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2,600,697 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1,011,291 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Leasing Revenue</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details the components of our income from sales-type lease and lease financing receivables:</w:t>
      </w:r>
    </w:p>
    <w:tbl>
      <w:tblPr>
        <w:tblW w:w="8021" w:type="dxa"/>
        <w:jc w:val="center"/>
        <w:tblInd w:w="0" w:type="dxa"/>
        <w:tblLayout w:type="fixed"/>
        <w:tblCellMar>
          <w:top w:w="28" w:type="dxa"/>
          <w:left w:w="28" w:type="dxa"/>
          <w:bottom w:w="28" w:type="dxa"/>
          <w:right w:w="28" w:type="dxa"/>
        </w:tblCellMar>
      </w:tblPr>
      <w:tblGrid>
        <w:gridCol w:w="1299"/>
        <w:gridCol w:w="1141"/>
        <w:gridCol w:w="1144"/>
        <w:gridCol w:w="211"/>
        <w:gridCol w:w="976"/>
        <w:gridCol w:w="109"/>
        <w:gridCol w:w="109"/>
        <w:gridCol w:w="109"/>
        <w:gridCol w:w="109"/>
        <w:gridCol w:w="211"/>
        <w:gridCol w:w="976"/>
        <w:gridCol w:w="109"/>
        <w:gridCol w:w="109"/>
        <w:gridCol w:w="109"/>
        <w:gridCol w:w="109"/>
        <w:gridCol w:w="211"/>
        <w:gridCol w:w="826"/>
        <w:gridCol w:w="154"/>
      </w:tblGrid>
      <w:tr>
        <w:trPr/>
        <w:tc>
          <w:tcPr>
            <w:tcW w:w="1299"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Variance</w:t>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sales-type leases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1,980,178 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1,464,245 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515,933 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Income from lease financing receivables </w:t>
            </w:r>
            <w:r>
              <w:rPr>
                <w:rFonts w:ascii="Times New Roman;sans-serif" w:hAnsi="Times New Roman;sans-serif"/>
                <w:b w:val="false"/>
                <w:i/>
                <w:color w:val="000000"/>
                <w:sz w:val="13"/>
              </w:rPr>
              <w:t>(1)</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1,440,756 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997,054 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443,702 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leasing revenue</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3,420,934 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2,461,299 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959,635 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Non-cash adjustment </w:t>
            </w:r>
            <w:r>
              <w:rPr>
                <w:rFonts w:ascii="Times New Roman;sans-serif" w:hAnsi="Times New Roman;sans-serif"/>
                <w:b w:val="false"/>
                <w:i/>
                <w:color w:val="000000"/>
                <w:sz w:val="13"/>
              </w:rPr>
              <w:t>(2)</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(515,556)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(337,631)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(177,925)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contractual leasing revenue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2,905,378 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2,123,668 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781,710 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____________________</w:t>
      </w:r>
    </w:p>
    <w:p>
      <w:pPr>
        <w:pStyle w:val="TextBody"/>
        <w:bidi w:val="0"/>
        <w:spacing w:lineRule="auto" w:line="276"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(1) Represents our asset acquisitions structured as sale leaseback transactions. In accordance with ASC 842, since the lease agreements were determined to meet the definition of a sales-type lease and control of the asset is not considered to have transferred to us, such lease agreements are accounted for as financings under ASC 310.</w:t>
      </w:r>
    </w:p>
    <w:p>
      <w:pPr>
        <w:pStyle w:val="TextBody"/>
        <w:bidi w:val="0"/>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 xml:space="preserve">(2) Amounts represent the non-cash adjustment to income from sales-type leases and lease financing receivables in order to recognize income on an effective interest basis at a constant rate of return over the term of the leases.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Leasing revenue is generated from rent from our lease agreements. Total leasing revenue increased $959.6 million during the year ended December 31, 2023 compared to the year ended December 31, 2022. Total contractual leasing revenue increased $781.7 million during the year ended December 31, 2023 compared to the year ended December 31, 2022. The increases were primarily driven by the addition to our portfolio of the Venetian Lease in February 2022, the MGM Master Lease in April 2022, the Foundation Master Lease in December 2022, the PURE Master Lease and the MGM Grand/Mandalay Bay Lease in January 2023, the Rocky Gap Casino component of the Century Master Lease in July 2023 and the Century Canadian Portfolio component of the Century Master Lease in September 2023, the Bowlero Master Lease in October 2023 and the Chelsea Piers Lease in December 2023, as well as the annual rent escalators from certain of our other lease agreements.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Income From Loans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Income from loans increased $34.6 million during the year ended December 31, 2023 compared to the year ended December 31, 2022. The increase was driven by the origination and subsequent funding, as applicable, of our debt investments and the related interest income from the increased principal balances outstanding under such debt investments, partially offset by the full repayment of the $400.0 million Caesars Forum Convention Center mortgage loan in May 2023 and the $71.5 million Chelsea Piers loan in December 2023. </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Other Income</w:t>
      </w:r>
    </w:p>
    <w:p>
      <w:pPr>
        <w:pStyle w:val="TextBody"/>
        <w:bidi w:val="0"/>
        <w:spacing w:lineRule="auto" w:line="288" w:before="180" w:after="283"/>
        <w:jc w:val="both"/>
        <w:rPr/>
      </w:pPr>
      <w:r>
        <w:rPr>
          <w:rFonts w:ascii="Times New Roman;sans-serif" w:hAnsi="Times New Roman;sans-serif"/>
          <w:b w:val="false"/>
          <w:color w:val="000000"/>
          <w:sz w:val="20"/>
        </w:rPr>
        <w:t xml:space="preserve">Other income increased $13.7 million during the year ended December 31, 2023 compared to the year ended December 31, 2022. The increase was driven primarily by the additional income as a result of certain ground and use sub-leases assumed in connection with our property transactions and acquisitions, including the acquisition of the Venetian Resort in February 2022 (“Venetian Acquisition”), the MGP Transactions in April 2022, the Rocky Gap Casino Acquisition in July 2023 and the Chelsea Piers Sale-Leaseback Transaction in December 2023 (each as defined in </w:t>
      </w:r>
      <w:hyperlink w:anchor="ib2fc48f0ddf244d9844b8de22bde2e36_148">
        <w:r>
          <w:rPr>
            <w:rStyle w:val="InternetLink"/>
            <w:rFonts w:ascii="Times New Roman;sans-serif" w:hAnsi="Times New Roman;sans-serif"/>
            <w:b w:val="false"/>
            <w:color w:val="0000FF"/>
            <w:sz w:val="20"/>
            <w:u w:val="single"/>
          </w:rPr>
          <w:t>Note 3 - Real Estate Transactions</w:t>
        </w:r>
      </w:hyperlink>
      <w:r>
        <w:rPr>
          <w:rFonts w:ascii="Times New Roman;sans-serif" w:hAnsi="Times New Roman;sans-serif"/>
          <w:b w:val="false"/>
          <w:color w:val="000000"/>
          <w:sz w:val="20"/>
        </w:rPr>
        <w:t>). We determined we are the primary obligor of the respective ground and use leases and, accordingly, record the related income and expense on a gross basis on our Income Statement. The lease agreements require our tenants to cover all costs associated with such ground and use sub-leases and provide for their direct payment to the primary landlord.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222885"/>
                <wp:effectExtent l="0" t="0" r="0" b="0"/>
                <wp:wrapNone/>
                <wp:docPr id="51" name="Frame4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88" w:before="60" w:after="283"/>
        <w:jc w:val="both"/>
        <w:rPr/>
      </w:pPr>
      <w:hyperlink w:anchor="ib2fc48f0ddf244d9844b8de22bde2e36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2"/>
        </w:rPr>
      </w:pPr>
      <w:r>
        <w:rPr>
          <w:rFonts w:ascii="Times New Roman;sans-serif" w:hAnsi="Times New Roman;sans-serif"/>
          <w:b/>
          <w:color w:val="000000"/>
          <w:sz w:val="22"/>
        </w:rPr>
        <w:t>Operating Expenses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years ended December 31, 2023 and 2022, our operating expenses were comprised of the following items:</w:t>
      </w:r>
    </w:p>
    <w:tbl>
      <w:tblPr>
        <w:tblW w:w="7376" w:type="dxa"/>
        <w:jc w:val="center"/>
        <w:tblInd w:w="0" w:type="dxa"/>
        <w:tblLayout w:type="fixed"/>
        <w:tblCellMar>
          <w:top w:w="28" w:type="dxa"/>
          <w:left w:w="28" w:type="dxa"/>
          <w:bottom w:w="28" w:type="dxa"/>
          <w:right w:w="28" w:type="dxa"/>
        </w:tblCellMar>
      </w:tblPr>
      <w:tblGrid>
        <w:gridCol w:w="1145"/>
        <w:gridCol w:w="1007"/>
        <w:gridCol w:w="1012"/>
        <w:gridCol w:w="211"/>
        <w:gridCol w:w="826"/>
        <w:gridCol w:w="109"/>
        <w:gridCol w:w="109"/>
        <w:gridCol w:w="109"/>
        <w:gridCol w:w="109"/>
        <w:gridCol w:w="211"/>
        <w:gridCol w:w="826"/>
        <w:gridCol w:w="109"/>
        <w:gridCol w:w="109"/>
        <w:gridCol w:w="109"/>
        <w:gridCol w:w="109"/>
        <w:gridCol w:w="211"/>
        <w:gridCol w:w="901"/>
        <w:gridCol w:w="154"/>
      </w:tblGrid>
      <w:tr>
        <w:trPr/>
        <w:tc>
          <w:tcPr>
            <w:tcW w:w="1145"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Variance</w:t>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11,263 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Golf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allowance for credit losses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102,824 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834,494 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(731,670)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and acquisition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(14,636)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275,157 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990,900 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(715,743)</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General and Administrative Expenses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increased $11.3 million during the year ended December 31, 2023 compared to the year ended December 31, 2022. The increase was primarily driven by an increase in compensation, including stock-based compensation and the addition of new employees to the corporate team and additional expenses related to the significant growth of our business in 2023.</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Other Expenses</w:t>
      </w:r>
    </w:p>
    <w:p>
      <w:pPr>
        <w:pStyle w:val="TextBody"/>
        <w:bidi w:val="0"/>
        <w:spacing w:lineRule="auto" w:line="288" w:before="180" w:after="283"/>
        <w:jc w:val="both"/>
        <w:rPr/>
      </w:pPr>
      <w:r>
        <w:rPr>
          <w:rFonts w:ascii="Times New Roman;sans-serif" w:hAnsi="Times New Roman;sans-serif"/>
          <w:b w:val="false"/>
          <w:color w:val="000000"/>
          <w:sz w:val="20"/>
        </w:rPr>
        <w:t xml:space="preserve">Other expenses increased $13.7 million during the year ended December 31, 2023 compared to the year ended December 31, 2022. The increase was driven primarily by the additional expense as a result of certain ground and use sub-leases assumed in connection with our property transactions and acquisitions, including the acquisition of the Venetian Resort in February 2022 (“Venetian Acquisition”), the MGP Transactions (as defined in </w:t>
      </w:r>
      <w:hyperlink w:anchor="ib2fc48f0ddf244d9844b8de22bde2e36_148">
        <w:r>
          <w:rPr>
            <w:rStyle w:val="InternetLink"/>
            <w:rFonts w:ascii="Times New Roman;sans-serif" w:hAnsi="Times New Roman;sans-serif"/>
            <w:b w:val="false"/>
            <w:color w:val="0000FF"/>
            <w:sz w:val="20"/>
            <w:u w:val="single"/>
          </w:rPr>
          <w:t>Note 3 - Real Estate Transactions</w:t>
        </w:r>
      </w:hyperlink>
      <w:r>
        <w:rPr>
          <w:rFonts w:ascii="Times New Roman;sans-serif" w:hAnsi="Times New Roman;sans-serif"/>
          <w:b w:val="false"/>
          <w:color w:val="000000"/>
          <w:sz w:val="20"/>
        </w:rPr>
        <w:t>) in April 2022, the Rocky Gap Casino Acquisition in July 2023 and the Chelsea Piers Sale-Leaseback Transaction in December 2023. We determined we are the primary obligor of the respective ground and use leases and, accordingly, record the related income and expense on a gross basis on our Income Statement. The lease agreements require our tenants to cover all costs associated with such ground and use sub-leases and provide for their direct payment to the primary landlord.</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Change in Allowance for Credit Losses</w:t>
      </w:r>
    </w:p>
    <w:p>
      <w:pPr>
        <w:pStyle w:val="TextBody"/>
        <w:bidi w:val="0"/>
        <w:spacing w:lineRule="auto" w:line="288" w:before="180" w:after="283"/>
        <w:jc w:val="both"/>
        <w:rPr/>
      </w:pPr>
      <w:r>
        <w:rPr>
          <w:rFonts w:ascii="Times New Roman;sans-serif" w:hAnsi="Times New Roman;sans-serif"/>
          <w:b w:val="false"/>
          <w:color w:val="000000"/>
          <w:sz w:val="20"/>
        </w:rPr>
        <w:t xml:space="preserve">Change in allowance for credit losses decreased $731.7 million during the year ended December 31, 2023 compared to the year ended December 31, 2022, </w:t>
      </w:r>
      <w:r>
        <w:rPr>
          <w:rFonts w:ascii="Times New Roman;sans-serif" w:hAnsi="Times New Roman;sans-serif"/>
          <w:b w:val="false"/>
          <w:color w:val="000000"/>
          <w:sz w:val="20"/>
          <w:shd w:fill="FFFFFF" w:val="clear"/>
        </w:rPr>
        <w:t>primarily driven by lower initial CECL allowances recorded on our acquisition and loan origination activity. We recorded</w:t>
      </w:r>
      <w:r>
        <w:rPr>
          <w:color w:val="000000"/>
        </w:rPr>
        <w:t xml:space="preserve"> </w:t>
      </w:r>
      <w:r>
        <w:rPr>
          <w:rFonts w:ascii="Times New Roman;sans-serif" w:hAnsi="Times New Roman;sans-serif"/>
          <w:b w:val="false"/>
          <w:color w:val="000000"/>
          <w:sz w:val="20"/>
        </w:rPr>
        <w:t>initial CECL allowances of $279.0 million on our $4.1 billion of property acquisition activity and $14.0 million on our $698.2 million of loan origination activity during year ended December 31, 2023, compared to initial CECL allowances of $540.5 million on our $21.6 billion of property acquisition activity and $33.1 million on our $1.2 billion of loan origination activity during the year ended December 31, 2022</w:t>
      </w:r>
      <w:r>
        <w:rPr>
          <w:rFonts w:ascii="Times New Roman;sans-serif" w:hAnsi="Times New Roman;sans-serif"/>
          <w:b w:val="false"/>
          <w:color w:val="000000"/>
          <w:sz w:val="20"/>
          <w:shd w:fill="FFFFFF" w:val="clear"/>
        </w:rPr>
        <w:t>.</w:t>
      </w:r>
    </w:p>
    <w:p>
      <w:pPr>
        <w:pStyle w:val="TextBody"/>
        <w:bidi w:val="0"/>
        <w:spacing w:lineRule="auto" w:line="288" w:before="180" w:after="283"/>
        <w:jc w:val="both"/>
        <w:rPr/>
      </w:pPr>
      <w:r>
        <w:rPr>
          <w:rFonts w:ascii="Times New Roman;sans-serif" w:hAnsi="Times New Roman;sans-serif"/>
          <w:b w:val="false"/>
          <w:color w:val="000000"/>
          <w:sz w:val="20"/>
          <w:shd w:fill="FFFFFF" w:val="clear"/>
        </w:rPr>
        <w:t xml:space="preserve">Further fluctuation in the change in allowance for credit losses are the result of (i) changes to the reasonable and supportable period, or R&amp;S Period probability of default, or PD, and loss given default, LGD, of our existing tenants and their parent guarantors (as applicable) as a result of market performance and changes in the macroeconomic model used to scenario condition such inputs, (ii) changes to the long-term period PD as a result of changes in the credit ratings of our existing tenants and their parent guarantors, which are used to estimate the long-term PD and (iii) annual standard updates to the model used to estimate the CECL allowance. Refer to </w:t>
      </w:r>
      <w:hyperlink w:anchor="ib2fc48f0ddf244d9844b8de22bde2e36_154">
        <w:r>
          <w:rPr>
            <w:rStyle w:val="InternetLink"/>
            <w:rFonts w:ascii="Times New Roman;sans-serif" w:hAnsi="Times New Roman;sans-serif"/>
            <w:b w:val="false"/>
            <w:color w:val="0000FF"/>
            <w:sz w:val="20"/>
            <w:u w:val="single"/>
          </w:rPr>
          <w:t>Note 5 - Allowance for Credit Losses</w:t>
        </w:r>
      </w:hyperlink>
      <w:r>
        <w:rPr>
          <w:color w:val="000000"/>
          <w:shd w:fill="FFFFFF" w:val="clear"/>
        </w:rPr>
        <w:t xml:space="preserve"> </w:t>
      </w:r>
      <w:r>
        <w:rPr>
          <w:rFonts w:ascii="Times New Roman;sans-serif" w:hAnsi="Times New Roman;sans-serif"/>
          <w:b w:val="false"/>
          <w:color w:val="000000"/>
          <w:sz w:val="20"/>
          <w:shd w:fill="FFFFFF" w:val="clear"/>
        </w:rPr>
        <w:t>for further details.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Transaction and Acquisition Expenses</w:t>
      </w:r>
    </w:p>
    <w:p>
      <w:pPr>
        <w:pStyle w:val="TextBody"/>
        <w:bidi w:val="0"/>
        <w:spacing w:lineRule="auto" w:line="288" w:before="180" w:after="283"/>
        <w:jc w:val="both"/>
        <w:rPr/>
      </w:pPr>
      <w:r>
        <w:rPr>
          <w:rFonts w:ascii="Times New Roman;sans-serif" w:hAnsi="Times New Roman;sans-serif"/>
          <w:b w:val="false"/>
          <w:color w:val="000000"/>
          <w:sz w:val="20"/>
        </w:rPr>
        <w:t>Transaction and acquisition costs decreased $14.6 million during the year ended December 31, 2023 compared to the year ended December 31, 2022. Changes in transaction and acquisition expenses are related to fluctuations in (i) costs incurred for investments during the period that are not capitalizable under GAAP, and (ii) costs incurred for investments that we are no longer pursuing. Amounts for the year ended December 31, 2022</w:t>
      </w:r>
      <w:r>
        <w:rPr>
          <w:color w:val="000000"/>
          <w:shd w:fill="FFFFFF" w:val="clear"/>
        </w:rPr>
        <w:t xml:space="preserve"> </w:t>
      </w:r>
      <w:r>
        <w:rPr>
          <w:rFonts w:ascii="Times New Roman;sans-serif" w:hAnsi="Times New Roman;sans-serif"/>
          <w:b w:val="false"/>
          <w:color w:val="000000"/>
          <w:sz w:val="20"/>
        </w:rPr>
        <w:t>include costs incurred for the MGP Transactions and Venetian Acquisition during the period that are not capitalized under GAAP.</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222885"/>
                <wp:effectExtent l="0" t="0" r="0" b="0"/>
                <wp:wrapNone/>
                <wp:docPr id="52" name="Frame5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88" w:before="60" w:after="283"/>
        <w:jc w:val="both"/>
        <w:rPr/>
      </w:pPr>
      <w:hyperlink w:anchor="ib2fc48f0ddf244d9844b8de22bde2e36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both"/>
        <w:rPr>
          <w:rFonts w:ascii="Times New Roman;sans-serif" w:hAnsi="Times New Roman;sans-serif"/>
          <w:b/>
          <w:color w:val="000000"/>
          <w:sz w:val="22"/>
        </w:rPr>
      </w:pPr>
      <w:r>
        <w:rPr>
          <w:rFonts w:ascii="Times New Roman;sans-serif" w:hAnsi="Times New Roman;sans-serif"/>
          <w:b/>
          <w:color w:val="000000"/>
          <w:sz w:val="22"/>
        </w:rPr>
        <w:t>Non-Operating Income and Expenses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years ended December 31, 2023 and 2022, our non-operating income and expenses were comprised of the following items:</w:t>
      </w:r>
    </w:p>
    <w:tbl>
      <w:tblPr>
        <w:tblW w:w="7330" w:type="dxa"/>
        <w:jc w:val="center"/>
        <w:tblInd w:w="0" w:type="dxa"/>
        <w:tblLayout w:type="fixed"/>
        <w:tblCellMar>
          <w:top w:w="28" w:type="dxa"/>
          <w:left w:w="28" w:type="dxa"/>
          <w:bottom w:w="28" w:type="dxa"/>
          <w:right w:w="28" w:type="dxa"/>
        </w:tblCellMar>
      </w:tblPr>
      <w:tblGrid>
        <w:gridCol w:w="1251"/>
        <w:gridCol w:w="1102"/>
        <w:gridCol w:w="1112"/>
        <w:gridCol w:w="229"/>
        <w:gridCol w:w="671"/>
        <w:gridCol w:w="109"/>
        <w:gridCol w:w="109"/>
        <w:gridCol w:w="109"/>
        <w:gridCol w:w="109"/>
        <w:gridCol w:w="211"/>
        <w:gridCol w:w="721"/>
        <w:gridCol w:w="109"/>
        <w:gridCol w:w="109"/>
        <w:gridCol w:w="109"/>
        <w:gridCol w:w="109"/>
        <w:gridCol w:w="211"/>
        <w:gridCol w:w="796"/>
        <w:gridCol w:w="154"/>
      </w:tblGrid>
      <w:tr>
        <w:trPr/>
        <w:tc>
          <w:tcPr>
            <w:tcW w:w="1251"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w:t>
            </w:r>
          </w:p>
        </w:tc>
        <w:tc>
          <w:tcPr>
            <w:tcW w:w="1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Variance</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unconsolidated affiliate</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(58,489)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(818,056)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(539,953)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(278,103)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gains</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 from (provision for) income taxes</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Income from Unconsolidated Affiliate</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Income from unconsolidated affiliate during the year ended December 31, 2023 represents our 50.1% share of the income of the MGM Grand/Mandalay Bay JV for the period from January 1, 2023 through January 8, 2023, immediately prior to the closing of the MGM Grand/Mandalay Bay JV Interest Acquisition. Beginning on January 9, 2023, upon the closing of the MGM Grand/Mandalay Bay JV Interest Acquisition, we consolidated the operations of the MGM Grand/Mandalay Bay JV and, subsequently, such income is included in Income from sales-type lease on our Statement of Operations. </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Interest Expense</w:t>
      </w:r>
    </w:p>
    <w:p>
      <w:pPr>
        <w:pStyle w:val="TextBody"/>
        <w:bidi w:val="0"/>
        <w:spacing w:lineRule="auto" w:line="288" w:before="180" w:after="283"/>
        <w:jc w:val="both"/>
        <w:rPr/>
      </w:pPr>
      <w:r>
        <w:rPr>
          <w:rFonts w:ascii="Times New Roman;sans-serif" w:hAnsi="Times New Roman;sans-serif"/>
          <w:b w:val="false"/>
          <w:color w:val="000000"/>
          <w:sz w:val="20"/>
        </w:rPr>
        <w:t xml:space="preserve">Interest expense increased $278.1 million during the year ended December 31, 2023 compared to the year ended December 31, 2022. The increase was primarily related to an additional $12.4 billion in notional amount of debt from the (i) issuance of the unsecured notes in April 2022, (ii) issuance of the Exchange Notes (as defined in </w:t>
      </w:r>
      <w:hyperlink w:anchor="ib2fc48f0ddf244d9844b8de22bde2e36_163">
        <w:r>
          <w:rPr>
            <w:rStyle w:val="InternetLink"/>
            <w:rFonts w:ascii="Times New Roman;sans-serif" w:hAnsi="Times New Roman;sans-serif"/>
            <w:b w:val="false"/>
            <w:color w:val="0000FF"/>
            <w:sz w:val="20"/>
            <w:u w:val="single"/>
          </w:rPr>
          <w:t>Note 7 - Debt</w:t>
        </w:r>
      </w:hyperlink>
      <w:r>
        <w:rPr>
          <w:rFonts w:ascii="Times New Roman;sans-serif" w:hAnsi="Times New Roman;sans-serif"/>
          <w:b w:val="false"/>
          <w:color w:val="000000"/>
          <w:sz w:val="20"/>
        </w:rPr>
        <w:t xml:space="preserve">) in April 2022, (iii) assumption of the MGP OP Notes in April 2022, (iv) C$140.0 million, C$75.0 million and £9.0 million draws on the Revolving Credit Facility to finance the PURE Canadian Gaming Sale-Leaseback Transaction in January 2023, Century Canadian Portfolio Sale-Leaseback Transaction in September 2023 and Cabot Highlands Loan in December 2023, respectively, and (v) consolidation of $3.0 billion aggregate principal amount of CMBS debt in connection with the MGM Grand/Mandalay Bay JV Interest Acquisition in January 2023. The increases were partially offset by certain interest expense recorded during the year ended December 31, 2022 with no corresponding expense during the year ended December 31, 2023, which included (i) the amortization of the commitment fees associated with the bridge facilities for the Venetian Acquisition and MGP Transactions and (ii) additional interest on the $600.0 million draw on the Revolving Credit Facility in </w:t>
      </w:r>
      <w:r>
        <w:rPr>
          <w:rFonts w:ascii="Times New Roman;sans-serif" w:hAnsi="Times New Roman;sans-serif"/>
          <w:b w:val="false"/>
          <w:color w:val="000000"/>
          <w:sz w:val="20"/>
          <w:shd w:fill="FFFFFF" w:val="clear"/>
        </w:rPr>
        <w:t>February 2022 (which</w:t>
      </w:r>
      <w:r>
        <w:rPr>
          <w:color w:val="000000"/>
        </w:rPr>
        <w:t xml:space="preserve"> </w:t>
      </w:r>
      <w:r>
        <w:rPr>
          <w:rFonts w:ascii="Times New Roman;sans-serif" w:hAnsi="Times New Roman;sans-serif"/>
          <w:b w:val="false"/>
          <w:color w:val="000000"/>
          <w:sz w:val="20"/>
        </w:rPr>
        <w:t xml:space="preserve">was repaid in full on April 29, 2022).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the weighted average annualized interest rate of our debt, net of the impact of the forward-starting interest rate swaps and treasury locks, decreased to 4.33% during the year ended December 31, 2023 from 4.39% during the year ended December 31, 2022 as a result of the lower interest rate on the MGM Grand/Mandalay Bay JV CMBS debt, partially offset by a higher weighted average effective interest rate on the April 2022 Notes, Exchange Notes and MGP OP Notes as compared to our outstanding debt during such earlier periods.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Interest Income</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Interest income increased $14.4 million during the year ended December 31, 2023 compared to the year ended December 31, 2022. The increase was primarily driven by a significant increase in the interest rates and income earned on our excess cash and short-term investments, coupled with an overall increase in our cash on hand throughout the current year as compared to the prior year.</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Other Gains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 ended December 31, 2023, we recognized a $4.5 million gain in Other gains, which primarily relates to the sale of excess land in April 2023 and foreign currency remeasurement adjustments associated with our investments in Canada and the United Kingdom. In connection with the PURE Canadian Gaming Sale-Leaseback Transaction, Century Canadian Portfolio Sale-Leaseback Transaction and Cabot Highlands Loan, we entered into intercompany debt and drew C$215.0 million and £9.0 million on the Revolving Credit Facility, which are denominated in a foreign currency and, since such debt is held at entities with USD as their functional currency, certain of the related assets and liabilities are remeasured through the Statement of Operations. There is no comparable amount during the year ended December 31, 2022, as we did not have any foreign investments or comparable land sales during such time.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222885"/>
                <wp:effectExtent l="0" t="0" r="0" b="0"/>
                <wp:wrapNone/>
                <wp:docPr id="53" name="Frame5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88" w:before="60" w:after="283"/>
        <w:jc w:val="both"/>
        <w:rPr/>
      </w:pPr>
      <w:hyperlink w:anchor="ib2fc48f0ddf244d9844b8de22bde2e36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Benefit from (Provision for) Income Taxes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Benefit from (provision for) income taxes was a net income tax benefit of $6.1 million during the year ended December 31, 2023 compared to a $2.9 million net income tax expense for the year ended December 31, 2022. The change was primarily driven by the recognition of deferred tax benefits on our Canadian investments arising from temporary differences on our CECL allowance, partially offset by certain other temporary GAAP basis to tax basis differences.</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Results of Operations for the Years Ended December 31, 2022 and 2021</w:t>
      </w:r>
    </w:p>
    <w:p>
      <w:pPr>
        <w:pStyle w:val="TextBody"/>
        <w:bidi w:val="0"/>
        <w:spacing w:lineRule="auto" w:line="288" w:before="180" w:after="283"/>
        <w:jc w:val="both"/>
        <w:rPr/>
      </w:pPr>
      <w:r>
        <w:rPr>
          <w:rFonts w:ascii="Times New Roman;sans-serif" w:hAnsi="Times New Roman;sans-serif"/>
          <w:b w:val="false"/>
          <w:color w:val="000000"/>
          <w:sz w:val="20"/>
        </w:rPr>
        <w:t>For a comparison of our results of operations for the fiscal years ended December 31, 2022 and 2021, see “</w:t>
      </w:r>
      <w:hyperlink r:id="rId4">
        <w:r>
          <w:rPr>
            <w:rStyle w:val="InternetLink"/>
            <w:rFonts w:ascii="Times New Roman;sans-serif" w:hAnsi="Times New Roman;sans-serif"/>
            <w:b w:val="false"/>
            <w:color w:val="000080"/>
            <w:sz w:val="20"/>
            <w:u w:val="single"/>
          </w:rPr>
          <w:t xml:space="preserve">Part II, Item 7. Management’s Discussion and Analysis of Financial Condition and Results of </w:t>
        </w:r>
      </w:hyperlink>
      <w:hyperlink r:id="rId5">
        <w:r>
          <w:rPr>
            <w:rStyle w:val="InternetLink"/>
            <w:rFonts w:ascii="Times New Roman;sans-serif" w:hAnsi="Times New Roman;sans-serif"/>
            <w:b w:val="false"/>
            <w:color w:val="000080"/>
            <w:sz w:val="20"/>
            <w:u w:val="single"/>
          </w:rPr>
          <w:t>Operations</w:t>
        </w:r>
      </w:hyperlink>
      <w:r>
        <w:rPr>
          <w:color w:val="000000"/>
        </w:rPr>
        <w:t xml:space="preserve">” </w:t>
      </w:r>
      <w:r>
        <w:rPr>
          <w:rFonts w:ascii="Times New Roman;sans-serif" w:hAnsi="Times New Roman;sans-serif"/>
          <w:b w:val="false"/>
          <w:color w:val="000000"/>
          <w:sz w:val="20"/>
        </w:rPr>
        <w:t>of our annual report on Form 10-K for the fiscal year ended December 31, 2022, filed with the SEC on February 23, 2023 and incorporated by reference herein.</w:t>
      </w:r>
    </w:p>
    <w:p>
      <w:pPr>
        <w:pStyle w:val="TextBody"/>
        <w:bidi w:val="0"/>
        <w:spacing w:lineRule="auto" w:line="288" w:before="300" w:after="283"/>
        <w:jc w:val="center"/>
        <w:rPr>
          <w:rFonts w:ascii="Times New Roman;sans-serif" w:hAnsi="Times New Roman;sans-serif"/>
          <w:b/>
          <w:color w:val="000000"/>
          <w:sz w:val="22"/>
        </w:rPr>
      </w:pPr>
      <w:r>
        <w:rPr>
          <w:rFonts w:ascii="Times New Roman;sans-serif" w:hAnsi="Times New Roman;sans-serif"/>
          <w:b/>
          <w:color w:val="000000"/>
          <w:sz w:val="22"/>
        </w:rPr>
        <w:t>RECONCILIATION OF NON-GAAP MEASURES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present VICI’s Funds From Operations (“FFO”), FFO per share, Adjusted Funds From Operations (“AFFO”), AFFO per share, and Adjusted EBITDA, which are not required by, or presented in accordance with, generally accepted accounting principles in the United States (“GAAP”). These are non-GAAP financial measures and should not be construed as alternatives to net income or as an indicator of operating performance (as determined in accordance with GAAP). We believe FFO, FFO per share, AFFO, AFFO per share and Adjusted EBITDA provide a meaningful perspective of the underlying operating performance of VICI’s business.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FFO is a non-GAAP financial measure that is considered a supplemental measure for the real estate industry and a supplement to GAAP measures. Consistent with the definition used by the National Association of Real Estate Investment Trusts (NAREIT), we define FFO as VICI’s net income (or loss) attributable to common stockholders (computed in accordance with GAAP) excluding (i) gains (or losses) from sales of certain real estate assets, (ii) depreciation and amortization related to real estate, (iii) gains and losses from change in control, (iv) impairment write-downs of certain real estate assets and investments in entities when the impairment is directly attributable to decreases in the value of depreciable real estate held by the entity and (v) our proportionate share of such adjustments from our investment in unconsolidated affiliate.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AFFO is a non-GAAP financial measure that we use as a supplemental operating measure to evaluate VICI’s performance. We calculate VICI’s AFFO by adding or subtracting from FFO non-cash leasing and financing adjustments, non-cash change in allowance for credit losses, non-cash stock-based compensation expense, transaction costs incurred in connection with the acquisition of real estate investments, amortization of debt issuance costs and original issue discount, other non-cash interest expense, non-real estate depreciation (which is comprised of the depreciation related to our golf course operations), capital expenditures (which are comprised of additions to property, plant and equipment related to our golf course operations), impairment charges related to non-depreciable real estate, gains (or losses) on debt extinguishment and interest rate swap settlements, other gains, deferred income tax benefits and expenses, other non-recurring non-cash transactions, our proportionate share of non-cash adjustments from our investment in unconsolidated affiliate (including the amortization of any basis differences) with respect to certain of the foregoing and non-cash adjustments attributable to non-controlling interest with respect to certain of the foregoing.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calculate VICI’s Adjusted EBITDA by adding or subtracting from AFFO contractual interest expense (including the impact of the forward-starting interest rate swaps and treasury locks) and interest income (collectively, interest expense, net), income tax expense and our proportionate share of such adjustments from our investment in unconsolidated affiliate.</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These non-GAAP financial measures: (i) do not represent VICI’s cash flow from operations as defined by GAAP; (ii) should not be considered as an alternative to VICI’s net income as a measure of operating performance or to cash flows from operating, investing and financing activities; and (iii) are not alternatives to VICI’s cash flow as a measure of liquidity. In addition, these measures should not be viewed as measures of liquidity, nor do they measure our ability to fund all of our cash needs, including our ability to make cash distributions to our stockholders, to fund capital improvements, or to make interest payments on our indebtedness. Investors are also cautioned that FFO, FFO per share, AFFO, AFFO per share and Adjusted EBITDA, as presented, may not be comparable to similarly titled measures reported by other real estate companies, including REITs, due to the fact that not all real estate companies use the same definitions. Our presentation of these measures does not replace the presentation of VICI’s financial results in accordance with GAAP.</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222885"/>
                <wp:effectExtent l="0" t="0" r="0" b="0"/>
                <wp:wrapNone/>
                <wp:docPr id="54" name="Frame5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88" w:before="60" w:after="283"/>
        <w:jc w:val="both"/>
        <w:rPr/>
      </w:pPr>
      <w:hyperlink w:anchor="ib2fc48f0ddf244d9844b8de22bde2e36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Reconciliation of VICI’s Net Income to FFO, FFO per Share, AFFO, AFFO per Share and Adjusted EBITDA</w:t>
      </w:r>
    </w:p>
    <w:tbl>
      <w:tblPr>
        <w:tblW w:w="9458" w:type="dxa"/>
        <w:jc w:val="left"/>
        <w:tblInd w:w="0" w:type="dxa"/>
        <w:tblLayout w:type="fixed"/>
        <w:tblCellMar>
          <w:top w:w="28" w:type="dxa"/>
          <w:left w:w="28" w:type="dxa"/>
          <w:bottom w:w="28" w:type="dxa"/>
          <w:right w:w="28" w:type="dxa"/>
        </w:tblCellMar>
      </w:tblPr>
      <w:tblGrid>
        <w:gridCol w:w="2288"/>
        <w:gridCol w:w="2013"/>
        <w:gridCol w:w="2029"/>
        <w:gridCol w:w="234"/>
        <w:gridCol w:w="1102"/>
        <w:gridCol w:w="109"/>
        <w:gridCol w:w="109"/>
        <w:gridCol w:w="109"/>
        <w:gridCol w:w="109"/>
        <w:gridCol w:w="211"/>
        <w:gridCol w:w="991"/>
        <w:gridCol w:w="154"/>
      </w:tblGrid>
      <w:tr>
        <w:trPr/>
        <w:tc>
          <w:tcPr>
            <w:tcW w:w="2288" w:type="dxa"/>
            <w:tcBorders/>
            <w:vAlign w:val="center"/>
          </w:tcPr>
          <w:p>
            <w:pPr>
              <w:pStyle w:val="TableContents"/>
              <w:bidi w:val="0"/>
              <w:spacing w:before="0" w:after="283"/>
              <w:jc w:val="left"/>
              <w:rPr>
                <w:sz w:val="4"/>
                <w:szCs w:val="4"/>
              </w:rPr>
            </w:pPr>
            <w:r>
              <w:rPr>
                <w:sz w:val="4"/>
                <w:szCs w:val="4"/>
              </w:rPr>
            </w:r>
          </w:p>
        </w:tc>
        <w:tc>
          <w:tcPr>
            <w:tcW w:w="2013" w:type="dxa"/>
            <w:tcBorders/>
            <w:vAlign w:val="center"/>
          </w:tcPr>
          <w:p>
            <w:pPr>
              <w:pStyle w:val="TableContents"/>
              <w:bidi w:val="0"/>
              <w:spacing w:before="0" w:after="283"/>
              <w:jc w:val="left"/>
              <w:rPr>
                <w:sz w:val="4"/>
                <w:szCs w:val="4"/>
              </w:rPr>
            </w:pPr>
            <w:r>
              <w:rPr>
                <w:sz w:val="4"/>
                <w:szCs w:val="4"/>
              </w:rPr>
            </w:r>
          </w:p>
        </w:tc>
        <w:tc>
          <w:tcPr>
            <w:tcW w:w="202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6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 except share data and per share data)</w:t>
            </w:r>
          </w:p>
        </w:tc>
        <w:tc>
          <w:tcPr>
            <w:tcW w:w="1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common stockholders</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2,513,540 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1,117,635 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depreciation</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Joint venture depreciation and non-controlling interest adjustments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FFO attributable to common stockholders</w:t>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2,514,966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1,144,781</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leasing and financing adjustments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(515,488)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(337,631)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change in allowance for credit losses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102,824 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834,494 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stock-based compensation</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and acquisition expenses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 issuance costs and original issue discount</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depreciation</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extinguishment of debt and interest rate swap settlements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Other gains </w:t>
            </w:r>
            <w:r>
              <w:rPr>
                <w:rFonts w:ascii="Times New Roman;sans-serif" w:hAnsi="Times New Roman;sans-serif"/>
                <w:b w:val="false"/>
                <w:i/>
                <w:color w:val="000000"/>
                <w:sz w:val="13"/>
              </w:rPr>
              <w:t>(1)</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 benefit</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Joint venture non-cash adjustments and non-controlling interest adjustments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(27,930)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AFFO attributable to common stockholders</w:t>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2,187,040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1,693,801</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723,634 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487,233 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Joint venture interest expense and non-controlling interest adjustments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EBITDA attributable to common stockholders</w:t>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2,909,672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2,214,665</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per common share</w:t>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FFO per common share</w:t>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AFFO per common share</w:t>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 average number of shares of common shares outstanding</w:t>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Basic</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1,014,513,195 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877,508,388 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Diluted</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1,015,776,697 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879,675,845 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w:t>
      </w:r>
    </w:p>
    <w:p>
      <w:pPr>
        <w:pStyle w:val="TextBody"/>
        <w:bidi w:val="0"/>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 xml:space="preserve">(1) Represents non-cash foreign currency remeasurement adjustments and gain on sale of land.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222885"/>
                <wp:effectExtent l="0" t="0" r="0" b="0"/>
                <wp:wrapNone/>
                <wp:docPr id="55" name="Frame5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288" w:before="60" w:after="283"/>
        <w:jc w:val="both"/>
        <w:rPr/>
      </w:pPr>
      <w:hyperlink w:anchor="ib2fc48f0ddf244d9844b8de22bde2e36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2"/>
        </w:rPr>
      </w:pPr>
      <w:r>
        <w:rPr>
          <w:rFonts w:ascii="Times New Roman;sans-serif" w:hAnsi="Times New Roman;sans-serif"/>
          <w:b/>
          <w:color w:val="000000"/>
          <w:sz w:val="22"/>
        </w:rPr>
        <w:t>LIQUIDITY AND CAPITAL RESOURCES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Liquidity</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our available cash and cash equivalents balance, short-term investments and capacity under our Revolving Credit Facility were as follows:</w:t>
      </w:r>
    </w:p>
    <w:tbl>
      <w:tblPr>
        <w:tblW w:w="7423" w:type="dxa"/>
        <w:jc w:val="center"/>
        <w:tblInd w:w="0" w:type="dxa"/>
        <w:tblLayout w:type="fixed"/>
        <w:tblCellMar>
          <w:top w:w="28" w:type="dxa"/>
          <w:left w:w="28" w:type="dxa"/>
          <w:bottom w:w="28" w:type="dxa"/>
          <w:right w:w="28" w:type="dxa"/>
        </w:tblCellMar>
      </w:tblPr>
      <w:tblGrid>
        <w:gridCol w:w="2046"/>
        <w:gridCol w:w="1801"/>
        <w:gridCol w:w="1807"/>
        <w:gridCol w:w="278"/>
        <w:gridCol w:w="1288"/>
        <w:gridCol w:w="203"/>
      </w:tblGrid>
      <w:tr>
        <w:trPr/>
        <w:tc>
          <w:tcPr>
            <w:tcW w:w="2046" w:type="dxa"/>
            <w:tcBorders/>
            <w:vAlign w:val="center"/>
          </w:tcPr>
          <w:p>
            <w:pPr>
              <w:pStyle w:val="TableContents"/>
              <w:bidi w:val="0"/>
              <w:spacing w:before="0" w:after="283"/>
              <w:jc w:val="left"/>
              <w:rPr>
                <w:sz w:val="4"/>
                <w:szCs w:val="4"/>
              </w:rPr>
            </w:pPr>
            <w:r>
              <w:rPr>
                <w:sz w:val="4"/>
                <w:szCs w:val="4"/>
              </w:rPr>
            </w:r>
          </w:p>
        </w:tc>
        <w:tc>
          <w:tcPr>
            <w:tcW w:w="1801" w:type="dxa"/>
            <w:tcBorders/>
            <w:vAlign w:val="center"/>
          </w:tcPr>
          <w:p>
            <w:pPr>
              <w:pStyle w:val="TableContents"/>
              <w:bidi w:val="0"/>
              <w:spacing w:before="0" w:after="283"/>
              <w:jc w:val="left"/>
              <w:rPr>
                <w:sz w:val="4"/>
                <w:szCs w:val="4"/>
              </w:rPr>
            </w:pPr>
            <w:r>
              <w:rPr>
                <w:sz w:val="4"/>
                <w:szCs w:val="4"/>
              </w:rPr>
            </w:r>
          </w:p>
        </w:tc>
        <w:tc>
          <w:tcPr>
            <w:tcW w:w="180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u w:val="single"/>
              </w:rPr>
            </w:pPr>
            <w:r>
              <w:rPr>
                <w:rFonts w:ascii="Times New Roman;sans-serif" w:hAnsi="Times New Roman;sans-serif"/>
                <w:b/>
                <w:i/>
                <w:color w:val="000000"/>
                <w:sz w:val="18"/>
                <w:u w:val="single"/>
              </w:rPr>
              <w:t>(In thousands)</w:t>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522,574 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5654"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Capacity under Revolving Credit Facility </w:t>
            </w:r>
            <w:r>
              <w:rPr>
                <w:rFonts w:ascii="Times New Roman;sans-serif" w:hAnsi="Times New Roman;sans-serif"/>
                <w:b w:val="false"/>
                <w:i/>
                <w:color w:val="000000"/>
                <w:sz w:val="13"/>
              </w:rPr>
              <w:t>(1)</w:t>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2,326,196 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ans-serif" w:hAnsi="Times New Roman;sans-serif"/>
                <w:b w:val="false"/>
                <w:color w:val="000000"/>
                <w:sz w:val="20"/>
              </w:rPr>
              <w:t xml:space="preserve">Proceeds available from settlement of Forward Sale Agreements </w:t>
            </w:r>
            <w:r>
              <w:rPr>
                <w:rFonts w:ascii="Times New Roman;sans-serif" w:hAnsi="Times New Roman;sans-serif"/>
                <w:b w:val="false"/>
                <w:i/>
                <w:color w:val="000000"/>
                <w:sz w:val="13"/>
              </w:rPr>
              <w:t>(2) (3)</w:t>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382,192 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3,230,962 </w:t>
            </w:r>
          </w:p>
        </w:tc>
        <w:tc>
          <w:tcPr>
            <w:tcW w:w="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w:t>
      </w:r>
    </w:p>
    <w:p>
      <w:pPr>
        <w:pStyle w:val="TextBody"/>
        <w:bidi w:val="0"/>
        <w:spacing w:lineRule="auto" w:line="288" w:before="0" w:after="0"/>
        <w:ind w:left="0" w:right="0" w:hanging="360"/>
        <w:jc w:val="both"/>
        <w:rPr/>
      </w:pPr>
      <w:r>
        <w:rPr>
          <w:rFonts w:ascii="Times New Roman;sans-serif" w:hAnsi="Times New Roman;sans-serif"/>
          <w:b w:val="false"/>
          <w:i/>
          <w:color w:val="231F20"/>
          <w:sz w:val="16"/>
        </w:rPr>
        <w:t>(1)</w:t>
      </w:r>
      <w:r>
        <w:rPr>
          <w:rFonts w:ascii="Times New Roman;sans-serif" w:hAnsi="Times New Roman;sans-serif"/>
          <w:b w:val="false"/>
          <w:i/>
          <w:color w:val="000000"/>
          <w:sz w:val="16"/>
        </w:rPr>
        <w:t xml:space="preserve">In addition, the Revolving Credit Facility includes the option to increase the revolving loan commitments by up to $1.0 billion to the extent that any one or more lenders (from the syndicate or otherwise) agree to provide such additional credit extensions. </w:t>
      </w:r>
    </w:p>
    <w:p>
      <w:pPr>
        <w:pStyle w:val="TextBody"/>
        <w:bidi w:val="0"/>
        <w:spacing w:lineRule="auto" w:line="288" w:before="0" w:after="0"/>
        <w:ind w:left="0" w:right="0" w:hanging="360"/>
        <w:jc w:val="both"/>
        <w:rPr>
          <w:rFonts w:ascii="Times New Roman;sans-serif" w:hAnsi="Times New Roman;sans-serif"/>
          <w:b w:val="false"/>
          <w:i/>
          <w:color w:val="000000"/>
          <w:sz w:val="16"/>
        </w:rPr>
      </w:pPr>
      <w:r>
        <w:rPr>
          <w:rFonts w:ascii="Times New Roman;sans-serif" w:hAnsi="Times New Roman;sans-serif"/>
          <w:b w:val="false"/>
          <w:i/>
          <w:color w:val="000000"/>
          <w:sz w:val="16"/>
        </w:rPr>
        <w:t xml:space="preserve">(2)Assumes the physical settlement of the 13,194,739 outstanding forward shares as of December 31, 2023 under our at-the-market forward sale agreements at a forward sales price of $28.97 calculated as of December 31, 2023. </w:t>
      </w:r>
    </w:p>
    <w:p>
      <w:pPr>
        <w:pStyle w:val="TextBody"/>
        <w:bidi w:val="0"/>
        <w:spacing w:lineRule="auto" w:line="288" w:before="0" w:after="0"/>
        <w:ind w:left="0" w:right="0" w:hanging="360"/>
        <w:jc w:val="both"/>
        <w:rPr>
          <w:rFonts w:ascii="Times New Roman;sans-serif" w:hAnsi="Times New Roman;sans-serif"/>
          <w:b w:val="false"/>
          <w:i/>
          <w:color w:val="000000"/>
          <w:sz w:val="16"/>
        </w:rPr>
      </w:pPr>
      <w:r>
        <w:rPr>
          <w:rFonts w:ascii="Times New Roman;sans-serif" w:hAnsi="Times New Roman;sans-serif"/>
          <w:b w:val="false"/>
          <w:i/>
          <w:color w:val="000000"/>
          <w:sz w:val="16"/>
        </w:rPr>
        <w:t>(3)Subsequent to the year ended December 31, 2023, we sold a total of approximately 9.7 million shares under our at-the-market offering program at a weighted average price per share of $31.61 for an aggregate value of $305.5 million, all of which were sold subject to a forward sale agreement. After fees and other adjustments calculated in accordance with the forward sale agreement, the aggregate net value of $302.4 million yielded a net initial forward sales price per share of $31.30. Such amount is not included in the table above and we did not initially receive any proceeds from the sale of the shares of common stock in the offering, which were sold to the underwriters by the forward purchasers or their respective affiliates and remain subject to settlement in accordance with the terms of the forward sale agreement.</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we have sufficient liquidity to meet our material cash requirements, including our contractual obligations, debt maturities and commitments as well as our additional funding requirements, primarily through currently available cash and cash equivalents, cash received under our lease agreements, existing borrowings from banks, including our undrawn capacity under our Revolving Credit Facility, and proceeds from future issuances of debt and equity securities (including issuances under any future “at-the-market” program) for the next 12 months and in future periods. </w:t>
      </w:r>
    </w:p>
    <w:p>
      <w:pPr>
        <w:pStyle w:val="TextBody"/>
        <w:bidi w:val="0"/>
        <w:spacing w:lineRule="auto" w:line="288" w:before="180" w:after="283"/>
        <w:jc w:val="both"/>
        <w:rPr/>
      </w:pPr>
      <w:r>
        <w:rPr>
          <w:rFonts w:ascii="Times New Roman;sans-serif" w:hAnsi="Times New Roman;sans-serif"/>
          <w:b w:val="false"/>
          <w:color w:val="000000"/>
          <w:sz w:val="20"/>
        </w:rPr>
        <w:t xml:space="preserve">All of our lease agreements call for an initial term of between fifteen and thirty-two years with additional tenant renewal options and, along with our loans, are designed to provide us with a reliable and predictable long-term revenue stream. Our cash flows from operations and our ability to access capital resources could be adversely affected due to uncertain economic factors and volatility in the financial and credit markets, including as a result of the current inflationary environment, higher interest rates, equity market volatility, and changes in consumer behavior and spending. In particular, we can provide no assurances that our tenants will not default on their leases or fail to make full rental payments if their businesses become challenged due to, among other things, current or future adverse economic conditions. See “Overview — Impact of Material Trends on our Business” above for additional detail. In the event our tenants are unable to make all of their contractual rent payments as provided by our lease agreements, we believe we have sufficient liquidity from the other sources discussed above to meet all of our contractual obligations for a significant period of time. For more information, refer to the risk factors incorporated by reference into </w:t>
      </w:r>
      <w:hyperlink w:anchor="ib2fc48f0ddf244d9844b8de22bde2e36_22">
        <w:r>
          <w:rPr>
            <w:rStyle w:val="InternetLink"/>
            <w:rFonts w:ascii="Times New Roman;sans-serif" w:hAnsi="Times New Roman;sans-serif"/>
            <w:b w:val="false"/>
            <w:color w:val="0000FF"/>
            <w:sz w:val="20"/>
            <w:u w:val="single"/>
          </w:rPr>
          <w:t>Part I. Item 1A. Risk Factors</w:t>
        </w:r>
      </w:hyperlink>
      <w:r>
        <w:rPr>
          <w:rFonts w:ascii="Times New Roman;sans-serif" w:hAnsi="Times New Roman;sans-serif"/>
          <w:b w:val="false"/>
          <w:color w:val="000000"/>
          <w:sz w:val="20"/>
        </w:rPr>
        <w:t>.</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ability to raise funds through the issuance of debt and equity securities and access to other third-party sources of capital in the future will be dependent on, among other things, general economic conditions, general market conditions for REITs and investment grade issuers, market perceptions, the trading price of our stock and uncertainties related to the macroeconomic environment. We will continue to analyze which sources of capital are most advantageous to us at any particular point in time, but financing through the capital markets may not be consistently available on terms we deem attractive, or at all.</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Material Cash Requirements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Contractual Obligations</w:t>
      </w:r>
    </w:p>
    <w:p>
      <w:pPr>
        <w:pStyle w:val="TextBody"/>
        <w:bidi w:val="0"/>
        <w:spacing w:lineRule="auto" w:line="288" w:before="180" w:after="283"/>
        <w:jc w:val="both"/>
        <w:rPr/>
      </w:pPr>
      <w:r>
        <w:rPr>
          <w:rFonts w:ascii="Times New Roman;sans-serif" w:hAnsi="Times New Roman;sans-serif"/>
          <w:b w:val="false"/>
          <w:color w:val="000000"/>
          <w:sz w:val="20"/>
        </w:rPr>
        <w:t xml:space="preserve">Our short-term obligations consist primarily of regular interest payments on our debt obligations, dividends to our common stockholders, distributions to the VICI OP Unit holders, normal recurring operating expenses, recurring expenditures for corporate and administrative needs, certain lease and other contractual commitments related to our golf operations and certain non-recurring expenditures. For more information on our material contractual commitments, refer to </w:t>
      </w:r>
      <w:hyperlink w:anchor="ib2fc48f0ddf244d9844b8de22bde2e36_172">
        <w:r>
          <w:rPr>
            <w:rStyle w:val="InternetLink"/>
            <w:rFonts w:ascii="Times New Roman;sans-serif" w:hAnsi="Times New Roman;sans-serif"/>
            <w:b w:val="false"/>
            <w:color w:val="0000FF"/>
            <w:sz w:val="20"/>
            <w:u w:val="single"/>
          </w:rPr>
          <w:t>Note 10 - Commitments and Contingent Liabilities</w:t>
        </w:r>
      </w:hyperlink>
      <w:r>
        <w:rPr>
          <w:rFonts w:ascii="Times New Roman;sans-serif" w:hAnsi="Times New Roman;sans-serif"/>
          <w:b w:val="false"/>
          <w:color w:val="000000"/>
          <w:sz w:val="20"/>
        </w:rPr>
        <w:t>.</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long-term obligations consist primarily of principal payments on our outstanding debt obligations and future funding commitments under our lease and loan agreements. As of December 31, 2023, we had $17.1 billion of debt obligations outstanding. We have $1.1 billion of debt that matures on May 1, 2024. For a summary of principal debt balances and their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222885"/>
                <wp:effectExtent l="0" t="0" r="0" b="0"/>
                <wp:wrapNone/>
                <wp:docPr id="56" name="Frame5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lineRule="auto" w:line="288" w:before="60" w:after="283"/>
        <w:jc w:val="both"/>
        <w:rPr/>
      </w:pPr>
      <w:hyperlink w:anchor="ib2fc48f0ddf244d9844b8de22bde2e36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both"/>
        <w:rPr/>
      </w:pPr>
      <w:r>
        <w:rPr>
          <w:rFonts w:ascii="Times New Roman;sans-serif" w:hAnsi="Times New Roman;sans-serif"/>
          <w:b w:val="false"/>
          <w:color w:val="000000"/>
          <w:sz w:val="20"/>
        </w:rPr>
        <w:t xml:space="preserve">maturity dates and principal terms, refer to </w:t>
      </w:r>
      <w:hyperlink w:anchor="ib2fc48f0ddf244d9844b8de22bde2e36_163">
        <w:r>
          <w:rPr>
            <w:rStyle w:val="InternetLink"/>
            <w:rFonts w:ascii="Times New Roman;sans-serif" w:hAnsi="Times New Roman;sans-serif"/>
            <w:b w:val="false"/>
            <w:color w:val="0000FF"/>
            <w:sz w:val="20"/>
            <w:u w:val="single"/>
          </w:rPr>
          <w:t>Note 7 - Debt</w:t>
        </w:r>
      </w:hyperlink>
      <w:r>
        <w:rPr>
          <w:rFonts w:ascii="Times New Roman;sans-serif" w:hAnsi="Times New Roman;sans-serif"/>
          <w:b w:val="false"/>
          <w:color w:val="000000"/>
          <w:sz w:val="20"/>
        </w:rPr>
        <w:t xml:space="preserve">. For a summary of our future funding commitments under our loan portfolio, refer to </w:t>
      </w:r>
      <w:hyperlink w:anchor="ib2fc48f0ddf244d9844b8de22bde2e36_151">
        <w:r>
          <w:rPr>
            <w:rStyle w:val="InternetLink"/>
            <w:rFonts w:ascii="Times New Roman;sans-serif" w:hAnsi="Times New Roman;sans-serif"/>
            <w:b w:val="false"/>
            <w:color w:val="0000FF"/>
            <w:sz w:val="20"/>
            <w:u w:val="single"/>
          </w:rPr>
          <w:t>Note 4 - Real Estate Portfolio</w:t>
        </w:r>
      </w:hyperlink>
      <w:r>
        <w:rPr>
          <w:rFonts w:ascii="Times New Roman;sans-serif" w:hAnsi="Times New Roman;sans-serif"/>
          <w:b w:val="false"/>
          <w:color w:val="000000"/>
          <w:sz w:val="20"/>
        </w:rPr>
        <w:t xml:space="preserve">. </w:t>
      </w:r>
    </w:p>
    <w:p>
      <w:pPr>
        <w:pStyle w:val="TextBody"/>
        <w:bidi w:val="0"/>
        <w:spacing w:lineRule="auto" w:line="288" w:before="180" w:after="283"/>
        <w:jc w:val="both"/>
        <w:rPr/>
      </w:pPr>
      <w:r>
        <w:rPr>
          <w:rFonts w:ascii="Times New Roman;sans-serif" w:hAnsi="Times New Roman;sans-serif"/>
          <w:b w:val="false"/>
          <w:color w:val="000000"/>
          <w:sz w:val="20"/>
        </w:rPr>
        <w:t xml:space="preserve">Pursuant to our lease agreements, capital expenditures, insurance and taxes for our properties are the responsibility of the tenants. Minimum capital expenditure spending requirements of the tenants pursuant to our gaming lease agreements are described in </w:t>
      </w:r>
      <w:hyperlink w:anchor="ib2fc48f0ddf244d9844b8de22bde2e36_151">
        <w:r>
          <w:rPr>
            <w:rStyle w:val="InternetLink"/>
            <w:rFonts w:ascii="Times New Roman;sans-serif" w:hAnsi="Times New Roman;sans-serif"/>
            <w:b w:val="false"/>
            <w:color w:val="0000FF"/>
            <w:sz w:val="20"/>
            <w:u w:val="single"/>
          </w:rPr>
          <w:t>Note 4 - Real Estate Portfolio</w:t>
        </w:r>
      </w:hyperlink>
      <w:r>
        <w:rPr>
          <w:rFonts w:ascii="Times New Roman;sans-serif" w:hAnsi="Times New Roman;sans-serif"/>
          <w:b w:val="false"/>
          <w:color w:val="000000"/>
          <w:sz w:val="20"/>
        </w:rPr>
        <w:t>.</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Information concerning our material contractual obligations and commitments to make future payments under contracts such as our indebtedness, future funding commitments under our loans and Partner Property Growth Fund and future contractual operating commitments (such as future lease payments under our corporate lease) are included in the following table as of December 31, 2023. Amounts in this table omit, among other things, non-contractual commitments and items such as dividends and recurring or non-recurring operating expenses and other expenditures, including acquisitions and other investments:</w:t>
      </w:r>
    </w:p>
    <w:tbl>
      <w:tblPr>
        <w:tblW w:w="11728" w:type="dxa"/>
        <w:jc w:val="left"/>
        <w:tblInd w:w="0" w:type="dxa"/>
        <w:tblLayout w:type="fixed"/>
        <w:tblCellMar>
          <w:top w:w="28" w:type="dxa"/>
          <w:left w:w="28" w:type="dxa"/>
          <w:bottom w:w="28" w:type="dxa"/>
          <w:right w:w="28" w:type="dxa"/>
        </w:tblCellMar>
      </w:tblPr>
      <w:tblGrid>
        <w:gridCol w:w="230"/>
        <w:gridCol w:w="158"/>
        <w:gridCol w:w="146"/>
        <w:gridCol w:w="627"/>
        <w:gridCol w:w="357"/>
        <w:gridCol w:w="217"/>
        <w:gridCol w:w="109"/>
        <w:gridCol w:w="109"/>
        <w:gridCol w:w="109"/>
        <w:gridCol w:w="211"/>
        <w:gridCol w:w="1081"/>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1081"/>
        <w:gridCol w:w="154"/>
      </w:tblGrid>
      <w:tr>
        <w:trPr/>
        <w:tc>
          <w:tcPr>
            <w:tcW w:w="23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6"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Payments Due By Period</w:t>
            </w:r>
          </w:p>
        </w:tc>
      </w:tr>
      <w:tr>
        <w:trPr/>
        <w:tc>
          <w:tcPr>
            <w:tcW w:w="173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2027</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2028 and Thereafter</w:t>
            </w:r>
          </w:p>
        </w:tc>
      </w:tr>
      <w:tr>
        <w:trPr/>
        <w:tc>
          <w:tcPr>
            <w:tcW w:w="173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principal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unsecured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MGM Grand/Mandalay Bay CMBS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credit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173,804 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173,804 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5"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Scheduled interest payments </w:t>
            </w:r>
            <w:r>
              <w:rPr>
                <w:rFonts w:ascii="Times New Roman;sans-serif" w:hAnsi="Times New Roman;sans-serif"/>
                <w:b w:val="false"/>
                <w:i/>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4,803,846 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742,819 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674,735 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621,635 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504,098 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2,260,559 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 contractual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21,927,650 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1,792,819 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2,724,735 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2,545,439 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2,004,098 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12,860,559 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5"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Leases and contracts </w:t>
            </w:r>
            <w:r>
              <w:rPr>
                <w:rFonts w:ascii="Times New Roman;sans-serif" w:hAnsi="Times New Roman;sans-serif"/>
                <w:b w:val="false"/>
                <w:i/>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Future funding commitments – loan investments and Partner Property Growth Fund </w:t>
            </w:r>
            <w:r>
              <w:rPr>
                <w:rFonts w:ascii="Times New Roman;sans-serif" w:hAnsi="Times New Roman;sans-serif"/>
                <w:b w:val="false"/>
                <w:i/>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767,043 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474,835 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Golf course operating lease and contractual commitments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office lease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leases and contract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827,534 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477,304 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177,473 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120,973 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46,931 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contractual commitments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22,755,184 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2,270,123 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2,902,208 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2,666,412 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2,008,951 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12,907,490 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w:t>
      </w:r>
    </w:p>
    <w:p>
      <w:pPr>
        <w:pStyle w:val="TextBody"/>
        <w:bidi w:val="0"/>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(1) Estimated interest payments on variable interest debt under our revolving credit facility are based on the CDOR and SONIA rates as of December 31, 2023.</w:t>
      </w:r>
    </w:p>
    <w:p>
      <w:pPr>
        <w:pStyle w:val="TextBody"/>
        <w:bidi w:val="0"/>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 xml:space="preserve">(2) Excludes ground and use leases which are paid directly by our tenants to the primary lease holder. </w:t>
      </w:r>
    </w:p>
    <w:p>
      <w:pPr>
        <w:pStyle w:val="TextBody"/>
        <w:bidi w:val="0"/>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 xml:space="preserve">(3) The allocation of our future funding commitments is based on construction draw schedules, commitment funding dates, expiration dates or other information, as applicable; however, we may be obligated to fund these commitments earlier than such applicable date. </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Additional Funding Requirements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contractual obligations and commitments set forth in the table above, we have and may enter into additional agreements that commit us to potentially acquire properties in the future, fund future property improvements or otherwise provide capital to our tenants, borrowers and other counterparties, including through our put-call agreements and Partner Property Growth Fund. As of December 31, 2023, we had $1.0 billion of potential future funding commitments under our Partner Property Growth Fund agreements, the use of which are at the sole discretion of our tenants and will be dependent upon independent decisions made by our tenants with respect to any capital improvement projects and the source of funds for such projects, as well as the total funding ultimately provided under such arrangements.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222885"/>
                <wp:effectExtent l="0" t="0" r="0" b="0"/>
                <wp:wrapNone/>
                <wp:docPr id="57" name="Frame5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lineRule="auto" w:line="288" w:before="60" w:after="283"/>
        <w:jc w:val="both"/>
        <w:rPr/>
      </w:pPr>
      <w:hyperlink w:anchor="ib2fc48f0ddf244d9844b8de22bde2e36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2"/>
        </w:rPr>
      </w:pPr>
      <w:r>
        <w:rPr>
          <w:rFonts w:ascii="Times New Roman;sans-serif" w:hAnsi="Times New Roman;sans-serif"/>
          <w:b/>
          <w:color w:val="000000"/>
          <w:sz w:val="22"/>
        </w:rPr>
        <w:t>Cash Flow Analysis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summarizes our cash flows for the years ended December 31, 2023 and 2022:</w:t>
      </w:r>
    </w:p>
    <w:tbl>
      <w:tblPr>
        <w:tblW w:w="10205" w:type="dxa"/>
        <w:jc w:val="left"/>
        <w:tblInd w:w="0" w:type="dxa"/>
        <w:tblLayout w:type="fixed"/>
        <w:tblCellMar>
          <w:top w:w="28" w:type="dxa"/>
          <w:left w:w="28" w:type="dxa"/>
          <w:bottom w:w="28" w:type="dxa"/>
          <w:right w:w="28" w:type="dxa"/>
        </w:tblCellMar>
      </w:tblPr>
      <w:tblGrid>
        <w:gridCol w:w="527"/>
        <w:gridCol w:w="462"/>
        <w:gridCol w:w="462"/>
        <w:gridCol w:w="1531"/>
        <w:gridCol w:w="1377"/>
        <w:gridCol w:w="1396"/>
        <w:gridCol w:w="211"/>
        <w:gridCol w:w="976"/>
        <w:gridCol w:w="109"/>
        <w:gridCol w:w="109"/>
        <w:gridCol w:w="109"/>
        <w:gridCol w:w="109"/>
        <w:gridCol w:w="211"/>
        <w:gridCol w:w="976"/>
        <w:gridCol w:w="109"/>
        <w:gridCol w:w="109"/>
        <w:gridCol w:w="109"/>
        <w:gridCol w:w="109"/>
        <w:gridCol w:w="212"/>
        <w:gridCol w:w="833"/>
        <w:gridCol w:w="159"/>
      </w:tblGrid>
      <w:tr>
        <w:trPr/>
        <w:tc>
          <w:tcPr>
            <w:tcW w:w="527"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75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Variance ($)</w:t>
            </w:r>
          </w:p>
        </w:tc>
      </w:tr>
      <w:tr>
        <w:trPr/>
        <w:tc>
          <w:tcPr>
            <w:tcW w:w="575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Provided by operating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2,181,009 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1,943,396 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237,613 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Used in investing activities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(2,899,095)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(9,304,014)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6,404,919 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Provided by financing activities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1,031,790 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6,829,937 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(5,798,147)</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(decrease) in cash, cash equivalents and restricted cash</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313,641 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(530,681)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844,322 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both"/>
        <w:rPr>
          <w:rFonts w:ascii="Times New Roman;sans-serif" w:hAnsi="Times New Roman;sans-serif"/>
          <w:b/>
          <w:i/>
          <w:color w:val="000000"/>
          <w:sz w:val="20"/>
        </w:rPr>
      </w:pPr>
      <w:r>
        <w:rPr>
          <w:rFonts w:ascii="Times New Roman;sans-serif" w:hAnsi="Times New Roman;sans-serif"/>
          <w:b/>
          <w:i/>
          <w:color w:val="000000"/>
          <w:sz w:val="20"/>
        </w:rPr>
        <w:t>Cash Flows from Operating Activities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 increased $237.6 million for the year ended December 31, 2023 compared with the year ended December 31, 2022. The increase is primarily driven by an increase in cash rental payments from the addition of the MGM Master Lease, Foundation Master Lease, MGM Grand/Mandalay Bay Lease, PURE Master Lease, the Rocky Gap Casino and Century Canadian Portfolio component of the Century Master Lease, Bowlero Master Lease and Chelsea Piers Lease to our real estate portfolio, the annual rent escalators on our Caesars Leases and certain of our other lease agreements, the proceeds from settlement of our forward-starting derivative instruments in connection with the April 2022 Notes offering and an increase in loan interest income as a result of an increase in the principal balance of our loan portfolio.</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Cash Flows from Investing Activities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in investing activities decreased $6,404.9 million for the year ended December 31, 2023 compared with the year ended December 31, 2022.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2023, the primary sources and uses of cash from investing activities included:</w:t>
      </w:r>
    </w:p>
    <w:p>
      <w:pPr>
        <w:pStyle w:val="TextBody"/>
        <w:bidi w:val="0"/>
        <w:spacing w:lineRule="auto" w:line="288" w:before="180" w:after="283"/>
        <w:ind w:left="0" w:right="0" w:hanging="360"/>
        <w:jc w:val="both"/>
        <w:rPr/>
      </w:pPr>
      <w:r>
        <w:rPr>
          <w:color w:val="000000"/>
          <w:shd w:fill="FFFFFF" w:val="clear"/>
        </w:rPr>
        <w:t>•</w:t>
      </w:r>
      <w:r>
        <w:rPr>
          <w:rFonts w:ascii="Times New Roman;sans-serif" w:hAnsi="Times New Roman;sans-serif"/>
          <w:b w:val="false"/>
          <w:color w:val="000000"/>
          <w:sz w:val="20"/>
          <w:shd w:fill="FFFFFF" w:val="clear"/>
        </w:rPr>
        <w:t>Net payments of $1,266.9 million, including acquisition costs, in connection with the MGM Grand/Mandalay Bay JV Interest Acquisition;</w:t>
      </w:r>
    </w:p>
    <w:p>
      <w:pPr>
        <w:pStyle w:val="TextBody"/>
        <w:bidi w:val="0"/>
        <w:spacing w:lineRule="auto" w:line="288" w:before="60" w:after="283"/>
        <w:ind w:left="0" w:right="0" w:hanging="360"/>
        <w:jc w:val="both"/>
        <w:rPr/>
      </w:pPr>
      <w:r>
        <w:rPr>
          <w:color w:val="000000"/>
          <w:shd w:fill="FFFFFF" w:val="clear"/>
        </w:rPr>
        <w:t>•</w:t>
      </w:r>
      <w:r>
        <w:rPr>
          <w:rFonts w:ascii="Times New Roman;sans-serif" w:hAnsi="Times New Roman;sans-serif"/>
          <w:b w:val="false"/>
          <w:color w:val="000000"/>
          <w:sz w:val="20"/>
          <w:shd w:fill="FFFFFF" w:val="clear"/>
        </w:rPr>
        <w:t>Payments for property acquisitions during the year for a total cost of $1,373.1 million, including acquisition costs, of which $1,132.0 million was classified as investments in financing receivables and $241.1 million was classified as investments sales-type lease;</w:t>
      </w:r>
    </w:p>
    <w:p>
      <w:pPr>
        <w:pStyle w:val="TextBody"/>
        <w:bidi w:val="0"/>
        <w:spacing w:lineRule="auto" w:line="288" w:before="60" w:after="283"/>
        <w:ind w:left="0" w:right="0" w:hanging="360"/>
        <w:jc w:val="both"/>
        <w:rPr/>
      </w:pPr>
      <w:r>
        <w:rPr>
          <w:color w:val="000000"/>
          <w:shd w:fill="FFFFFF" w:val="clear"/>
        </w:rPr>
        <w:t>•</w:t>
      </w:r>
      <w:r>
        <w:rPr>
          <w:rFonts w:ascii="Times New Roman;sans-serif" w:hAnsi="Times New Roman;sans-serif"/>
          <w:b w:val="false"/>
          <w:color w:val="000000"/>
          <w:sz w:val="20"/>
          <w:shd w:fill="FFFFFF" w:val="clear"/>
        </w:rPr>
        <w:t>Disbursements to fund investments in our loan and securities portfolio in the amount of $959.1 million;</w:t>
      </w:r>
    </w:p>
    <w:p>
      <w:pPr>
        <w:pStyle w:val="TextBody"/>
        <w:bidi w:val="0"/>
        <w:spacing w:lineRule="auto" w:line="288" w:before="60" w:after="283"/>
        <w:ind w:left="0" w:right="0" w:hanging="360"/>
        <w:jc w:val="both"/>
        <w:rPr/>
      </w:pPr>
      <w:r>
        <w:rPr>
          <w:color w:val="000000"/>
          <w:shd w:fill="FFFFFF" w:val="clear"/>
        </w:rPr>
        <w:t>•</w:t>
      </w:r>
      <w:r>
        <w:rPr>
          <w:rFonts w:ascii="Times New Roman;sans-serif" w:hAnsi="Times New Roman;sans-serif"/>
          <w:b w:val="false"/>
          <w:color w:val="000000"/>
          <w:sz w:val="20"/>
          <w:shd w:fill="FFFFFF" w:val="clear"/>
        </w:rPr>
        <w:t xml:space="preserve">Principal repayment of loans in the amount of $482.0 million, of which $400.0 million related to the full repayment of the </w:t>
      </w:r>
      <w:r>
        <w:rPr>
          <w:rFonts w:ascii="Times New Roman;sans-serif" w:hAnsi="Times New Roman;sans-serif"/>
          <w:b w:val="false"/>
          <w:color w:val="000000"/>
          <w:sz w:val="20"/>
        </w:rPr>
        <w:t>Caesars Forum Convention Center mortgage loan</w:t>
      </w:r>
      <w:r>
        <w:rPr>
          <w:rFonts w:ascii="Times New Roman;sans-serif" w:hAnsi="Times New Roman;sans-serif"/>
          <w:b w:val="false"/>
          <w:color w:val="000000"/>
          <w:sz w:val="20"/>
          <w:shd w:fill="FFFFFF" w:val="clear"/>
        </w:rPr>
        <w:t>;</w:t>
      </w:r>
    </w:p>
    <w:p>
      <w:pPr>
        <w:pStyle w:val="TextBody"/>
        <w:bidi w:val="0"/>
        <w:spacing w:lineRule="auto" w:line="288" w:before="60" w:after="283"/>
        <w:ind w:left="0" w:right="0" w:hanging="360"/>
        <w:jc w:val="both"/>
        <w:rPr/>
      </w:pPr>
      <w:r>
        <w:rPr>
          <w:color w:val="000000"/>
          <w:shd w:fill="FFFFFF" w:val="clear"/>
        </w:rPr>
        <w:t>•</w:t>
      </w:r>
      <w:r>
        <w:rPr>
          <w:rFonts w:ascii="Times New Roman;sans-serif" w:hAnsi="Times New Roman;sans-serif"/>
          <w:b w:val="false"/>
          <w:color w:val="000000"/>
          <w:sz w:val="20"/>
          <w:shd w:fill="FFFFFF" w:val="clear"/>
        </w:rPr>
        <w:t>Maturities of short-term investments, net of investments of $217.3 million;</w:t>
      </w:r>
    </w:p>
    <w:p>
      <w:pPr>
        <w:pStyle w:val="TextBody"/>
        <w:bidi w:val="0"/>
        <w:spacing w:lineRule="auto" w:line="288" w:before="60" w:after="283"/>
        <w:ind w:left="0" w:right="0" w:hanging="360"/>
        <w:jc w:val="both"/>
        <w:rPr/>
      </w:pPr>
      <w:r>
        <w:rPr>
          <w:color w:val="000000"/>
          <w:shd w:fill="FFFFFF" w:val="clear"/>
        </w:rPr>
        <w:t>•</w:t>
      </w:r>
      <w:r>
        <w:rPr>
          <w:rFonts w:ascii="Times New Roman;sans-serif" w:hAnsi="Times New Roman;sans-serif"/>
          <w:b w:val="false"/>
          <w:color w:val="000000"/>
          <w:sz w:val="20"/>
          <w:shd w:fill="FFFFFF" w:val="clear"/>
        </w:rPr>
        <w:t>Proceeds from the sale of land of $6.2 million;</w:t>
      </w:r>
    </w:p>
    <w:p>
      <w:pPr>
        <w:pStyle w:val="TextBody"/>
        <w:bidi w:val="0"/>
        <w:spacing w:lineRule="auto" w:line="288" w:before="60" w:after="283"/>
        <w:ind w:left="0" w:right="0" w:hanging="360"/>
        <w:jc w:val="both"/>
        <w:rPr/>
      </w:pPr>
      <w:r>
        <w:rPr>
          <w:color w:val="000000"/>
          <w:shd w:fill="FFFFFF" w:val="clear"/>
        </w:rPr>
        <w:t>•</w:t>
      </w:r>
      <w:r>
        <w:rPr>
          <w:rFonts w:ascii="Times New Roman;sans-serif" w:hAnsi="Times New Roman;sans-serif"/>
          <w:b w:val="false"/>
          <w:color w:val="000000"/>
          <w:sz w:val="20"/>
          <w:shd w:fill="FFFFFF" w:val="clear"/>
        </w:rPr>
        <w:t>Acquisition of property and equipment costs of $4.0 million; and</w:t>
      </w:r>
    </w:p>
    <w:p>
      <w:pPr>
        <w:pStyle w:val="TextBody"/>
        <w:bidi w:val="0"/>
        <w:spacing w:lineRule="auto" w:line="288" w:before="60" w:after="283"/>
        <w:ind w:left="0" w:right="0" w:hanging="360"/>
        <w:jc w:val="both"/>
        <w:rPr/>
      </w:pPr>
      <w:r>
        <w:rPr>
          <w:color w:val="000000"/>
          <w:shd w:fill="FFFFFF" w:val="clear"/>
        </w:rPr>
        <w:t>•</w:t>
      </w:r>
      <w:r>
        <w:rPr>
          <w:rFonts w:ascii="Times New Roman;sans-serif" w:hAnsi="Times New Roman;sans-serif"/>
          <w:b w:val="false"/>
          <w:color w:val="000000"/>
          <w:sz w:val="20"/>
          <w:shd w:fill="FFFFFF" w:val="clear"/>
        </w:rPr>
        <w:t>Capitalized transaction costs of $1.5 million.</w:t>
      </w:r>
      <w:r>
        <w:rPr>
          <w:color w:val="000000"/>
        </w:rPr>
        <w:t xml:space="preserve">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2022, the primary sources and uses of cash from investing activities included:</w:t>
      </w:r>
    </w:p>
    <w:p>
      <w:pPr>
        <w:pStyle w:val="TextBody"/>
        <w:bidi w:val="0"/>
        <w:spacing w:lineRule="auto" w:line="288" w:before="180" w:after="283"/>
        <w:ind w:left="0" w:right="0" w:hanging="360"/>
        <w:jc w:val="both"/>
        <w:rPr/>
      </w:pPr>
      <w:r>
        <w:rPr>
          <w:color w:val="000000"/>
          <w:shd w:fill="FFFFFF" w:val="clear"/>
        </w:rPr>
        <w:t>•</w:t>
      </w:r>
      <w:r>
        <w:rPr>
          <w:rFonts w:ascii="Times New Roman;sans-serif" w:hAnsi="Times New Roman;sans-serif"/>
          <w:b w:val="false"/>
          <w:color w:val="000000"/>
          <w:sz w:val="20"/>
          <w:shd w:fill="FFFFFF" w:val="clear"/>
        </w:rPr>
        <w:t>Net payments of $4,574.5 million in relation to the closing of the MGP Transactions;</w:t>
      </w:r>
    </w:p>
    <w:p>
      <w:pPr>
        <w:pStyle w:val="TextBody"/>
        <w:bidi w:val="0"/>
        <w:spacing w:lineRule="auto" w:line="288" w:before="60" w:after="283"/>
        <w:ind w:left="0" w:right="0" w:hanging="360"/>
        <w:jc w:val="both"/>
        <w:rPr/>
      </w:pPr>
      <w:r>
        <w:rPr>
          <w:color w:val="000000"/>
          <w:shd w:fill="FFFFFF" w:val="clear"/>
        </w:rPr>
        <w:t>•</w:t>
      </w:r>
      <w:r>
        <w:rPr>
          <w:rFonts w:ascii="Times New Roman;sans-serif" w:hAnsi="Times New Roman;sans-serif"/>
          <w:b w:val="false"/>
          <w:color w:val="000000"/>
          <w:sz w:val="20"/>
          <w:shd w:fill="FFFFFF" w:val="clear"/>
        </w:rPr>
        <w:t>Payments for property acquisitions during the year for a total cost of $4,314.5 million, including acquisition costs, of which $296.7 million was classified as investments in financing receivables and $4,017.9 million was classified as investments sales-type lease;</w:t>
      </w:r>
    </w:p>
    <w:p>
      <w:pPr>
        <w:pStyle w:val="TextBody"/>
        <w:bidi w:val="0"/>
        <w:spacing w:lineRule="auto" w:line="288" w:before="60" w:after="283"/>
        <w:ind w:left="0" w:right="0" w:hanging="360"/>
        <w:jc w:val="both"/>
        <w:rPr/>
      </w:pPr>
      <w:r>
        <w:rPr>
          <w:color w:val="000000"/>
          <w:shd w:fill="FFFFFF" w:val="clear"/>
        </w:rPr>
        <w:t>•</w:t>
      </w:r>
      <w:r>
        <w:rPr>
          <w:rFonts w:ascii="Times New Roman;sans-serif" w:hAnsi="Times New Roman;sans-serif"/>
          <w:b w:val="false"/>
          <w:color w:val="000000"/>
          <w:sz w:val="20"/>
        </w:rPr>
        <w:t>Investment in short-term investments, net of maturities, of $217.3 million;</w:t>
      </w:r>
    </w:p>
    <w:p>
      <w:pPr>
        <w:pStyle w:val="TextBody"/>
        <w:bidi w:val="0"/>
        <w:spacing w:lineRule="auto" w:line="288" w:before="60" w:after="283"/>
        <w:ind w:left="0" w:right="0" w:hanging="360"/>
        <w:jc w:val="both"/>
        <w:rPr/>
      </w:pPr>
      <w:r>
        <w:rPr>
          <w:color w:val="000000"/>
          <w:shd w:fill="FFFFFF" w:val="clear"/>
        </w:rPr>
        <w:t>•</w:t>
      </w:r>
      <w:r>
        <w:rPr>
          <w:rFonts w:ascii="Times New Roman;sans-serif" w:hAnsi="Times New Roman;sans-serif"/>
          <w:b w:val="false"/>
          <w:color w:val="000000"/>
          <w:sz w:val="20"/>
          <w:shd w:fill="FFFFFF" w:val="clear"/>
        </w:rPr>
        <w:t xml:space="preserve">Disbursements to fund investments in our loan and securities portfolio in the amount of $193.7 million; and </w:t>
      </w:r>
    </w:p>
    <w:p>
      <w:pPr>
        <w:pStyle w:val="TextBody"/>
        <w:bidi w:val="0"/>
        <w:spacing w:lineRule="auto" w:line="288" w:before="60" w:after="283"/>
        <w:ind w:left="0" w:right="0" w:hanging="360"/>
        <w:jc w:val="both"/>
        <w:rPr/>
      </w:pPr>
      <w:r>
        <w:rPr>
          <w:color w:val="000000"/>
          <w:shd w:fill="FFFFFF" w:val="clear"/>
        </w:rPr>
        <w:t>•</w:t>
      </w:r>
      <w:r>
        <w:rPr>
          <w:rFonts w:ascii="Times New Roman;sans-serif" w:hAnsi="Times New Roman;sans-serif"/>
          <w:b w:val="false"/>
          <w:color w:val="000000"/>
          <w:sz w:val="20"/>
        </w:rPr>
        <w:t>Capitalized transaction costs of $7.7 million</w:t>
      </w:r>
      <w:r>
        <w:rPr>
          <w:rFonts w:ascii="Times New Roman;sans-serif" w:hAnsi="Times New Roman;sans-serif"/>
          <w:b w:val="false"/>
          <w:color w:val="000000"/>
          <w:sz w:val="20"/>
          <w:shd w:fill="FFFFFF" w:val="clear"/>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222885"/>
                <wp:effectExtent l="0" t="0" r="0" b="0"/>
                <wp:wrapNone/>
                <wp:docPr id="58" name="Frame5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lineRule="auto" w:line="288" w:before="60" w:after="283"/>
        <w:jc w:val="both"/>
        <w:rPr/>
      </w:pPr>
      <w:hyperlink w:anchor="ib2fc48f0ddf244d9844b8de22bde2e36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Cash Flows from Financing Activities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provided by financing activities decreased $5,798.1 million for the year ended December 31, 2023 compared with the year ended December 31, 2022.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2023, the primary sources and uses of cash from financing activities included:</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Net proceeds of $2,480.1 million from the issuance of an aggregate 79,065,750 shares of our common stock pursuant to the full physical settlement of certain of our forward sale agreements;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Dividend payments of $1,583.8 million;</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Draws of $419.1 million in aggregate on our Revolving Credit Facility and subsequent repayment of $250.0 million on our Revolving Credit Facility;</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 xml:space="preserve">Distributions of $28.6 million to non-controlling interests; and </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Repurchase of shares of common stock for tax withholding in connection with the vesting of employee stock compensation of $5.0 million.</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 ended December 31, 2022, the primary sources and uses of cash from financing activities included: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Gross proceeds of $5,000.0 million from the April 2002 Notes offering;</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Net proceeds of $3,219.1 million from the sale of an aggregate 119,000,000 shares of our common stock pursuant to the full physical settlement of certain of our forward sale agreements;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Dividend payments of $1,219.1 million;</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Initial draw and repayment of $600.0 million on our Revolving Credit Facility;</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 xml:space="preserve">Debt issuance costs of $146.2 million; </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Distributions of $17.7 million to non-controlling interests; and</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Repurchase of shares of common stock for tax withholding in connection with the vesting of employee stock compensation of $6.2 million.</w:t>
      </w:r>
    </w:p>
    <w:p>
      <w:pPr>
        <w:pStyle w:val="TextBody"/>
        <w:bidi w:val="0"/>
        <w:spacing w:lineRule="auto" w:line="288" w:before="240" w:after="283"/>
        <w:jc w:val="both"/>
        <w:rPr>
          <w:rFonts w:ascii="Times New Roman;sans-serif" w:hAnsi="Times New Roman;sans-serif"/>
          <w:b/>
          <w:color w:val="000000"/>
          <w:sz w:val="22"/>
        </w:rPr>
      </w:pPr>
      <w:r>
        <w:rPr>
          <w:rFonts w:ascii="Times New Roman;sans-serif" w:hAnsi="Times New Roman;sans-serif"/>
          <w:b/>
          <w:color w:val="000000"/>
          <w:sz w:val="22"/>
        </w:rPr>
        <w:t>Debt</w:t>
      </w:r>
    </w:p>
    <w:p>
      <w:pPr>
        <w:pStyle w:val="TextBody"/>
        <w:bidi w:val="0"/>
        <w:spacing w:lineRule="auto" w:line="288" w:before="180" w:after="283"/>
        <w:jc w:val="both"/>
        <w:rPr/>
      </w:pPr>
      <w:r>
        <w:rPr>
          <w:rFonts w:ascii="Times New Roman;sans-serif" w:hAnsi="Times New Roman;sans-serif"/>
          <w:b w:val="false"/>
          <w:color w:val="000000"/>
          <w:sz w:val="20"/>
        </w:rPr>
        <w:t xml:space="preserve">For a summary of our debt obligations as of December 31, 2023, refer to </w:t>
      </w:r>
      <w:hyperlink w:anchor="ib2fc48f0ddf244d9844b8de22bde2e36_163">
        <w:r>
          <w:rPr>
            <w:rStyle w:val="InternetLink"/>
            <w:rFonts w:ascii="Times New Roman;sans-serif" w:hAnsi="Times New Roman;sans-serif"/>
            <w:b w:val="false"/>
            <w:color w:val="0000FF"/>
            <w:sz w:val="20"/>
            <w:u w:val="single"/>
          </w:rPr>
          <w:t>Note 7 - Debt</w:t>
        </w:r>
      </w:hyperlink>
      <w:r>
        <w:rPr>
          <w:rFonts w:ascii="Times New Roman;sans-serif" w:hAnsi="Times New Roman;sans-serif"/>
          <w:b w:val="false"/>
          <w:color w:val="000000"/>
          <w:sz w:val="20"/>
        </w:rPr>
        <w:t>. For a summary of our financing activities in 2023 refer to “Summary of Significant 2023 Activity - Financing and Capital Markets Activity” above</w:t>
      </w:r>
      <w:r>
        <w:rPr>
          <w:rFonts w:ascii="Times New Roman;sans-serif" w:hAnsi="Times New Roman;sans-serif"/>
          <w:b w:val="false"/>
          <w:i/>
          <w:color w:val="000000"/>
          <w:sz w:val="20"/>
        </w:rPr>
        <w:t>.</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Covenants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debt obligations are subject to certain customary financial and operating covenants that restrict our ability to incur additional debt, sell certain asset and restrict certain payments, among other things. In addition, these covenants are subject to a number of important exceptions and qualifications, including, with respect to the restricted payments covenant, the ability to make unlimited restricted payments to maintain our REIT status.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At December 31, 2023, we were in compliance with all required debt-related covenants, including financial covenants.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ans-serif" w:hAnsi="Times New Roman;sans-serif"/>
          <w:b/>
          <w:color w:val="000000"/>
          <w:sz w:val="22"/>
        </w:rPr>
      </w:pPr>
      <w:r>
        <w:rPr>
          <w:rFonts w:ascii="Times New Roman;sans-serif" w:hAnsi="Times New Roman;sans-serif"/>
          <w:b/>
          <w:color w:val="000000"/>
          <w:sz w:val="22"/>
        </w:rPr>
        <w:t>CRITICAL ACCOUNTING ESTIMATES</w:t>
      </w:r>
    </w:p>
    <w:p>
      <w:pPr>
        <w:pStyle w:val="TextBody"/>
        <w:bidi w:val="0"/>
        <w:spacing w:lineRule="auto" w:line="288" w:before="180" w:after="283"/>
        <w:jc w:val="both"/>
        <w:rPr/>
      </w:pPr>
      <w:r>
        <w:rPr>
          <w:rFonts w:ascii="Times New Roman;sans-serif" w:hAnsi="Times New Roman;sans-serif"/>
          <w:b w:val="false"/>
          <w:color w:val="000000"/>
          <w:sz w:val="20"/>
        </w:rPr>
        <w:t xml:space="preserve">Our Financial Statements are prepared in accordance with GAAP which requires us to make estimates and assumptions about future events that affect the amounts reported in the financial statements and accompanying notes. We believe that the following discussion addresses our most critical accounting estimates, which are those that have a significant level of estimation uncertainty, requiring our most difficult, subjective and complex judgments, and significantly impacts the Balance Sheets and Statement of Operations in the reporting period. Actual results may differ from the estimates. Refer to </w:t>
      </w:r>
      <w:hyperlink w:anchor="ib2fc48f0ddf244d9844b8de22bde2e36_145">
        <w:r>
          <w:rPr>
            <w:rStyle w:val="InternetLink"/>
            <w:rFonts w:ascii="Times New Roman;sans-serif" w:hAnsi="Times New Roman;sans-serif"/>
            <w:b w:val="false"/>
            <w:color w:val="0000FF"/>
            <w:sz w:val="20"/>
            <w:u w:val="single"/>
          </w:rPr>
          <w:t>Note 2 - Summary of Significant Accounting Policies</w:t>
        </w:r>
      </w:hyperlink>
      <w:r>
        <w:rPr>
          <w:color w:val="000000"/>
        </w:rPr>
        <w:t xml:space="preserve"> </w:t>
      </w:r>
      <w:r>
        <w:rPr>
          <w:rFonts w:ascii="Times New Roman;sans-serif" w:hAnsi="Times New Roman;sans-serif"/>
          <w:b w:val="false"/>
          <w:color w:val="000000"/>
          <w:sz w:val="20"/>
        </w:rPr>
        <w:t xml:space="preserve">for a full discussion of our accounting policies. </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Purchase Accounting</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property acquisitions are accounted for under ASC 805 “Business Combinations” (“ASC 805”), which requires that we allocate the purchase price of our properties to the identifiable assets acquired and liabilities assumed, as applicable. Our acquired properties generally meet the definition of an asset acquisition under ASC 805-50 and we typically allocate the cost of real estate acquired, inclusive of capitalizable transaction costs, to (i) land, (ii) building and improvements and (iii) site improvements, based in each case on their relative estimated fair values using industry standard practices such as market comparables and the cost approach. In an acquisition of multiple properties, we must also allocate the purchase price among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222885"/>
                <wp:effectExtent l="0" t="0" r="0" b="0"/>
                <wp:wrapNone/>
                <wp:docPr id="59" name="Frame5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lineRule="auto" w:line="288" w:before="60" w:after="283"/>
        <w:jc w:val="both"/>
        <w:rPr/>
      </w:pPr>
      <w:hyperlink w:anchor="ib2fc48f0ddf244d9844b8de22bde2e36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properties, and in certain cases investments in unconsolidated affiliates, which is based on the (a) asset quality and location, (b) property and lease-level operating performance and (c) supply and demand dynamics of each property’s respective market. In addition, any assumed mortgages are recorded at their estimated fair values.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Such allocations use significant estimates which can impact the determination of the accounting as a business combination or asset acquisition and the allocation to the differing components of an acquisition. Management uses industry standard practices to estimate the value assigned to the assets acquired and liabilities assumed in an acquisition, including the value assigned to each property, the liabilities assumed, as applicable, and the land and building property components within each property. Although management believes its estimate of both the value assigned to each property and to the land and building property components within each property is reasonable, no assurance can be given that such amounts will be correct. In particular, a change in the estimates could have a material impact on the business combination determination and the timing and amount of income recognized over the life of the assets acquired and liabilities assumed. </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Lease Accounting</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account for our investments in leases under ASC 842 “Leases” (“ASC 842”), which requires significant estimates and judgments by management in its application. Upon lease inception or lease modification, we assess the lease classification of both the different components of the property, generally land and building, to determine whether each component should be classified as a direct financing, sales-type or operating lease. The determination of lease classification requires the calculation of the rate implicit in the lease, which is driven by significant estimates, including the estimation of both the value assigned to the land and building property components upon acquisition (as further described in “—Purchase Accounting” above) and the estimation of the unguaranteed residual value of such components at the end of the lease term, which includes the non-cancelable period and any renewal terms that, in our judgement, are reasonably certain to be exercised. If the lease component is determined to be a direct financing or sales-type lease, revenue is recognized over the life of the lease using the rate implicit in the lease.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Management uses industry standard practices to estimate both the value assigned to the land and building property components upon acquisition and the unguaranteed residual value of such components, including comparable sales and replacement cost analyses. Although management believes its estimate of both the value assigned to the land and building property components upon acquisition and the unguaranteed residual value of such components is reasonable, no assurance can be given that such amounts will be correct. In particular a change in the estimates could have a material impact on the lease classification determination and the timing and amount of income recognized over the life of the lease. </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Allowance for Credit Losses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ASC 326 “Financial Instruments-Credit Losses” (“ASC 326”) requires that we measure and record current expected credit losses (“CECL”) for the majority of our investments, the scope of which includes our Investments in leases - sales-type, Investments in leases - financing receivables and Investments in loans. We have elected to use a discounted cash flow model to estimate the Allowance for credit losses, or CECL allowance for our leases. This model requires us to develop cash flows which project estimated credit losses over the life of the lease and discount these cash flows at the asset’s effective interest rate. We then record a CECL allowance equal to the difference between the amortized cost basis of the asset and the present value of the expected credit loss cash flows.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Expected losses within our cash flows are determined by estimating the probability of default (“PD”) and loss given default (“LGD”) of our tenants and their parent guarantors over the life of each individual lease or financial asset. The PD and LGD are estimated during a reasonable and supportable period for which we believe we are able to estimate future economic conditions (the “R&amp;S Period”) and a long-term period for which we revert to long-term historical averages (the “Long-Term Period”). We are unable to use our historical data to estimate losses as we have no loss history to date.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Given the length of our leases, the Long-Term Period PD and LGD are the most material and significant drivers of the CECL allowance. The PD and LGD for the Long-Term Period are estimated using the average historical default rates and historical loss rates, respectively, of public companies over the past 40 years that have similar credit profiles or characteristics to our tenants and their parent guarantors. We have engaged a nationally recognized data analytics firm to assist us with estimating both the PD and LGD of our tenants and their parent guarantors. Changes to the Long-Term Period PD and LGD are generally driven by (i) updated studies from the nationally recognized data analytics firm we employ to assist us with calculating the allowance and (ii) changes in the credit rating assigned to our tenants and their parent guarantors.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222885"/>
                <wp:effectExtent l="0" t="0" r="0" b="0"/>
                <wp:wrapNone/>
                <wp:docPr id="60" name="Frame5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lineRule="auto" w:line="288" w:before="60" w:after="283"/>
        <w:jc w:val="both"/>
        <w:rPr/>
      </w:pPr>
      <w:hyperlink w:anchor="ib2fc48f0ddf244d9844b8de22bde2e36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illustrates the impact on the CECL allowance of our investment portfolio as a result of a 10% increase and decrease in the weighted average percentages used to estimate Long-Term PD and LGD of all of our tenants and their parent guarantors:</w:t>
      </w:r>
    </w:p>
    <w:tbl>
      <w:tblPr>
        <w:tblW w:w="10205" w:type="dxa"/>
        <w:jc w:val="left"/>
        <w:tblInd w:w="0" w:type="dxa"/>
        <w:tblLayout w:type="fixed"/>
        <w:tblCellMar>
          <w:top w:w="28" w:type="dxa"/>
          <w:left w:w="28" w:type="dxa"/>
          <w:bottom w:w="28" w:type="dxa"/>
          <w:right w:w="28" w:type="dxa"/>
        </w:tblCellMar>
      </w:tblPr>
      <w:tblGrid>
        <w:gridCol w:w="424"/>
        <w:gridCol w:w="373"/>
        <w:gridCol w:w="374"/>
        <w:gridCol w:w="109"/>
        <w:gridCol w:w="109"/>
        <w:gridCol w:w="109"/>
        <w:gridCol w:w="467"/>
        <w:gridCol w:w="417"/>
        <w:gridCol w:w="1046"/>
        <w:gridCol w:w="109"/>
        <w:gridCol w:w="109"/>
        <w:gridCol w:w="109"/>
        <w:gridCol w:w="361"/>
        <w:gridCol w:w="1340"/>
        <w:gridCol w:w="186"/>
        <w:gridCol w:w="109"/>
        <w:gridCol w:w="109"/>
        <w:gridCol w:w="109"/>
        <w:gridCol w:w="467"/>
        <w:gridCol w:w="417"/>
        <w:gridCol w:w="1046"/>
        <w:gridCol w:w="109"/>
        <w:gridCol w:w="109"/>
        <w:gridCol w:w="109"/>
        <w:gridCol w:w="332"/>
        <w:gridCol w:w="1398"/>
        <w:gridCol w:w="249"/>
      </w:tblGrid>
      <w:tr>
        <w:trPr/>
        <w:tc>
          <w:tcPr>
            <w:tcW w:w="424"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Long-Term PD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Long-Term LGD</w:t>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 in CECL Allowance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 in CECL Allowance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 in CECL Allowance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 in CECL Allowance $</w:t>
            </w:r>
          </w:p>
        </w:tc>
      </w:tr>
      <w:tr>
        <w:trPr/>
        <w:tc>
          <w:tcPr>
            <w:tcW w:w="11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 increase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0.21 </w:t>
            </w:r>
          </w:p>
        </w:tc>
        <w:tc>
          <w:tcPr>
            <w:tcW w:w="10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91,928 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0.26 </w:t>
            </w:r>
          </w:p>
        </w:tc>
        <w:tc>
          <w:tcPr>
            <w:tcW w:w="10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110,372 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 decrease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(0.22)</w:t>
            </w:r>
          </w:p>
        </w:tc>
        <w:tc>
          <w:tcPr>
            <w:tcW w:w="10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(94,989)</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(0.26)</w:t>
            </w:r>
          </w:p>
        </w:tc>
        <w:tc>
          <w:tcPr>
            <w:tcW w:w="10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(110,377)</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Although management believes its estimate of the Long-Term PD and LGD described above is reasonable, no assurance can be given that the Long-Term PD and LGD for our tenants, or other drivers of the CECL allowance, will be correct. Any significant variation of Long-Term PD or LGD from management’s expectations could have a material impact on our financial condition and operating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7468" w:type="dxa"/>
        <w:jc w:val="left"/>
        <w:tblInd w:w="0" w:type="dxa"/>
        <w:tblLayout w:type="fixed"/>
        <w:tblCellMar>
          <w:top w:w="28" w:type="dxa"/>
          <w:left w:w="28" w:type="dxa"/>
          <w:bottom w:w="28" w:type="dxa"/>
          <w:right w:w="28" w:type="dxa"/>
        </w:tblCellMar>
      </w:tblPr>
      <w:tblGrid>
        <w:gridCol w:w="428"/>
        <w:gridCol w:w="377"/>
        <w:gridCol w:w="379"/>
        <w:gridCol w:w="1839"/>
        <w:gridCol w:w="1839"/>
        <w:gridCol w:w="2606"/>
      </w:tblGrid>
      <w:tr>
        <w:trPr/>
        <w:tc>
          <w:tcPr>
            <w:tcW w:w="428"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839" w:type="dxa"/>
            <w:tcBorders/>
            <w:vAlign w:val="center"/>
          </w:tcPr>
          <w:p>
            <w:pPr>
              <w:pStyle w:val="TableContents"/>
              <w:bidi w:val="0"/>
              <w:spacing w:before="0" w:after="283"/>
              <w:jc w:val="left"/>
              <w:rPr>
                <w:sz w:val="4"/>
                <w:szCs w:val="4"/>
              </w:rPr>
            </w:pPr>
            <w:r>
              <w:rPr>
                <w:sz w:val="4"/>
                <w:szCs w:val="4"/>
              </w:rPr>
            </w:r>
          </w:p>
        </w:tc>
        <w:tc>
          <w:tcPr>
            <w:tcW w:w="1839" w:type="dxa"/>
            <w:tcBorders/>
            <w:vAlign w:val="center"/>
          </w:tcPr>
          <w:p>
            <w:pPr>
              <w:pStyle w:val="TableContents"/>
              <w:bidi w:val="0"/>
              <w:spacing w:before="0" w:after="283"/>
              <w:jc w:val="left"/>
              <w:rPr>
                <w:sz w:val="4"/>
                <w:szCs w:val="4"/>
              </w:rPr>
            </w:pPr>
            <w:r>
              <w:rPr>
                <w:sz w:val="4"/>
                <w:szCs w:val="4"/>
              </w:rPr>
            </w:r>
          </w:p>
        </w:tc>
        <w:tc>
          <w:tcPr>
            <w:tcW w:w="2606" w:type="dxa"/>
            <w:tcBorders/>
            <w:vAlign w:val="center"/>
          </w:tcPr>
          <w:p>
            <w:pPr>
              <w:pStyle w:val="TableContents"/>
              <w:bidi w:val="0"/>
              <w:spacing w:before="0" w:after="283"/>
              <w:jc w:val="left"/>
              <w:rPr>
                <w:sz w:val="4"/>
                <w:szCs w:val="4"/>
              </w:rPr>
            </w:pPr>
            <w:r>
              <w:rPr>
                <w:sz w:val="4"/>
                <w:szCs w:val="4"/>
              </w:rPr>
            </w:r>
          </w:p>
        </w:tc>
      </w:tr>
      <w:tr>
        <w:trPr/>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ITEM 7A.</w:t>
            </w:r>
          </w:p>
        </w:tc>
        <w:tc>
          <w:tcPr>
            <w:tcW w:w="6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Quantitative and Qualitative Disclosures About Market Risk</w:t>
            </w:r>
          </w:p>
        </w:tc>
      </w:tr>
    </w:tbl>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Interest Rate Risk</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interest rate risk management objective is to limit the impact of future interest rate changes on our earnings and cash flows. To achieve this objective, our consolidated subsidiaries primarily borrow on a fixed-rate basis for longer-term debt issuances. As of December 31, 2023, we had $17.1 billion of aggregate principal amount of outstanding indebtedness, of which 99.0% has a fixed interest rate and 1.0% has a variable interest rate, representing the US$173.8 million outstanding balance under the Revolving Credit Facility (denominated in CAD and GBP). As of December 31, 2023, a one percent increase or decrease in the annual interest rate on our variable rate borrowings would increase or decrease our annual cash interest expense by approximately $1.7 million using the applicable exchange rate as of December 31, 2023.</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we are exposed to interest rate risk between the time we enter into a transaction and the time we finance the related transaction with long-term fixed-rate debt. In addition, when that long-term debt matures, we may have to refinance such debt at a higher interest rate. In a rising interest rate environment, we have from time to time and may in the future seek to mitigate that risk by utilizing forward-starting interest rate swap agreements, treasury locks and other derivative instruments. Market interest rates are sensitive to many factors that are beyond our control.</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Capital Markets Risks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exposed to risks related to the equity capital markets, and our related ability to raise capital through the issuance of our common stock or other equity instruments. We are also exposed to risks related to the debt capital markets, and our related ability to finance our business through long-term indebtedness, borrowings under credit facilities or other debt instruments. As a REIT, we are required to distribute a significant portion of our taxable income annually, which constrains our ability to accumulate operating cash flow and therefore requires us to utilize debt or equity capital to finance our business. We seek to mitigate these risks by monitoring the debt and equity capital markets to inform our decisions on the amount, timing, and terms of capital we raise.</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Foreign Currency Exchange Rates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exposed to foreign currency exchange variability related to investments in and earnings from our foreign investments. Foreign currency market risk is the possibility that our results of operations or financial position could be better or worse than planned because of changes in foreign currency exchange rates. We primarily hedge our foreign currency risk by borrowing in the currencies in which we invest, thereby providing a natural hedge. We continuously evaluate our foreign currency risk and may in the future use derivative financial instruments, such as currency exchange swaps, foreign currency collars, and foreign currency forward contracts with financial counterparties to further mitigate such risk.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894" w:type="dxa"/>
        <w:jc w:val="left"/>
        <w:tblInd w:w="0" w:type="dxa"/>
        <w:tblLayout w:type="fixed"/>
        <w:tblCellMar>
          <w:top w:w="28" w:type="dxa"/>
          <w:left w:w="28" w:type="dxa"/>
          <w:bottom w:w="28" w:type="dxa"/>
          <w:right w:w="28" w:type="dxa"/>
        </w:tblCellMar>
      </w:tblPr>
      <w:tblGrid>
        <w:gridCol w:w="363"/>
        <w:gridCol w:w="320"/>
        <w:gridCol w:w="321"/>
        <w:gridCol w:w="1432"/>
        <w:gridCol w:w="1432"/>
        <w:gridCol w:w="2026"/>
      </w:tblGrid>
      <w:tr>
        <w:trPr/>
        <w:tc>
          <w:tcPr>
            <w:tcW w:w="36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r>
      <w:tr>
        <w:trPr/>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ITEM 8.</w:t>
            </w:r>
          </w:p>
        </w:tc>
        <w:tc>
          <w:tcPr>
            <w:tcW w:w="4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Financial Statements and Supplementary Data</w:t>
            </w:r>
          </w:p>
        </w:tc>
      </w:tr>
    </w:tbl>
    <w:p>
      <w:pPr>
        <w:pStyle w:val="TextBody"/>
        <w:bidi w:val="0"/>
        <w:spacing w:lineRule="auto" w:line="288" w:before="180" w:after="283"/>
        <w:jc w:val="both"/>
        <w:rPr/>
      </w:pPr>
      <w:r>
        <w:rPr>
          <w:rFonts w:ascii="Times New Roman;sans-serif" w:hAnsi="Times New Roman;sans-serif"/>
          <w:b w:val="false"/>
          <w:color w:val="000000"/>
          <w:sz w:val="20"/>
        </w:rPr>
        <w:t xml:space="preserve">The financial statements required by this item and the reports of the independent accountants thereon required by Item 15. - Exhibits and Financial Statement Schedules of this Form 10-K appear on pages F-2 to F-53. See accompanying </w:t>
      </w:r>
      <w:hyperlink w:anchor="ib2fc48f0ddf244d9844b8de22bde2e36_106">
        <w:r>
          <w:rPr>
            <w:rStyle w:val="InternetLink"/>
            <w:rFonts w:ascii="Times New Roman;sans-serif" w:hAnsi="Times New Roman;sans-serif"/>
            <w:b w:val="false"/>
            <w:color w:val="0000FF"/>
            <w:sz w:val="20"/>
            <w:u w:val="single"/>
          </w:rPr>
          <w:t>Index to the Consolidated Financial Statements</w:t>
        </w:r>
      </w:hyperlink>
      <w:r>
        <w:rPr>
          <w:color w:val="000000"/>
        </w:rPr>
        <w:t xml:space="preserve"> </w:t>
      </w:r>
      <w:r>
        <w:rPr>
          <w:rFonts w:ascii="Times New Roman;sans-serif" w:hAnsi="Times New Roman;sans-serif"/>
          <w:b w:val="false"/>
          <w:color w:val="000000"/>
          <w:sz w:val="20"/>
        </w:rPr>
        <w:t>on page F-1.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222885"/>
                <wp:effectExtent l="0" t="0" r="0" b="0"/>
                <wp:wrapNone/>
                <wp:docPr id="61" name="Frame5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lineRule="auto" w:line="288" w:before="60" w:after="283"/>
        <w:jc w:val="both"/>
        <w:rPr/>
      </w:pPr>
      <w:hyperlink w:anchor="ib2fc48f0ddf244d9844b8de22bde2e36_10">
        <w:r>
          <w:rPr>
            <w:rStyle w:val="InternetLink"/>
            <w:rFonts w:ascii="Times New Roman;sans-serif" w:hAnsi="Times New Roman;sans-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361"/>
        <w:gridCol w:w="319"/>
        <w:gridCol w:w="320"/>
        <w:gridCol w:w="2694"/>
        <w:gridCol w:w="2694"/>
        <w:gridCol w:w="3817"/>
      </w:tblGrid>
      <w:tr>
        <w:trPr/>
        <w:tc>
          <w:tcPr>
            <w:tcW w:w="361"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2694" w:type="dxa"/>
            <w:tcBorders/>
            <w:vAlign w:val="center"/>
          </w:tcPr>
          <w:p>
            <w:pPr>
              <w:pStyle w:val="TableContents"/>
              <w:bidi w:val="0"/>
              <w:spacing w:before="0" w:after="283"/>
              <w:jc w:val="left"/>
              <w:rPr>
                <w:sz w:val="4"/>
                <w:szCs w:val="4"/>
              </w:rPr>
            </w:pPr>
            <w:r>
              <w:rPr>
                <w:sz w:val="4"/>
                <w:szCs w:val="4"/>
              </w:rPr>
            </w:r>
          </w:p>
        </w:tc>
        <w:tc>
          <w:tcPr>
            <w:tcW w:w="2694" w:type="dxa"/>
            <w:tcBorders/>
            <w:vAlign w:val="center"/>
          </w:tcPr>
          <w:p>
            <w:pPr>
              <w:pStyle w:val="TableContents"/>
              <w:bidi w:val="0"/>
              <w:spacing w:before="0" w:after="283"/>
              <w:jc w:val="left"/>
              <w:rPr>
                <w:sz w:val="4"/>
                <w:szCs w:val="4"/>
              </w:rPr>
            </w:pPr>
            <w:r>
              <w:rPr>
                <w:sz w:val="4"/>
                <w:szCs w:val="4"/>
              </w:rPr>
            </w:r>
          </w:p>
        </w:tc>
        <w:tc>
          <w:tcPr>
            <w:tcW w:w="3817" w:type="dxa"/>
            <w:tcBorders/>
            <w:vAlign w:val="center"/>
          </w:tcPr>
          <w:p>
            <w:pPr>
              <w:pStyle w:val="TableContents"/>
              <w:bidi w:val="0"/>
              <w:spacing w:before="0" w:after="283"/>
              <w:jc w:val="left"/>
              <w:rPr>
                <w:sz w:val="4"/>
                <w:szCs w:val="4"/>
              </w:rPr>
            </w:pPr>
            <w:r>
              <w:rPr>
                <w:sz w:val="4"/>
                <w:szCs w:val="4"/>
              </w:rPr>
            </w:r>
          </w:p>
        </w:tc>
      </w:tr>
      <w:tr>
        <w:trPr/>
        <w:tc>
          <w:tcPr>
            <w:tcW w:w="1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ITEM 9.</w:t>
            </w:r>
          </w:p>
        </w:tc>
        <w:tc>
          <w:tcPr>
            <w:tcW w:w="9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Changes in and Disagreements With Accountants on Accounting and Financial Disclosure</w:t>
            </w:r>
          </w:p>
        </w:tc>
      </w:tr>
    </w:tbl>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884" w:type="dxa"/>
        <w:jc w:val="center"/>
        <w:tblInd w:w="0" w:type="dxa"/>
        <w:tblLayout w:type="fixed"/>
        <w:tblCellMar>
          <w:top w:w="28" w:type="dxa"/>
          <w:left w:w="28" w:type="dxa"/>
          <w:bottom w:w="28" w:type="dxa"/>
          <w:right w:w="28" w:type="dxa"/>
        </w:tblCellMar>
      </w:tblPr>
      <w:tblGrid>
        <w:gridCol w:w="428"/>
        <w:gridCol w:w="377"/>
        <w:gridCol w:w="379"/>
        <w:gridCol w:w="790"/>
        <w:gridCol w:w="790"/>
        <w:gridCol w:w="1120"/>
      </w:tblGrid>
      <w:tr>
        <w:trPr/>
        <w:tc>
          <w:tcPr>
            <w:tcW w:w="428"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r>
      <w:tr>
        <w:trPr/>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ITEM 9A.</w:t>
            </w:r>
          </w:p>
        </w:tc>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Controls and Procedures</w:t>
            </w:r>
          </w:p>
        </w:tc>
      </w:tr>
    </w:tbl>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VICI Properties Inc.</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Evaluation of Disclosure Controls and Procedures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VICI maintains disclosure controls and procedures (as defined in Rules 13a-15(e) and 15d-15(e) of the Securities Exchange Act of 1934, as amended (the “Exchange Act”)) designed to provide reasonable assurance that information required to be disclosed in reports filed under the Exchange Act is recorded, processed, summarized and reported within the specified time periods, and is accumulated and communicated to VICI’s management, including VICI’s principal executive officer and principal financial officer, as appropriate, to allow timely decisions regarding required disclosure.</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VICI’s management has evaluated, under the supervision and with the participation of VICI’s principal executive officer and principal financial officer, the effectiveness of our disclosure controls and procedures pursuant to Exchange Act Rule 13a-15(e) as of the end of the period covered by this report. Based upon this evaluation, VICI’s principal executive officer and principal financial officer concluded that VICI’s disclosure controls and procedures were effective as of the end of the period covered by this report.</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Management's Report on Internal Control over Financial Reporting</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VICI’s management is responsible for establishing and maintaining adequate internal control over financial reporting (as defined in Rules 13a-15(f) and 15d-15(f) under the Exchange Act). VICI’s internal control over financial reporting is a process designed under the supervision of its principal executive officer and principal financial officer to provide reasonable assurance regarding the reliability of financial reporting and the preparation of VICI’s consolidated financial statements for external reporting purposes in accordance with GAAP.</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VICI’s internal control over financial reporting includes policies and procedures that pertain to the maintenance of records that, in reasonable detail, accurately and fairly reflect transactions and dispositions of assets; provide reasonable assurances that transactions are recorded as necessary to permit preparation of financial statements in accordance with GAAP, and that receipts and expenditures are being made only in accordance with authorizations of VICI management; and provide reasonable assurance regarding prevention or timely detection of unauthorized acquisition, use or disposition of assets that could have a material effect on VICI’s consolidated financial statements.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VICI’s management conducted an assessment of the effectiveness of its internal control over financial reporting as of December 31, 2023 based on the framework established in the updated Internal Control – Integrated Framework (2013) issued by the Committee of Sponsoring Organizations of the Treadway Commission (COSO). Based on this assessment, management has determined that VICI’s internal control over financial reporting was effective as of December 31, 2023.</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Attestation Report of the Registered Public Accounting Firm</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Deloitte &amp; Touche LLP, an independent registered public accounting firm, has audited VICI’s financial statements included in this report on Form 10-K and issued its attestation report, which is included herein and expresses an unqualified opinion on the effectiveness of VICI’s internal control over financial reporting as of December 31, 2023.</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Changes in Internal Control Over Financial Reporting</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changes in VICI’s internal control over financial reporting (as defined in Rules 13a-15(f) and 15d-15(f) under the Exchange Act) that occurred during the three months ended December 31, 2023, that have materially affected, or are reasonably likely to materially affect, VICI’s internal control over financial reporting.</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VICI Properties L.P.</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Evaluation of Disclosure Controls and Procedures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VICI LP maintains disclosure controls and procedures (as defined in Rules 13a-15(e) and 15d-15(e) of the Exchange Act) designed to provide reasonable assurance that information required to be disclosed in reports filed under the Exchange Act 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222885"/>
                <wp:effectExtent l="0" t="0" r="0" b="0"/>
                <wp:wrapNone/>
                <wp:docPr id="62" name="Frame6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lineRule="auto" w:line="288" w:before="60" w:after="283"/>
        <w:jc w:val="both"/>
        <w:rPr/>
      </w:pPr>
      <w:hyperlink w:anchor="ib2fc48f0ddf244d9844b8de22bde2e36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recorded, processed, summarized and reported within the specified time periods, and is accumulated and communicated to its management, including VICI LP’s principal executive officer and principal financial officer, as appropriate, to allow timely decisions regarding required disclosure.</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VICI LP’s management has evaluated, under the supervision and with the participation of VICI LP’s principal executive officer and principal financial officer, the effectiveness of VICI LP’s disclosure controls and procedures pursuant to Exchange Act Rule 13a-15(e) as of the end of the period covered by this report. Based upon this evaluation, VICI LP’s principal executive officer and principal financial officer concluded that VICI LP’s disclosure controls and procedures were effective as of the end of the period covered by this report.</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Management's Report on Internal Control over Financial Reporting</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VICI LP’s management is responsible for establishing and maintaining adequate internal control over financial reporting (as defined in Rules 13a-15(f) and 15d-15(f) under the Exchange Act). VICI LP’s internal control over financial reporting is a process designed under the supervision of its principal executive officer and principal financial officer to provide reasonable assurance regarding the reliability of financial reporting and the preparation of VICI LP’s consolidated financial statements for external reporting purposes in accordance with GAAP.</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VICI LP’s internal control over financial reporting includes policies and procedures that pertain to the maintenance of records that, in reasonable detail, accurately and fairly reflect transactions and dispositions of assets; provide reasonable assurances that transactions are recorded as necessary to permit preparation of financial statements in accordance with GAAP, and that receipts and expenditures are being made only in accordance with authorizations of VICI LP’s management; and provide reasonable assurance regarding prevention or timely detection of unauthorized acquisition, use or disposition of assets that could have a material effect on VICI LP’s consolidated financial statements.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VICI LP’s management conducted an assessment of the effectiveness of our internal control over financial reporting as of December 31, 2023 based on the framework established in the updated Internal Control – Integrated Framework (2013) issued by the Committee of Sponsoring Organizations of the Treadway Commission (COSO). Based on this assessment, management has determined that VICI LP’s internal control over financial reporting was effective as of December 31, 2023.</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Attestation Report of the Registered Public Accounting Firm</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Deloitte &amp; Touche LLP, an independent registered public accounting firm, has audited VICI LP’s financial statements included in this report on Form 10-K and issued its attestation report, which is included herein and expresses an unqualified opinion on the effectiveness of VICI LP’s internal control over financial reporting as of December 31, 2023.</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Changes in Internal Control Over Financial Reporting</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changes in VICI LP’s internal control over financial reporting (as defined in Rules 13a-15(f) and 15d-15(f) under the Exchange Act) that occurred during the three months ended December 31, 2023, that have materially affected, or are reasonably likely to materially affect, VICI LP’s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210" w:type="dxa"/>
        <w:jc w:val="center"/>
        <w:tblInd w:w="0" w:type="dxa"/>
        <w:tblLayout w:type="fixed"/>
        <w:tblCellMar>
          <w:top w:w="28" w:type="dxa"/>
          <w:left w:w="28" w:type="dxa"/>
          <w:bottom w:w="28" w:type="dxa"/>
          <w:right w:w="28" w:type="dxa"/>
        </w:tblCellMar>
      </w:tblPr>
      <w:tblGrid>
        <w:gridCol w:w="423"/>
        <w:gridCol w:w="373"/>
        <w:gridCol w:w="374"/>
        <w:gridCol w:w="597"/>
        <w:gridCol w:w="597"/>
        <w:gridCol w:w="846"/>
      </w:tblGrid>
      <w:tr>
        <w:trPr/>
        <w:tc>
          <w:tcPr>
            <w:tcW w:w="42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ITEM 9B.</w:t>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Other Information</w:t>
            </w:r>
          </w:p>
        </w:tc>
      </w:tr>
    </w:tbl>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8249" w:type="dxa"/>
        <w:jc w:val="center"/>
        <w:tblInd w:w="0" w:type="dxa"/>
        <w:tblLayout w:type="fixed"/>
        <w:tblCellMar>
          <w:top w:w="28" w:type="dxa"/>
          <w:left w:w="28" w:type="dxa"/>
          <w:bottom w:w="28" w:type="dxa"/>
          <w:right w:w="28" w:type="dxa"/>
        </w:tblCellMar>
      </w:tblPr>
      <w:tblGrid>
        <w:gridCol w:w="428"/>
        <w:gridCol w:w="377"/>
        <w:gridCol w:w="379"/>
        <w:gridCol w:w="2069"/>
        <w:gridCol w:w="2069"/>
        <w:gridCol w:w="2927"/>
      </w:tblGrid>
      <w:tr>
        <w:trPr/>
        <w:tc>
          <w:tcPr>
            <w:tcW w:w="428"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2069" w:type="dxa"/>
            <w:tcBorders/>
            <w:vAlign w:val="center"/>
          </w:tcPr>
          <w:p>
            <w:pPr>
              <w:pStyle w:val="TableContents"/>
              <w:bidi w:val="0"/>
              <w:spacing w:before="0" w:after="283"/>
              <w:jc w:val="left"/>
              <w:rPr>
                <w:sz w:val="4"/>
                <w:szCs w:val="4"/>
              </w:rPr>
            </w:pPr>
            <w:r>
              <w:rPr>
                <w:sz w:val="4"/>
                <w:szCs w:val="4"/>
              </w:rPr>
            </w:r>
          </w:p>
        </w:tc>
        <w:tc>
          <w:tcPr>
            <w:tcW w:w="2069" w:type="dxa"/>
            <w:tcBorders/>
            <w:vAlign w:val="center"/>
          </w:tcPr>
          <w:p>
            <w:pPr>
              <w:pStyle w:val="TableContents"/>
              <w:bidi w:val="0"/>
              <w:spacing w:before="0" w:after="283"/>
              <w:jc w:val="left"/>
              <w:rPr>
                <w:sz w:val="4"/>
                <w:szCs w:val="4"/>
              </w:rPr>
            </w:pPr>
            <w:r>
              <w:rPr>
                <w:sz w:val="4"/>
                <w:szCs w:val="4"/>
              </w:rPr>
            </w:r>
          </w:p>
        </w:tc>
        <w:tc>
          <w:tcPr>
            <w:tcW w:w="2927" w:type="dxa"/>
            <w:tcBorders/>
            <w:vAlign w:val="center"/>
          </w:tcPr>
          <w:p>
            <w:pPr>
              <w:pStyle w:val="TableContents"/>
              <w:bidi w:val="0"/>
              <w:spacing w:before="0" w:after="283"/>
              <w:jc w:val="left"/>
              <w:rPr>
                <w:sz w:val="4"/>
                <w:szCs w:val="4"/>
              </w:rPr>
            </w:pPr>
            <w:r>
              <w:rPr>
                <w:sz w:val="4"/>
                <w:szCs w:val="4"/>
              </w:rPr>
            </w:r>
          </w:p>
        </w:tc>
      </w:tr>
      <w:tr>
        <w:trPr/>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ITEM 9C.</w:t>
            </w:r>
          </w:p>
        </w:tc>
        <w:tc>
          <w:tcPr>
            <w:tcW w:w="7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Disclosure Regarding Foreign Jurisdictions that Prevent Inspections</w:t>
            </w:r>
          </w:p>
        </w:tc>
      </w:tr>
    </w:tbl>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222885"/>
                <wp:effectExtent l="0" t="0" r="0" b="0"/>
                <wp:wrapNone/>
                <wp:docPr id="63" name="Frame6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lineRule="auto" w:line="288" w:before="60" w:after="283"/>
        <w:jc w:val="both"/>
        <w:rPr/>
      </w:pPr>
      <w:hyperlink w:anchor="ib2fc48f0ddf244d9844b8de22bde2e36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PART III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7049" w:type="dxa"/>
        <w:jc w:val="center"/>
        <w:tblInd w:w="0" w:type="dxa"/>
        <w:tblLayout w:type="fixed"/>
        <w:tblCellMar>
          <w:top w:w="28" w:type="dxa"/>
          <w:left w:w="28" w:type="dxa"/>
          <w:bottom w:w="28" w:type="dxa"/>
          <w:right w:w="28" w:type="dxa"/>
        </w:tblCellMar>
      </w:tblPr>
      <w:tblGrid>
        <w:gridCol w:w="407"/>
        <w:gridCol w:w="358"/>
        <w:gridCol w:w="360"/>
        <w:gridCol w:w="1733"/>
        <w:gridCol w:w="1733"/>
        <w:gridCol w:w="2458"/>
      </w:tblGrid>
      <w:tr>
        <w:trPr/>
        <w:tc>
          <w:tcPr>
            <w:tcW w:w="40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733" w:type="dxa"/>
            <w:tcBorders/>
            <w:vAlign w:val="center"/>
          </w:tcPr>
          <w:p>
            <w:pPr>
              <w:pStyle w:val="TableContents"/>
              <w:bidi w:val="0"/>
              <w:spacing w:before="0" w:after="283"/>
              <w:jc w:val="left"/>
              <w:rPr>
                <w:sz w:val="4"/>
                <w:szCs w:val="4"/>
              </w:rPr>
            </w:pPr>
            <w:r>
              <w:rPr>
                <w:sz w:val="4"/>
                <w:szCs w:val="4"/>
              </w:rPr>
            </w:r>
          </w:p>
        </w:tc>
        <w:tc>
          <w:tcPr>
            <w:tcW w:w="1733" w:type="dxa"/>
            <w:tcBorders/>
            <w:vAlign w:val="center"/>
          </w:tcPr>
          <w:p>
            <w:pPr>
              <w:pStyle w:val="TableContents"/>
              <w:bidi w:val="0"/>
              <w:spacing w:before="0" w:after="283"/>
              <w:jc w:val="left"/>
              <w:rPr>
                <w:sz w:val="4"/>
                <w:szCs w:val="4"/>
              </w:rPr>
            </w:pPr>
            <w:r>
              <w:rPr>
                <w:sz w:val="4"/>
                <w:szCs w:val="4"/>
              </w:rPr>
            </w:r>
          </w:p>
        </w:tc>
        <w:tc>
          <w:tcPr>
            <w:tcW w:w="2458" w:type="dxa"/>
            <w:tcBorders/>
            <w:vAlign w:val="center"/>
          </w:tcPr>
          <w:p>
            <w:pPr>
              <w:pStyle w:val="TableContents"/>
              <w:bidi w:val="0"/>
              <w:spacing w:before="0" w:after="283"/>
              <w:jc w:val="left"/>
              <w:rPr>
                <w:sz w:val="4"/>
                <w:szCs w:val="4"/>
              </w:rPr>
            </w:pPr>
            <w:r>
              <w:rPr>
                <w:sz w:val="4"/>
                <w:szCs w:val="4"/>
              </w:rPr>
            </w:r>
          </w:p>
        </w:tc>
      </w:tr>
      <w:tr>
        <w:trPr/>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ITEM 10.</w:t>
            </w:r>
          </w:p>
        </w:tc>
        <w:tc>
          <w:tcPr>
            <w:tcW w:w="59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Directors, Executive Officers and Corporate Governance</w:t>
            </w:r>
          </w:p>
        </w:tc>
      </w:tr>
    </w:tbl>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is incorporated by reference to the Company’s definitive proxy statement to be filed not later than April 29, 2024 with the SEC pursuant to Regulation 14A under the Exchange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795" w:type="dxa"/>
        <w:jc w:val="center"/>
        <w:tblInd w:w="0" w:type="dxa"/>
        <w:tblLayout w:type="fixed"/>
        <w:tblCellMar>
          <w:top w:w="28" w:type="dxa"/>
          <w:left w:w="28" w:type="dxa"/>
          <w:bottom w:w="28" w:type="dxa"/>
          <w:right w:w="28" w:type="dxa"/>
        </w:tblCellMar>
      </w:tblPr>
      <w:tblGrid>
        <w:gridCol w:w="407"/>
        <w:gridCol w:w="358"/>
        <w:gridCol w:w="360"/>
        <w:gridCol w:w="781"/>
        <w:gridCol w:w="781"/>
        <w:gridCol w:w="1108"/>
      </w:tblGrid>
      <w:tr>
        <w:trPr/>
        <w:tc>
          <w:tcPr>
            <w:tcW w:w="40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r>
      <w:tr>
        <w:trPr/>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ITEM 11.</w:t>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Executive Compensation</w:t>
            </w:r>
          </w:p>
        </w:tc>
      </w:tr>
    </w:tbl>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is incorporated by reference to the Company’s definitive proxy statement to be filed not later than April 29, 2024 with the SEC pursuant to Regulation 14A under the Exchange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center"/>
        <w:tblInd w:w="0" w:type="dxa"/>
        <w:tblLayout w:type="fixed"/>
        <w:tblCellMar>
          <w:top w:w="28" w:type="dxa"/>
          <w:left w:w="28" w:type="dxa"/>
          <w:bottom w:w="28" w:type="dxa"/>
          <w:right w:w="28" w:type="dxa"/>
        </w:tblCellMar>
      </w:tblPr>
      <w:tblGrid>
        <w:gridCol w:w="387"/>
        <w:gridCol w:w="341"/>
        <w:gridCol w:w="343"/>
        <w:gridCol w:w="2673"/>
        <w:gridCol w:w="2673"/>
        <w:gridCol w:w="3788"/>
      </w:tblGrid>
      <w:tr>
        <w:trPr/>
        <w:tc>
          <w:tcPr>
            <w:tcW w:w="387"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2673" w:type="dxa"/>
            <w:tcBorders/>
            <w:vAlign w:val="center"/>
          </w:tcPr>
          <w:p>
            <w:pPr>
              <w:pStyle w:val="TableContents"/>
              <w:bidi w:val="0"/>
              <w:spacing w:before="0" w:after="283"/>
              <w:jc w:val="left"/>
              <w:rPr>
                <w:sz w:val="4"/>
                <w:szCs w:val="4"/>
              </w:rPr>
            </w:pPr>
            <w:r>
              <w:rPr>
                <w:sz w:val="4"/>
                <w:szCs w:val="4"/>
              </w:rPr>
            </w:r>
          </w:p>
        </w:tc>
        <w:tc>
          <w:tcPr>
            <w:tcW w:w="2673" w:type="dxa"/>
            <w:tcBorders/>
            <w:vAlign w:val="center"/>
          </w:tcPr>
          <w:p>
            <w:pPr>
              <w:pStyle w:val="TableContents"/>
              <w:bidi w:val="0"/>
              <w:spacing w:before="0" w:after="283"/>
              <w:jc w:val="left"/>
              <w:rPr>
                <w:sz w:val="4"/>
                <w:szCs w:val="4"/>
              </w:rPr>
            </w:pPr>
            <w:r>
              <w:rPr>
                <w:sz w:val="4"/>
                <w:szCs w:val="4"/>
              </w:rPr>
            </w:r>
          </w:p>
        </w:tc>
        <w:tc>
          <w:tcPr>
            <w:tcW w:w="3788" w:type="dxa"/>
            <w:tcBorders/>
            <w:vAlign w:val="center"/>
          </w:tcPr>
          <w:p>
            <w:pPr>
              <w:pStyle w:val="TableContents"/>
              <w:bidi w:val="0"/>
              <w:spacing w:before="0" w:after="283"/>
              <w:jc w:val="left"/>
              <w:rPr>
                <w:sz w:val="4"/>
                <w:szCs w:val="4"/>
              </w:rPr>
            </w:pPr>
            <w:r>
              <w:rPr>
                <w:sz w:val="4"/>
                <w:szCs w:val="4"/>
              </w:rPr>
            </w:r>
          </w:p>
        </w:tc>
      </w:tr>
      <w:tr>
        <w:trPr/>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ITEM 12.</w:t>
            </w:r>
          </w:p>
        </w:tc>
        <w:tc>
          <w:tcPr>
            <w:tcW w:w="9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Security Ownership of Certain Beneficial Owners and Management and Related Stockholder Matters</w:t>
            </w:r>
          </w:p>
        </w:tc>
      </w:tr>
    </w:tbl>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is incorporated by reference to the Company’s definitive proxy statement to be filed not later than April 29, 2024 with the SEC pursuant to Regulation 14A under the Exchange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8999" w:type="dxa"/>
        <w:jc w:val="center"/>
        <w:tblInd w:w="0" w:type="dxa"/>
        <w:tblLayout w:type="fixed"/>
        <w:tblCellMar>
          <w:top w:w="28" w:type="dxa"/>
          <w:left w:w="28" w:type="dxa"/>
          <w:bottom w:w="28" w:type="dxa"/>
          <w:right w:w="28" w:type="dxa"/>
        </w:tblCellMar>
      </w:tblPr>
      <w:tblGrid>
        <w:gridCol w:w="407"/>
        <w:gridCol w:w="358"/>
        <w:gridCol w:w="360"/>
        <w:gridCol w:w="2303"/>
        <w:gridCol w:w="2303"/>
        <w:gridCol w:w="3268"/>
      </w:tblGrid>
      <w:tr>
        <w:trPr/>
        <w:tc>
          <w:tcPr>
            <w:tcW w:w="40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2303" w:type="dxa"/>
            <w:tcBorders/>
            <w:vAlign w:val="center"/>
          </w:tcPr>
          <w:p>
            <w:pPr>
              <w:pStyle w:val="TableContents"/>
              <w:bidi w:val="0"/>
              <w:spacing w:before="0" w:after="283"/>
              <w:jc w:val="left"/>
              <w:rPr>
                <w:sz w:val="4"/>
                <w:szCs w:val="4"/>
              </w:rPr>
            </w:pPr>
            <w:r>
              <w:rPr>
                <w:sz w:val="4"/>
                <w:szCs w:val="4"/>
              </w:rPr>
            </w:r>
          </w:p>
        </w:tc>
        <w:tc>
          <w:tcPr>
            <w:tcW w:w="2303" w:type="dxa"/>
            <w:tcBorders/>
            <w:vAlign w:val="center"/>
          </w:tcPr>
          <w:p>
            <w:pPr>
              <w:pStyle w:val="TableContents"/>
              <w:bidi w:val="0"/>
              <w:spacing w:before="0" w:after="283"/>
              <w:jc w:val="left"/>
              <w:rPr>
                <w:sz w:val="4"/>
                <w:szCs w:val="4"/>
              </w:rPr>
            </w:pPr>
            <w:r>
              <w:rPr>
                <w:sz w:val="4"/>
                <w:szCs w:val="4"/>
              </w:rPr>
            </w:r>
          </w:p>
        </w:tc>
        <w:tc>
          <w:tcPr>
            <w:tcW w:w="3268" w:type="dxa"/>
            <w:tcBorders/>
            <w:vAlign w:val="center"/>
          </w:tcPr>
          <w:p>
            <w:pPr>
              <w:pStyle w:val="TableContents"/>
              <w:bidi w:val="0"/>
              <w:spacing w:before="0" w:after="283"/>
              <w:jc w:val="left"/>
              <w:rPr>
                <w:sz w:val="4"/>
                <w:szCs w:val="4"/>
              </w:rPr>
            </w:pPr>
            <w:r>
              <w:rPr>
                <w:sz w:val="4"/>
                <w:szCs w:val="4"/>
              </w:rPr>
            </w:r>
          </w:p>
        </w:tc>
      </w:tr>
      <w:tr>
        <w:trPr/>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ITEM 13.</w:t>
            </w:r>
          </w:p>
        </w:tc>
        <w:tc>
          <w:tcPr>
            <w:tcW w:w="7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Certain Relationships and Related Transactions and Director Independence</w:t>
            </w:r>
          </w:p>
        </w:tc>
      </w:tr>
    </w:tbl>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is incorporated by reference to the Company’s definitive proxy statement to be filed not later than April 29, 2024 with the SEC pursuant to Regulation 14A under the Exchange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294" w:type="dxa"/>
        <w:jc w:val="center"/>
        <w:tblInd w:w="0" w:type="dxa"/>
        <w:tblLayout w:type="fixed"/>
        <w:tblCellMar>
          <w:top w:w="28" w:type="dxa"/>
          <w:left w:w="28" w:type="dxa"/>
          <w:bottom w:w="28" w:type="dxa"/>
          <w:right w:w="28" w:type="dxa"/>
        </w:tblCellMar>
      </w:tblPr>
      <w:tblGrid>
        <w:gridCol w:w="407"/>
        <w:gridCol w:w="358"/>
        <w:gridCol w:w="360"/>
        <w:gridCol w:w="1220"/>
        <w:gridCol w:w="1220"/>
        <w:gridCol w:w="1729"/>
      </w:tblGrid>
      <w:tr>
        <w:trPr/>
        <w:tc>
          <w:tcPr>
            <w:tcW w:w="40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729" w:type="dxa"/>
            <w:tcBorders/>
            <w:vAlign w:val="center"/>
          </w:tcPr>
          <w:p>
            <w:pPr>
              <w:pStyle w:val="TableContents"/>
              <w:bidi w:val="0"/>
              <w:spacing w:before="0" w:after="283"/>
              <w:jc w:val="left"/>
              <w:rPr>
                <w:sz w:val="4"/>
                <w:szCs w:val="4"/>
              </w:rPr>
            </w:pPr>
            <w:r>
              <w:rPr>
                <w:sz w:val="4"/>
                <w:szCs w:val="4"/>
              </w:rPr>
            </w:r>
          </w:p>
        </w:tc>
      </w:tr>
      <w:tr>
        <w:trPr/>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ITEM 14.</w:t>
            </w:r>
          </w:p>
        </w:tc>
        <w:tc>
          <w:tcPr>
            <w:tcW w:w="41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Principal Accountant Fees and Services</w:t>
            </w:r>
          </w:p>
        </w:tc>
      </w:tr>
    </w:tbl>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is incorporated by reference to the Company’s definitive proxy statement to be filed not later than April 29, 2024 with the SEC pursuant to Regulation 14A under the Exchange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222885"/>
                <wp:effectExtent l="0" t="0" r="0" b="0"/>
                <wp:wrapNone/>
                <wp:docPr id="64" name="Frame6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lineRule="auto" w:line="288" w:before="60" w:after="283"/>
        <w:jc w:val="both"/>
        <w:rPr/>
      </w:pPr>
      <w:hyperlink w:anchor="ib2fc48f0ddf244d9844b8de22bde2e36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60"/>
        <w:jc w:val="center"/>
        <w:rPr>
          <w:rFonts w:ascii="Times New Roman;sans-serif" w:hAnsi="Times New Roman;sans-serif"/>
          <w:b/>
          <w:color w:val="000000"/>
          <w:sz w:val="24"/>
        </w:rPr>
      </w:pPr>
      <w:r>
        <w:rPr>
          <w:rFonts w:ascii="Times New Roman;sans-serif" w:hAnsi="Times New Roman;sans-serif"/>
          <w:b/>
          <w:color w:val="000000"/>
          <w:sz w:val="24"/>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714" w:type="dxa"/>
        <w:jc w:val="center"/>
        <w:tblInd w:w="0" w:type="dxa"/>
        <w:tblLayout w:type="fixed"/>
        <w:tblCellMar>
          <w:top w:w="28" w:type="dxa"/>
          <w:left w:w="28" w:type="dxa"/>
          <w:bottom w:w="28" w:type="dxa"/>
          <w:right w:w="28" w:type="dxa"/>
        </w:tblCellMar>
      </w:tblPr>
      <w:tblGrid>
        <w:gridCol w:w="407"/>
        <w:gridCol w:w="358"/>
        <w:gridCol w:w="360"/>
        <w:gridCol w:w="1344"/>
        <w:gridCol w:w="1344"/>
        <w:gridCol w:w="1901"/>
      </w:tblGrid>
      <w:tr>
        <w:trPr/>
        <w:tc>
          <w:tcPr>
            <w:tcW w:w="40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1901" w:type="dxa"/>
            <w:tcBorders/>
            <w:vAlign w:val="center"/>
          </w:tcPr>
          <w:p>
            <w:pPr>
              <w:pStyle w:val="TableContents"/>
              <w:bidi w:val="0"/>
              <w:spacing w:before="0" w:after="283"/>
              <w:jc w:val="left"/>
              <w:rPr>
                <w:sz w:val="4"/>
                <w:szCs w:val="4"/>
              </w:rPr>
            </w:pPr>
            <w:r>
              <w:rPr>
                <w:sz w:val="4"/>
                <w:szCs w:val="4"/>
              </w:rPr>
            </w:r>
          </w:p>
        </w:tc>
      </w:tr>
      <w:tr>
        <w:trPr/>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ITEM 15.</w:t>
            </w:r>
          </w:p>
        </w:tc>
        <w:tc>
          <w:tcPr>
            <w:tcW w:w="4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Exhibits and Financial Statement Schedules</w:t>
            </w:r>
          </w:p>
        </w:tc>
      </w:tr>
    </w:tbl>
    <w:p>
      <w:pPr>
        <w:pStyle w:val="TextBody"/>
        <w:bidi w:val="0"/>
        <w:spacing w:lineRule="auto" w:line="288" w:before="180" w:after="283"/>
        <w:jc w:val="left"/>
        <w:rPr/>
      </w:pPr>
      <w:r>
        <w:rPr>
          <w:rFonts w:ascii="Times New Roman;sans-serif" w:hAnsi="Times New Roman;sans-serif"/>
          <w:b w:val="false"/>
          <w:color w:val="000000"/>
          <w:sz w:val="20"/>
        </w:rPr>
        <w:t xml:space="preserve">(a)(1).     </w:t>
      </w:r>
      <w:r>
        <w:rPr>
          <w:rFonts w:ascii="Times New Roman;sans-serif" w:hAnsi="Times New Roman;sans-serif"/>
          <w:b/>
          <w:color w:val="000000"/>
          <w:sz w:val="20"/>
        </w:rPr>
        <w:t>Financial Statements.</w:t>
      </w:r>
    </w:p>
    <w:p>
      <w:pPr>
        <w:pStyle w:val="TextBody"/>
        <w:bidi w:val="0"/>
        <w:spacing w:lineRule="auto" w:line="288" w:before="180" w:after="283"/>
        <w:jc w:val="both"/>
        <w:rPr/>
      </w:pPr>
      <w:r>
        <w:rPr>
          <w:rFonts w:ascii="Times New Roman;sans-serif" w:hAnsi="Times New Roman;sans-serif"/>
          <w:b w:val="false"/>
          <w:color w:val="000000"/>
          <w:sz w:val="20"/>
        </w:rPr>
        <w:t xml:space="preserve">See the accompanying </w:t>
      </w:r>
      <w:hyperlink w:anchor="ib2fc48f0ddf244d9844b8de22bde2e36_106">
        <w:r>
          <w:rPr>
            <w:rStyle w:val="InternetLink"/>
            <w:rFonts w:ascii="Times New Roman;sans-serif" w:hAnsi="Times New Roman;sans-serif"/>
            <w:b w:val="false"/>
            <w:color w:val="0000FF"/>
            <w:sz w:val="20"/>
            <w:u w:val="single"/>
          </w:rPr>
          <w:t>Index to Consolidated Financial Statements and Schedules</w:t>
        </w:r>
      </w:hyperlink>
      <w:r>
        <w:rPr>
          <w:color w:val="000000"/>
        </w:rPr>
        <w:t> </w:t>
      </w:r>
      <w:r>
        <w:rPr>
          <w:rFonts w:ascii="Times New Roman;sans-serif" w:hAnsi="Times New Roman;sans-serif"/>
          <w:b w:val="false"/>
          <w:color w:val="000000"/>
          <w:sz w:val="20"/>
        </w:rPr>
        <w:t>on page F-1.</w:t>
      </w:r>
    </w:p>
    <w:p>
      <w:pPr>
        <w:pStyle w:val="TextBody"/>
        <w:bidi w:val="0"/>
        <w:spacing w:lineRule="auto" w:line="288" w:before="180" w:after="283"/>
        <w:jc w:val="left"/>
        <w:rPr/>
      </w:pPr>
      <w:r>
        <w:rPr>
          <w:rFonts w:ascii="Times New Roman;sans-serif" w:hAnsi="Times New Roman;sans-serif"/>
          <w:b w:val="false"/>
          <w:color w:val="000000"/>
          <w:sz w:val="20"/>
        </w:rPr>
        <w:t xml:space="preserve">(a)(2).     </w:t>
      </w:r>
      <w:r>
        <w:rPr>
          <w:rFonts w:ascii="Times New Roman;sans-serif" w:hAnsi="Times New Roman;sans-serif"/>
          <w:b/>
          <w:color w:val="000000"/>
          <w:sz w:val="20"/>
        </w:rPr>
        <w:t>Financial Statement Schedules.</w:t>
      </w:r>
    </w:p>
    <w:p>
      <w:pPr>
        <w:pStyle w:val="TextBody"/>
        <w:bidi w:val="0"/>
        <w:spacing w:lineRule="auto" w:line="288" w:before="180" w:after="283"/>
        <w:jc w:val="both"/>
        <w:rPr/>
      </w:pPr>
      <w:r>
        <w:rPr>
          <w:rFonts w:ascii="Times New Roman;sans-serif" w:hAnsi="Times New Roman;sans-serif"/>
          <w:b w:val="false"/>
          <w:color w:val="000000"/>
          <w:sz w:val="20"/>
        </w:rPr>
        <w:t xml:space="preserve">See the accompanying </w:t>
      </w:r>
      <w:hyperlink w:anchor="ib2fc48f0ddf244d9844b8de22bde2e36_106">
        <w:r>
          <w:rPr>
            <w:rStyle w:val="InternetLink"/>
            <w:rFonts w:ascii="Times New Roman;sans-serif" w:hAnsi="Times New Roman;sans-serif"/>
            <w:b w:val="false"/>
            <w:color w:val="0000FF"/>
            <w:sz w:val="20"/>
            <w:u w:val="single"/>
          </w:rPr>
          <w:t>Index to Consolidated Financial Statements and Schedules</w:t>
        </w:r>
      </w:hyperlink>
      <w:r>
        <w:rPr>
          <w:color w:val="000000"/>
        </w:rPr>
        <w:t> </w:t>
      </w:r>
      <w:r>
        <w:rPr>
          <w:rFonts w:ascii="Times New Roman;sans-serif" w:hAnsi="Times New Roman;sans-serif"/>
          <w:b w:val="false"/>
          <w:color w:val="000000"/>
          <w:sz w:val="20"/>
        </w:rPr>
        <w:t>on page F-1.</w:t>
      </w:r>
    </w:p>
    <w:p>
      <w:pPr>
        <w:pStyle w:val="TextBody"/>
        <w:bidi w:val="0"/>
        <w:spacing w:lineRule="auto" w:line="288" w:before="180" w:after="283"/>
        <w:jc w:val="left"/>
        <w:rPr/>
      </w:pPr>
      <w:r>
        <w:rPr>
          <w:rFonts w:ascii="Times New Roman;sans-serif" w:hAnsi="Times New Roman;sans-serif"/>
          <w:b w:val="false"/>
          <w:color w:val="000000"/>
          <w:sz w:val="20"/>
        </w:rPr>
        <w:t xml:space="preserve">(a)(3).     </w:t>
      </w:r>
      <w:r>
        <w:rPr>
          <w:rFonts w:ascii="Times New Roman;sans-serif" w:hAnsi="Times New Roman;sans-serif"/>
          <w:b/>
          <w:color w:val="000000"/>
          <w:sz w:val="20"/>
        </w:rPr>
        <w:t>Exhibits.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1810"/>
        <w:gridCol w:w="1584"/>
        <w:gridCol w:w="1590"/>
        <w:gridCol w:w="109"/>
        <w:gridCol w:w="109"/>
        <w:gridCol w:w="109"/>
        <w:gridCol w:w="293"/>
        <w:gridCol w:w="293"/>
        <w:gridCol w:w="294"/>
        <w:gridCol w:w="109"/>
        <w:gridCol w:w="109"/>
        <w:gridCol w:w="109"/>
        <w:gridCol w:w="170"/>
        <w:gridCol w:w="170"/>
        <w:gridCol w:w="171"/>
        <w:gridCol w:w="115"/>
        <w:gridCol w:w="115"/>
        <w:gridCol w:w="115"/>
        <w:gridCol w:w="210"/>
        <w:gridCol w:w="210"/>
        <w:gridCol w:w="211"/>
        <w:gridCol w:w="115"/>
        <w:gridCol w:w="115"/>
        <w:gridCol w:w="115"/>
        <w:gridCol w:w="219"/>
        <w:gridCol w:w="219"/>
        <w:gridCol w:w="220"/>
        <w:gridCol w:w="164"/>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0"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c>
          <w:tcPr>
            <w:tcW w:w="1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Incorporated by Reference</w:t>
            </w:r>
          </w:p>
        </w:tc>
        <w:tc>
          <w:tcPr>
            <w:tcW w:w="16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 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Filed 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Form</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Filing Date</w:t>
            </w:r>
          </w:p>
        </w:tc>
        <w:tc>
          <w:tcPr>
            <w:tcW w:w="16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hyperlink r:id="rId6">
              <w:r>
                <w:rPr>
                  <w:rStyle w:val="InternetLink"/>
                  <w:rFonts w:ascii="Times New Roman;sans-serif" w:hAnsi="Times New Roman;sans-serif"/>
                  <w:b w:val="false"/>
                  <w:color w:val="0000FF"/>
                  <w:sz w:val="20"/>
                  <w:u w:val="single"/>
                </w:rPr>
                <w:t>3.1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ans-serif" w:hAnsi="Times New Roman;sans-serif"/>
                  <w:b w:val="false"/>
                  <w:color w:val="0000FF"/>
                  <w:sz w:val="20"/>
                  <w:u w:val="single"/>
                </w:rPr>
                <w:t>Articles of Amendment and Restatement of VICI Properties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10/11/2017</w:t>
            </w:r>
          </w:p>
        </w:tc>
        <w:tc>
          <w:tcPr>
            <w:tcW w:w="16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8">
              <w:r>
                <w:rPr>
                  <w:rStyle w:val="InternetLink"/>
                  <w:rFonts w:ascii="Times New Roman;sans-serif" w:hAnsi="Times New Roman;sans-serif"/>
                  <w:b w:val="false"/>
                  <w:color w:val="0000FF"/>
                  <w:sz w:val="20"/>
                  <w:u w:val="single"/>
                </w:rPr>
                <w:t>3.2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ans-serif" w:hAnsi="Times New Roman;sans-serif"/>
                  <w:b w:val="false"/>
                  <w:color w:val="0000FF"/>
                  <w:sz w:val="20"/>
                  <w:u w:val="single"/>
                </w:rPr>
                <w:t>Articles of Amendment to the Articles of Amendment and Restatement of VICI Properties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3/3/2021</w:t>
            </w:r>
          </w:p>
        </w:tc>
        <w:tc>
          <w:tcPr>
            <w:tcW w:w="16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10">
              <w:r>
                <w:rPr>
                  <w:rStyle w:val="InternetLink"/>
                  <w:rFonts w:ascii="Times New Roman;sans-serif" w:hAnsi="Times New Roman;sans-serif"/>
                  <w:b w:val="false"/>
                  <w:color w:val="0000FF"/>
                  <w:sz w:val="20"/>
                  <w:u w:val="single"/>
                </w:rPr>
                <w:t>3.3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ans-serif" w:hAnsi="Times New Roman;sans-serif"/>
                  <w:b w:val="false"/>
                  <w:color w:val="0000FF"/>
                  <w:sz w:val="20"/>
                  <w:u w:val="single"/>
                </w:rPr>
                <w:t>Articles of Amendment to the Articles of Amendment and Restatement of VICI Properties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9/14/2021</w:t>
            </w:r>
          </w:p>
        </w:tc>
        <w:tc>
          <w:tcPr>
            <w:tcW w:w="16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12">
              <w:r>
                <w:rPr>
                  <w:rStyle w:val="InternetLink"/>
                  <w:rFonts w:ascii="Times New Roman;sans-serif" w:hAnsi="Times New Roman;sans-serif"/>
                  <w:b w:val="false"/>
                  <w:color w:val="0000FF"/>
                  <w:sz w:val="20"/>
                  <w:u w:val="single"/>
                </w:rPr>
                <w:t>3.4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ans-serif" w:hAnsi="Times New Roman;sans-serif"/>
                  <w:b w:val="false"/>
                  <w:color w:val="0000FF"/>
                  <w:sz w:val="20"/>
                  <w:u w:val="single"/>
                </w:rPr>
                <w:t>Amended and Restated Bylaws of VICI Properties Inc. (as amended December 19, 2022).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2/23/2023</w:t>
            </w:r>
          </w:p>
        </w:tc>
        <w:tc>
          <w:tcPr>
            <w:tcW w:w="16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14">
              <w:r>
                <w:rPr>
                  <w:rStyle w:val="InternetLink"/>
                  <w:rFonts w:ascii="Times New Roman;sans-serif" w:hAnsi="Times New Roman;sans-serif"/>
                  <w:b w:val="false"/>
                  <w:color w:val="0000FF"/>
                  <w:sz w:val="20"/>
                  <w:u w:val="single"/>
                </w:rPr>
                <w:t>4.1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ans-serif" w:hAnsi="Times New Roman;sans-serif"/>
                  <w:b w:val="false"/>
                  <w:color w:val="0000FF"/>
                  <w:sz w:val="20"/>
                  <w:u w:val="single"/>
                </w:rPr>
                <w:t>4.250% Senior Notes Indenture, dated as of November 26, 2019, among VICI Properties L.P., VICI Note Co. Inc., the subsidiary guarantors party thereto and UMB Bank, National Association, as trustee.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11/26/2019</w:t>
            </w:r>
          </w:p>
        </w:tc>
        <w:tc>
          <w:tcPr>
            <w:tcW w:w="16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hibit42viciexchangeoffer.htm">
              <w:r>
                <w:rPr>
                  <w:rStyle w:val="InternetLink"/>
                  <w:rFonts w:ascii="Times New Roman;sans-serif" w:hAnsi="Times New Roman;sans-serif"/>
                  <w:b w:val="false"/>
                  <w:color w:val="0000FF"/>
                  <w:sz w:val="20"/>
                  <w:u w:val="single"/>
                </w:rPr>
                <w:t>4.2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42viciexchangeoffer.htm">
              <w:r>
                <w:rPr>
                  <w:rStyle w:val="InternetLink"/>
                  <w:rFonts w:ascii="Times New Roman;sans-serif" w:hAnsi="Times New Roman;sans-serif"/>
                  <w:b w:val="false"/>
                  <w:color w:val="0000FF"/>
                  <w:sz w:val="20"/>
                  <w:u w:val="single"/>
                </w:rPr>
                <w:t>Supplemental Indenture, dated as of April 29, 2022, to the Indenture dated as of November 26, 2019, among VICI Properties L.P., VICI Note Co. Inc., and UMB Bank, National Association, as trustee.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16">
              <w:r>
                <w:rPr>
                  <w:rStyle w:val="InternetLink"/>
                  <w:rFonts w:ascii="Times New Roman;sans-serif" w:hAnsi="Times New Roman;sans-serif"/>
                  <w:b w:val="false"/>
                  <w:color w:val="0000FF"/>
                  <w:sz w:val="20"/>
                  <w:u w:val="single"/>
                </w:rPr>
                <w:t>4.3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Times New Roman;sans-serif" w:hAnsi="Times New Roman;sans-serif"/>
                  <w:b w:val="false"/>
                  <w:color w:val="0000FF"/>
                  <w:sz w:val="20"/>
                  <w:u w:val="single"/>
                </w:rPr>
                <w:t>4.625% Senior Notes Indenture, dated as of November 26, 2019, among VICI Properties L.P., VICI Note Co. Inc., the subsidiary guarantors party thereto and UMB Bank, National Association, as trustee.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11/26/2019</w:t>
            </w:r>
          </w:p>
        </w:tc>
        <w:tc>
          <w:tcPr>
            <w:tcW w:w="16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hibit44viciexchangeoffer.htm">
              <w:r>
                <w:rPr>
                  <w:rStyle w:val="InternetLink"/>
                  <w:rFonts w:ascii="Times New Roman;sans-serif" w:hAnsi="Times New Roman;sans-serif"/>
                  <w:b w:val="false"/>
                  <w:color w:val="0000FF"/>
                  <w:sz w:val="20"/>
                  <w:u w:val="single"/>
                </w:rPr>
                <w:t>4.4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44viciexchangeoffer.htm">
              <w:r>
                <w:rPr>
                  <w:rStyle w:val="InternetLink"/>
                  <w:rFonts w:ascii="Times New Roman;sans-serif" w:hAnsi="Times New Roman;sans-serif"/>
                  <w:b w:val="false"/>
                  <w:color w:val="0000FF"/>
                  <w:sz w:val="20"/>
                  <w:u w:val="single"/>
                </w:rPr>
                <w:t>Supplemental Indenture, dated as of April 29, 2022, to the Indenture dated as of November 26, 2019, among VICI Properties L.P., VICI Note Co. Inc., and UMB Bank, National Association, as trustee.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18">
              <w:r>
                <w:rPr>
                  <w:rStyle w:val="InternetLink"/>
                  <w:rFonts w:ascii="Times New Roman;sans-serif" w:hAnsi="Times New Roman;sans-serif"/>
                  <w:b w:val="false"/>
                  <w:color w:val="0000FF"/>
                  <w:sz w:val="20"/>
                  <w:u w:val="single"/>
                </w:rPr>
                <w:t>4.5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Times New Roman;sans-serif" w:hAnsi="Times New Roman;sans-serif"/>
                  <w:b w:val="false"/>
                  <w:color w:val="0000FF"/>
                  <w:sz w:val="20"/>
                  <w:u w:val="single"/>
                </w:rPr>
                <w:t>3.500% Senior Notes Indenture, dated as of February 5, 2020, among VICI Properties L.P., VICI Note Co. Inc., the subsidiary guarantors party thereto and UMB Bank, National Association, as trustee.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2/20/2020</w:t>
            </w:r>
          </w:p>
        </w:tc>
        <w:tc>
          <w:tcPr>
            <w:tcW w:w="16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hibit46viciexchangeoffer.htm">
              <w:r>
                <w:rPr>
                  <w:rStyle w:val="InternetLink"/>
                  <w:rFonts w:ascii="Times New Roman;sans-serif" w:hAnsi="Times New Roman;sans-serif"/>
                  <w:b w:val="false"/>
                  <w:color w:val="0000FF"/>
                  <w:sz w:val="20"/>
                  <w:u w:val="single"/>
                </w:rPr>
                <w:t>4.6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46viciexchangeoffer.htm">
              <w:r>
                <w:rPr>
                  <w:rStyle w:val="InternetLink"/>
                  <w:rFonts w:ascii="Times New Roman;sans-serif" w:hAnsi="Times New Roman;sans-serif"/>
                  <w:b w:val="false"/>
                  <w:color w:val="0000FF"/>
                  <w:sz w:val="20"/>
                  <w:u w:val="single"/>
                </w:rPr>
                <w:t>Supplemental Indenture, dated as of April 29, 2022, to the Indenture dated as of February 5, 2020, among VICI Properties L.P., VICI Note Co. Inc., and UMB Bank, National Association, as trustee.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20">
              <w:r>
                <w:rPr>
                  <w:rStyle w:val="InternetLink"/>
                  <w:rFonts w:ascii="Times New Roman;sans-serif" w:hAnsi="Times New Roman;sans-serif"/>
                  <w:b w:val="false"/>
                  <w:color w:val="0000FF"/>
                  <w:sz w:val="20"/>
                  <w:u w:val="single"/>
                </w:rPr>
                <w:t>4.7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Times New Roman;sans-serif" w:hAnsi="Times New Roman;sans-serif"/>
                  <w:b w:val="false"/>
                  <w:color w:val="0000FF"/>
                  <w:sz w:val="20"/>
                  <w:u w:val="single"/>
                </w:rPr>
                <w:t>3.750% Senior Notes Indenture, dated as of February 5, 2020, among VICI Properties L.P., VICI Note Co. Inc., the subsidiary guarantors party thereto and UMB Bank, National Association, as trustee.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11/26/2019</w:t>
            </w:r>
          </w:p>
        </w:tc>
        <w:tc>
          <w:tcPr>
            <w:tcW w:w="16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hibit48viciexchangeoffer.htm">
              <w:r>
                <w:rPr>
                  <w:rStyle w:val="InternetLink"/>
                  <w:rFonts w:ascii="Times New Roman;sans-serif" w:hAnsi="Times New Roman;sans-serif"/>
                  <w:b w:val="false"/>
                  <w:color w:val="0000FF"/>
                  <w:sz w:val="20"/>
                  <w:u w:val="single"/>
                </w:rPr>
                <w:t>4.8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48viciexchangeoffer.htm">
              <w:r>
                <w:rPr>
                  <w:rStyle w:val="InternetLink"/>
                  <w:rFonts w:ascii="Times New Roman;sans-serif" w:hAnsi="Times New Roman;sans-serif"/>
                  <w:b w:val="false"/>
                  <w:color w:val="0000FF"/>
                  <w:sz w:val="20"/>
                  <w:u w:val="single"/>
                </w:rPr>
                <w:t>Supplemental Indenture, dated as of April 29, 2022, to the Indenture dated as of February 5, 2020, among VICI Properties L.P., VICI Note Co. Inc., and UMB Bank, National Association, as trustee.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22">
              <w:r>
                <w:rPr>
                  <w:rStyle w:val="InternetLink"/>
                  <w:rFonts w:ascii="Times New Roman;sans-serif" w:hAnsi="Times New Roman;sans-serif"/>
                  <w:b w:val="false"/>
                  <w:color w:val="0000FF"/>
                  <w:sz w:val="20"/>
                  <w:u w:val="single"/>
                </w:rPr>
                <w:t>4.9</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3">
              <w:r>
                <w:rPr>
                  <w:rStyle w:val="InternetLink"/>
                  <w:rFonts w:ascii="Times New Roman;sans-serif" w:hAnsi="Times New Roman;sans-serif"/>
                  <w:b w:val="false"/>
                  <w:color w:val="0000FF"/>
                  <w:sz w:val="20"/>
                  <w:u w:val="single"/>
                </w:rPr>
                <w:t>4.125% Senior Notes Indenture, dated as of February 5, 2020, among VICI Properties L.P., VICI Note Co. Inc., the subsidiary guarantors party thereto and UMB Bank, National Association, as trustee.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2/20/2020</w:t>
            </w:r>
          </w:p>
        </w:tc>
        <w:tc>
          <w:tcPr>
            <w:tcW w:w="16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b2fc48f0ddf244d9844b8de22bde2e36_10">
        <w:r>
          <w:rPr>
            <w:rStyle w:val="InternetLink"/>
            <w:rFonts w:ascii="Times New Roman;sans-serif" w:hAnsi="Times New Roman;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74"/>
        <w:gridCol w:w="153"/>
        <w:gridCol w:w="154"/>
        <w:gridCol w:w="109"/>
        <w:gridCol w:w="109"/>
        <w:gridCol w:w="109"/>
        <w:gridCol w:w="2038"/>
        <w:gridCol w:w="2038"/>
        <w:gridCol w:w="2042"/>
        <w:gridCol w:w="109"/>
        <w:gridCol w:w="109"/>
        <w:gridCol w:w="109"/>
        <w:gridCol w:w="109"/>
        <w:gridCol w:w="109"/>
        <w:gridCol w:w="109"/>
        <w:gridCol w:w="109"/>
        <w:gridCol w:w="109"/>
        <w:gridCol w:w="109"/>
        <w:gridCol w:w="117"/>
        <w:gridCol w:w="117"/>
        <w:gridCol w:w="117"/>
        <w:gridCol w:w="109"/>
        <w:gridCol w:w="109"/>
        <w:gridCol w:w="109"/>
        <w:gridCol w:w="154"/>
        <w:gridCol w:w="154"/>
        <w:gridCol w:w="158"/>
        <w:gridCol w:w="109"/>
        <w:gridCol w:w="109"/>
        <w:gridCol w:w="109"/>
        <w:gridCol w:w="222"/>
        <w:gridCol w:w="222"/>
        <w:gridCol w:w="224"/>
        <w:gridCol w:w="159"/>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8" w:type="dxa"/>
            <w:tcBorders/>
            <w:vAlign w:val="center"/>
          </w:tcPr>
          <w:p>
            <w:pPr>
              <w:pStyle w:val="TableContents"/>
              <w:bidi w:val="0"/>
              <w:spacing w:before="0" w:after="283"/>
              <w:jc w:val="left"/>
              <w:rPr>
                <w:sz w:val="4"/>
                <w:szCs w:val="4"/>
              </w:rPr>
            </w:pPr>
            <w:r>
              <w:rPr>
                <w:sz w:val="4"/>
                <w:szCs w:val="4"/>
              </w:rPr>
            </w:r>
          </w:p>
        </w:tc>
        <w:tc>
          <w:tcPr>
            <w:tcW w:w="2038" w:type="dxa"/>
            <w:tcBorders/>
            <w:vAlign w:val="center"/>
          </w:tcPr>
          <w:p>
            <w:pPr>
              <w:pStyle w:val="TableContents"/>
              <w:bidi w:val="0"/>
              <w:spacing w:before="0" w:after="283"/>
              <w:jc w:val="left"/>
              <w:rPr>
                <w:sz w:val="4"/>
                <w:szCs w:val="4"/>
              </w:rPr>
            </w:pPr>
            <w:r>
              <w:rPr>
                <w:sz w:val="4"/>
                <w:szCs w:val="4"/>
              </w:rPr>
            </w:r>
          </w:p>
        </w:tc>
        <w:tc>
          <w:tcPr>
            <w:tcW w:w="20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hibit410viciexchangeoffe.htm">
              <w:r>
                <w:rPr>
                  <w:rStyle w:val="InternetLink"/>
                  <w:rFonts w:ascii="Times New Roman;sans-serif" w:hAnsi="Times New Roman;sans-serif"/>
                  <w:b w:val="false"/>
                  <w:color w:val="0000FF"/>
                  <w:sz w:val="20"/>
                  <w:u w:val="single"/>
                </w:rPr>
                <w:t>4.10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410viciexchangeoffe.htm">
              <w:r>
                <w:rPr>
                  <w:rStyle w:val="InternetLink"/>
                  <w:rFonts w:ascii="Times New Roman;sans-serif" w:hAnsi="Times New Roman;sans-serif"/>
                  <w:b w:val="false"/>
                  <w:color w:val="0000FF"/>
                  <w:sz w:val="20"/>
                  <w:u w:val="single"/>
                </w:rPr>
                <w:t>Supplemental Indenture, dated as of April 29, 2022, to the Indenture dated as of February 5, 2020, among VICI Properties L.P., VICI Note Co. Inc., and UMB Bank, National Association, as trustee.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24">
              <w:r>
                <w:rPr>
                  <w:rStyle w:val="InternetLink"/>
                  <w:rFonts w:ascii="Times New Roman;sans-serif" w:hAnsi="Times New Roman;sans-serif"/>
                  <w:b w:val="false"/>
                  <w:color w:val="0000FF"/>
                  <w:sz w:val="20"/>
                  <w:u w:val="single"/>
                </w:rPr>
                <w:t>4.11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5">
              <w:r>
                <w:rPr>
                  <w:rStyle w:val="InternetLink"/>
                  <w:rFonts w:ascii="Times New Roman;sans-serif" w:hAnsi="Times New Roman;sans-serif"/>
                  <w:b w:val="false"/>
                  <w:color w:val="0000FF"/>
                  <w:sz w:val="20"/>
                  <w:u w:val="single"/>
                </w:rPr>
                <w:t>Indenture, dated as of April 29, 2022, between VICI Properties L.P. and UMB Bank, National Association, as trustee.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4/29/2022</w:t>
            </w:r>
          </w:p>
        </w:tc>
        <w:tc>
          <w:tcPr>
            <w:tcW w:w="159"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26">
              <w:r>
                <w:rPr>
                  <w:rStyle w:val="InternetLink"/>
                  <w:rFonts w:ascii="Times New Roman;sans-serif" w:hAnsi="Times New Roman;sans-serif"/>
                  <w:b w:val="false"/>
                  <w:color w:val="0000FF"/>
                  <w:sz w:val="20"/>
                  <w:u w:val="single"/>
                </w:rPr>
                <w:t>4.12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7">
              <w:r>
                <w:rPr>
                  <w:rStyle w:val="InternetLink"/>
                  <w:rFonts w:ascii="Times New Roman;sans-serif" w:hAnsi="Times New Roman;sans-serif"/>
                  <w:b w:val="false"/>
                  <w:color w:val="0000FF"/>
                  <w:sz w:val="20"/>
                  <w:u w:val="single"/>
                </w:rPr>
                <w:t>First Supplemental Indenture, dated as of April 29, 2022, between VICI Properties L.P. and UMB Bank, National Association, as trustee.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4/29/2022</w:t>
            </w:r>
          </w:p>
        </w:tc>
        <w:tc>
          <w:tcPr>
            <w:tcW w:w="159"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28">
              <w:r>
                <w:rPr>
                  <w:rStyle w:val="InternetLink"/>
                  <w:rFonts w:ascii="Times New Roman;sans-serif" w:hAnsi="Times New Roman;sans-serif"/>
                  <w:b w:val="false"/>
                  <w:color w:val="0000FF"/>
                  <w:sz w:val="20"/>
                  <w:u w:val="single"/>
                </w:rPr>
                <w:t>4.13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9">
              <w:r>
                <w:rPr>
                  <w:rStyle w:val="InternetLink"/>
                  <w:rFonts w:ascii="Times New Roman;sans-serif" w:hAnsi="Times New Roman;sans-serif"/>
                  <w:b w:val="false"/>
                  <w:color w:val="0000FF"/>
                  <w:sz w:val="20"/>
                  <w:u w:val="single"/>
                </w:rPr>
                <w:t>Form of Global Note representing the 4.375% Senior Notes due 2025 (included in Exhibit 4.12).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4/29/2022</w:t>
            </w:r>
          </w:p>
        </w:tc>
        <w:tc>
          <w:tcPr>
            <w:tcW w:w="159"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30">
              <w:r>
                <w:rPr>
                  <w:rStyle w:val="InternetLink"/>
                  <w:rFonts w:ascii="Times New Roman;sans-serif" w:hAnsi="Times New Roman;sans-serif"/>
                  <w:b w:val="false"/>
                  <w:color w:val="0000FF"/>
                  <w:sz w:val="20"/>
                  <w:u w:val="single"/>
                </w:rPr>
                <w:t>4.14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1">
              <w:r>
                <w:rPr>
                  <w:rStyle w:val="InternetLink"/>
                  <w:rFonts w:ascii="Times New Roman;sans-serif" w:hAnsi="Times New Roman;sans-serif"/>
                  <w:b w:val="false"/>
                  <w:color w:val="0000FF"/>
                  <w:sz w:val="20"/>
                  <w:u w:val="single"/>
                </w:rPr>
                <w:t>Form of Global Note representing the 4.750% Senior Notes due 2028 (included in Exhibit 4.12).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4/29/2022</w:t>
            </w:r>
          </w:p>
        </w:tc>
        <w:tc>
          <w:tcPr>
            <w:tcW w:w="159"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32">
              <w:r>
                <w:rPr>
                  <w:rStyle w:val="InternetLink"/>
                  <w:rFonts w:ascii="Times New Roman;sans-serif" w:hAnsi="Times New Roman;sans-serif"/>
                  <w:b w:val="false"/>
                  <w:color w:val="0000FF"/>
                  <w:sz w:val="20"/>
                  <w:u w:val="single"/>
                </w:rPr>
                <w:t>4.15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3">
              <w:r>
                <w:rPr>
                  <w:rStyle w:val="InternetLink"/>
                  <w:rFonts w:ascii="Times New Roman;sans-serif" w:hAnsi="Times New Roman;sans-serif"/>
                  <w:b w:val="false"/>
                  <w:color w:val="0000FF"/>
                  <w:sz w:val="20"/>
                  <w:u w:val="single"/>
                </w:rPr>
                <w:t>Form of Global Note representing the 4.950% Senior Notes due 2030 (included in Exhibit 4.12).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4/29/2022</w:t>
            </w:r>
          </w:p>
        </w:tc>
        <w:tc>
          <w:tcPr>
            <w:tcW w:w="159"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34">
              <w:r>
                <w:rPr>
                  <w:rStyle w:val="InternetLink"/>
                  <w:rFonts w:ascii="Times New Roman;sans-serif" w:hAnsi="Times New Roman;sans-serif"/>
                  <w:b w:val="false"/>
                  <w:color w:val="0000FF"/>
                  <w:sz w:val="20"/>
                  <w:u w:val="single"/>
                </w:rPr>
                <w:t>4.16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5">
              <w:r>
                <w:rPr>
                  <w:rStyle w:val="InternetLink"/>
                  <w:rFonts w:ascii="Times New Roman;sans-serif" w:hAnsi="Times New Roman;sans-serif"/>
                  <w:b w:val="false"/>
                  <w:color w:val="0000FF"/>
                  <w:sz w:val="20"/>
                  <w:u w:val="single"/>
                </w:rPr>
                <w:t>Form of Global Note representing the 5.125% Senior Notes due 2032 (included in Exhibit 4.12).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4/29/2022</w:t>
            </w:r>
          </w:p>
        </w:tc>
        <w:tc>
          <w:tcPr>
            <w:tcW w:w="159"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36">
              <w:r>
                <w:rPr>
                  <w:rStyle w:val="InternetLink"/>
                  <w:rFonts w:ascii="Times New Roman;sans-serif" w:hAnsi="Times New Roman;sans-serif"/>
                  <w:b w:val="false"/>
                  <w:color w:val="0000FF"/>
                  <w:sz w:val="20"/>
                  <w:u w:val="single"/>
                </w:rPr>
                <w:t>4.17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7">
              <w:r>
                <w:rPr>
                  <w:rStyle w:val="InternetLink"/>
                  <w:rFonts w:ascii="Times New Roman;sans-serif" w:hAnsi="Times New Roman;sans-serif"/>
                  <w:b w:val="false"/>
                  <w:color w:val="0000FF"/>
                  <w:sz w:val="20"/>
                  <w:u w:val="single"/>
                </w:rPr>
                <w:t>Form of Global Note representing the 5.625% Senior Notes due 2052 (included in Exhibit 4.12).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4/29/2022</w:t>
            </w:r>
          </w:p>
        </w:tc>
        <w:tc>
          <w:tcPr>
            <w:tcW w:w="159"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38">
              <w:r>
                <w:rPr>
                  <w:rStyle w:val="InternetLink"/>
                  <w:rFonts w:ascii="Times New Roman;sans-serif" w:hAnsi="Times New Roman;sans-serif"/>
                  <w:b w:val="false"/>
                  <w:color w:val="0000FF"/>
                  <w:sz w:val="20"/>
                  <w:u w:val="single"/>
                </w:rPr>
                <w:t>4.18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9">
              <w:r>
                <w:rPr>
                  <w:rStyle w:val="InternetLink"/>
                  <w:rFonts w:ascii="Times New Roman;sans-serif" w:hAnsi="Times New Roman;sans-serif"/>
                  <w:b w:val="false"/>
                  <w:color w:val="0000FF"/>
                  <w:sz w:val="20"/>
                  <w:u w:val="single"/>
                </w:rPr>
                <w:t>Indenture, dated as of April 29, 2022, relating to the 5.625% Senior Notes due 2024, between VICI Properties L.P., VICI Note Co. Inc. and UMB Bank, National Association, as trustee.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4/29/2022</w:t>
            </w:r>
          </w:p>
        </w:tc>
        <w:tc>
          <w:tcPr>
            <w:tcW w:w="159"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40">
              <w:r>
                <w:rPr>
                  <w:rStyle w:val="InternetLink"/>
                  <w:rFonts w:ascii="Times New Roman;sans-serif" w:hAnsi="Times New Roman;sans-serif"/>
                  <w:b w:val="false"/>
                  <w:color w:val="0000FF"/>
                  <w:sz w:val="20"/>
                  <w:u w:val="single"/>
                </w:rPr>
                <w:t>4.19</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1">
              <w:r>
                <w:rPr>
                  <w:rStyle w:val="InternetLink"/>
                  <w:rFonts w:ascii="Times New Roman;sans-serif" w:hAnsi="Times New Roman;sans-serif"/>
                  <w:b w:val="false"/>
                  <w:color w:val="0000FF"/>
                  <w:sz w:val="20"/>
                  <w:u w:val="single"/>
                </w:rPr>
                <w:t>Indenture, dated as of April 29, 2022, relating to the 4.625% Senior Notes due 2025, between VICI Properties L.P., VICI Note Co. Inc. and UMB Bank, National Association, as trustee.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4/29/2022</w:t>
            </w:r>
          </w:p>
        </w:tc>
        <w:tc>
          <w:tcPr>
            <w:tcW w:w="159"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42">
              <w:r>
                <w:rPr>
                  <w:rStyle w:val="InternetLink"/>
                  <w:rFonts w:ascii="Times New Roman;sans-serif" w:hAnsi="Times New Roman;sans-serif"/>
                  <w:b w:val="false"/>
                  <w:color w:val="0000FF"/>
                  <w:sz w:val="20"/>
                  <w:u w:val="single"/>
                </w:rPr>
                <w:t>4.20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3">
              <w:r>
                <w:rPr>
                  <w:rStyle w:val="InternetLink"/>
                  <w:rFonts w:ascii="Times New Roman;sans-serif" w:hAnsi="Times New Roman;sans-serif"/>
                  <w:b w:val="false"/>
                  <w:color w:val="0000FF"/>
                  <w:sz w:val="20"/>
                  <w:u w:val="single"/>
                </w:rPr>
                <w:t>Indenture, dated as of April 29, 2022, relating to the 4.500% Senior Notes due 2026, between VICI Properties L.P., VICI Note Co. Inc. and UMB Bank, National Association, as trustee.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4/29/2022</w:t>
            </w:r>
          </w:p>
        </w:tc>
        <w:tc>
          <w:tcPr>
            <w:tcW w:w="159"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44">
              <w:r>
                <w:rPr>
                  <w:rStyle w:val="InternetLink"/>
                  <w:rFonts w:ascii="Times New Roman;sans-serif" w:hAnsi="Times New Roman;sans-serif"/>
                  <w:b w:val="false"/>
                  <w:color w:val="0000FF"/>
                  <w:sz w:val="20"/>
                  <w:u w:val="single"/>
                </w:rPr>
                <w:t>4.21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5">
              <w:r>
                <w:rPr>
                  <w:rStyle w:val="InternetLink"/>
                  <w:rFonts w:ascii="Times New Roman;sans-serif" w:hAnsi="Times New Roman;sans-serif"/>
                  <w:b w:val="false"/>
                  <w:color w:val="0000FF"/>
                  <w:sz w:val="20"/>
                  <w:u w:val="single"/>
                </w:rPr>
                <w:t>Indenture, dated as of April 29, 2022, relating to the 5.750% Senior Notes due 2027, between VICI Properties L.P., VICI Note Co. Inc. and UMB Bank, National Association, as trustee.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4/29/2022</w:t>
            </w:r>
          </w:p>
        </w:tc>
        <w:tc>
          <w:tcPr>
            <w:tcW w:w="159"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46">
              <w:r>
                <w:rPr>
                  <w:rStyle w:val="InternetLink"/>
                  <w:rFonts w:ascii="Times New Roman;sans-serif" w:hAnsi="Times New Roman;sans-serif"/>
                  <w:b w:val="false"/>
                  <w:color w:val="0000FF"/>
                  <w:sz w:val="20"/>
                  <w:u w:val="single"/>
                </w:rPr>
                <w:t>4.22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7">
              <w:r>
                <w:rPr>
                  <w:rStyle w:val="InternetLink"/>
                  <w:rFonts w:ascii="Times New Roman;sans-serif" w:hAnsi="Times New Roman;sans-serif"/>
                  <w:b w:val="false"/>
                  <w:color w:val="0000FF"/>
                  <w:sz w:val="20"/>
                  <w:u w:val="single"/>
                </w:rPr>
                <w:t>Indenture, dated as of April 29, 2022, relating to the 4.500% Senior Notes due 2028, between VICI Properties L.P., VICI Note Co. Inc. and UMB Bank, National Association, as trustee.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4/29/2022</w:t>
            </w:r>
          </w:p>
        </w:tc>
        <w:tc>
          <w:tcPr>
            <w:tcW w:w="159"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48">
              <w:r>
                <w:rPr>
                  <w:rStyle w:val="InternetLink"/>
                  <w:rFonts w:ascii="Times New Roman;sans-serif" w:hAnsi="Times New Roman;sans-serif"/>
                  <w:b w:val="false"/>
                  <w:color w:val="0000FF"/>
                  <w:sz w:val="20"/>
                  <w:u w:val="single"/>
                </w:rPr>
                <w:t>4.23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9">
              <w:r>
                <w:rPr>
                  <w:rStyle w:val="InternetLink"/>
                  <w:rFonts w:ascii="Times New Roman;sans-serif" w:hAnsi="Times New Roman;sans-serif"/>
                  <w:b w:val="false"/>
                  <w:color w:val="0000FF"/>
                  <w:sz w:val="20"/>
                  <w:u w:val="single"/>
                </w:rPr>
                <w:t>Indenture, dated as of April 29, 2022, relating to the 3.875% Senior Notes due 2029, between VICI Properties L.P., VICI Note Co. Inc. and UMB Bank, National Association, as trustee.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4/29/2022</w:t>
            </w:r>
          </w:p>
        </w:tc>
        <w:tc>
          <w:tcPr>
            <w:tcW w:w="159"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50">
              <w:r>
                <w:rPr>
                  <w:rStyle w:val="InternetLink"/>
                  <w:rFonts w:ascii="Times New Roman;sans-serif" w:hAnsi="Times New Roman;sans-serif"/>
                  <w:b w:val="false"/>
                  <w:color w:val="0000FF"/>
                  <w:sz w:val="20"/>
                  <w:u w:val="single"/>
                </w:rPr>
                <w:t>4.24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1">
              <w:r>
                <w:rPr>
                  <w:rStyle w:val="InternetLink"/>
                  <w:rFonts w:ascii="Times New Roman;sans-serif" w:hAnsi="Times New Roman;sans-serif"/>
                  <w:b w:val="false"/>
                  <w:color w:val="0000FF"/>
                  <w:sz w:val="20"/>
                  <w:u w:val="single"/>
                </w:rPr>
                <w:t>Form of Global Note representing the 5.625% Senior Notes due 2024 (included in Exhibit 4.18).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4/29/2022</w:t>
            </w:r>
          </w:p>
        </w:tc>
        <w:tc>
          <w:tcPr>
            <w:tcW w:w="159"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52">
              <w:r>
                <w:rPr>
                  <w:rStyle w:val="InternetLink"/>
                  <w:rFonts w:ascii="Times New Roman;sans-serif" w:hAnsi="Times New Roman;sans-serif"/>
                  <w:b w:val="false"/>
                  <w:color w:val="0000FF"/>
                  <w:sz w:val="20"/>
                  <w:u w:val="single"/>
                </w:rPr>
                <w:t>4.25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3">
              <w:r>
                <w:rPr>
                  <w:rStyle w:val="InternetLink"/>
                  <w:rFonts w:ascii="Times New Roman;sans-serif" w:hAnsi="Times New Roman;sans-serif"/>
                  <w:b w:val="false"/>
                  <w:color w:val="0000FF"/>
                  <w:sz w:val="20"/>
                  <w:u w:val="single"/>
                </w:rPr>
                <w:t>Form of Global Note representing the 4.625% Senior Notes due 2025 (included in Exhibit 4.19).</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4/29/2022</w:t>
            </w:r>
          </w:p>
        </w:tc>
        <w:tc>
          <w:tcPr>
            <w:tcW w:w="159"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54">
              <w:r>
                <w:rPr>
                  <w:rStyle w:val="InternetLink"/>
                  <w:rFonts w:ascii="Times New Roman;sans-serif" w:hAnsi="Times New Roman;sans-serif"/>
                  <w:b w:val="false"/>
                  <w:color w:val="0000FF"/>
                  <w:sz w:val="20"/>
                  <w:u w:val="single"/>
                </w:rPr>
                <w:t>4.26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5">
              <w:r>
                <w:rPr>
                  <w:rStyle w:val="InternetLink"/>
                  <w:rFonts w:ascii="Times New Roman;sans-serif" w:hAnsi="Times New Roman;sans-serif"/>
                  <w:b w:val="false"/>
                  <w:color w:val="0000FF"/>
                  <w:sz w:val="20"/>
                  <w:u w:val="single"/>
                </w:rPr>
                <w:t>Form of Global Note representing the 4.500% Senior Notes due 2026 (included in Exhibit 4.20).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4/29/2022</w:t>
            </w:r>
          </w:p>
        </w:tc>
        <w:tc>
          <w:tcPr>
            <w:tcW w:w="159"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56">
              <w:r>
                <w:rPr>
                  <w:rStyle w:val="InternetLink"/>
                  <w:rFonts w:ascii="Times New Roman;sans-serif" w:hAnsi="Times New Roman;sans-serif"/>
                  <w:b w:val="false"/>
                  <w:color w:val="0000FF"/>
                  <w:sz w:val="20"/>
                  <w:u w:val="single"/>
                </w:rPr>
                <w:t>4.27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7">
              <w:r>
                <w:rPr>
                  <w:rStyle w:val="InternetLink"/>
                  <w:rFonts w:ascii="Times New Roman;sans-serif" w:hAnsi="Times New Roman;sans-serif"/>
                  <w:b w:val="false"/>
                  <w:color w:val="0000FF"/>
                  <w:sz w:val="20"/>
                  <w:u w:val="single"/>
                </w:rPr>
                <w:t>Form of Global Note representing the 5.750% Senior Notes due 2027 (included in Exhibit 4.21).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4/29/2022</w:t>
            </w:r>
          </w:p>
        </w:tc>
        <w:tc>
          <w:tcPr>
            <w:tcW w:w="159"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58">
              <w:r>
                <w:rPr>
                  <w:rStyle w:val="InternetLink"/>
                  <w:rFonts w:ascii="Times New Roman;sans-serif" w:hAnsi="Times New Roman;sans-serif"/>
                  <w:b w:val="false"/>
                  <w:color w:val="0000FF"/>
                  <w:sz w:val="20"/>
                  <w:u w:val="single"/>
                </w:rPr>
                <w:t>4.28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9">
              <w:r>
                <w:rPr>
                  <w:rStyle w:val="InternetLink"/>
                  <w:rFonts w:ascii="Times New Roman;sans-serif" w:hAnsi="Times New Roman;sans-serif"/>
                  <w:b w:val="false"/>
                  <w:color w:val="0000FF"/>
                  <w:sz w:val="20"/>
                  <w:u w:val="single"/>
                </w:rPr>
                <w:t>Form of Global Note representing the 4.500% Senior Notes due 2028 (included in Exhibit 4.22).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4/29/2022</w:t>
            </w:r>
          </w:p>
        </w:tc>
        <w:tc>
          <w:tcPr>
            <w:tcW w:w="159"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60">
              <w:r>
                <w:rPr>
                  <w:rStyle w:val="InternetLink"/>
                  <w:rFonts w:ascii="Times New Roman;sans-serif" w:hAnsi="Times New Roman;sans-serif"/>
                  <w:b w:val="false"/>
                  <w:color w:val="0000FF"/>
                  <w:sz w:val="20"/>
                  <w:u w:val="single"/>
                </w:rPr>
                <w:t>4.29</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1">
              <w:r>
                <w:rPr>
                  <w:rStyle w:val="InternetLink"/>
                  <w:rFonts w:ascii="Times New Roman;sans-serif" w:hAnsi="Times New Roman;sans-serif"/>
                  <w:b w:val="false"/>
                  <w:color w:val="0000FF"/>
                  <w:sz w:val="20"/>
                  <w:u w:val="single"/>
                </w:rPr>
                <w:t>Form of Global Note representing the 3.875% Senior Notes due 2029 (included in Exhibit 4.23).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4/29/2022</w:t>
            </w:r>
          </w:p>
        </w:tc>
        <w:tc>
          <w:tcPr>
            <w:tcW w:w="159"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62">
              <w:r>
                <w:rPr>
                  <w:rStyle w:val="InternetLink"/>
                  <w:rFonts w:ascii="Times New Roman;sans-serif" w:hAnsi="Times New Roman;sans-serif"/>
                  <w:b w:val="false"/>
                  <w:color w:val="0000FF"/>
                  <w:sz w:val="20"/>
                  <w:u w:val="single"/>
                </w:rPr>
                <w:t>4.30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3">
              <w:r>
                <w:rPr>
                  <w:rStyle w:val="InternetLink"/>
                  <w:rFonts w:ascii="Times New Roman;sans-serif" w:hAnsi="Times New Roman;sans-serif"/>
                  <w:b w:val="false"/>
                  <w:color w:val="0000FF"/>
                  <w:sz w:val="20"/>
                  <w:u w:val="single"/>
                </w:rPr>
                <w:t>Indenture, dated as of April 20, 2016, among MGP Escrow Issuer, LLC and MGP Escrow Co-Issuer, Inc. and U.S. Bank National Association, as Trustee.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4/21/2016</w:t>
            </w:r>
          </w:p>
        </w:tc>
        <w:tc>
          <w:tcPr>
            <w:tcW w:w="159"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b2fc48f0ddf244d9844b8de22bde2e36_10">
        <w:r>
          <w:rPr>
            <w:rStyle w:val="InternetLink"/>
            <w:rFonts w:ascii="Times New Roman;sans-serif" w:hAnsi="Times New Roman;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74"/>
        <w:gridCol w:w="153"/>
        <w:gridCol w:w="154"/>
        <w:gridCol w:w="109"/>
        <w:gridCol w:w="109"/>
        <w:gridCol w:w="109"/>
        <w:gridCol w:w="1997"/>
        <w:gridCol w:w="1997"/>
        <w:gridCol w:w="2001"/>
        <w:gridCol w:w="109"/>
        <w:gridCol w:w="109"/>
        <w:gridCol w:w="109"/>
        <w:gridCol w:w="109"/>
        <w:gridCol w:w="109"/>
        <w:gridCol w:w="109"/>
        <w:gridCol w:w="109"/>
        <w:gridCol w:w="109"/>
        <w:gridCol w:w="109"/>
        <w:gridCol w:w="142"/>
        <w:gridCol w:w="139"/>
        <w:gridCol w:w="121"/>
        <w:gridCol w:w="109"/>
        <w:gridCol w:w="109"/>
        <w:gridCol w:w="109"/>
        <w:gridCol w:w="188"/>
        <w:gridCol w:w="188"/>
        <w:gridCol w:w="195"/>
        <w:gridCol w:w="109"/>
        <w:gridCol w:w="109"/>
        <w:gridCol w:w="109"/>
        <w:gridCol w:w="211"/>
        <w:gridCol w:w="211"/>
        <w:gridCol w:w="213"/>
        <w:gridCol w:w="159"/>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7" w:type="dxa"/>
            <w:tcBorders/>
            <w:vAlign w:val="center"/>
          </w:tcPr>
          <w:p>
            <w:pPr>
              <w:pStyle w:val="TableContents"/>
              <w:bidi w:val="0"/>
              <w:spacing w:before="0" w:after="283"/>
              <w:jc w:val="left"/>
              <w:rPr>
                <w:sz w:val="4"/>
                <w:szCs w:val="4"/>
              </w:rPr>
            </w:pPr>
            <w:r>
              <w:rPr>
                <w:sz w:val="4"/>
                <w:szCs w:val="4"/>
              </w:rPr>
            </w:r>
          </w:p>
        </w:tc>
        <w:tc>
          <w:tcPr>
            <w:tcW w:w="1997" w:type="dxa"/>
            <w:tcBorders/>
            <w:vAlign w:val="center"/>
          </w:tcPr>
          <w:p>
            <w:pPr>
              <w:pStyle w:val="TableContents"/>
              <w:bidi w:val="0"/>
              <w:spacing w:before="0" w:after="283"/>
              <w:jc w:val="left"/>
              <w:rPr>
                <w:sz w:val="4"/>
                <w:szCs w:val="4"/>
              </w:rPr>
            </w:pPr>
            <w:r>
              <w:rPr>
                <w:sz w:val="4"/>
                <w:szCs w:val="4"/>
              </w:rPr>
            </w:r>
          </w:p>
        </w:tc>
        <w:tc>
          <w:tcPr>
            <w:tcW w:w="20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64">
              <w:r>
                <w:rPr>
                  <w:rStyle w:val="InternetLink"/>
                  <w:rFonts w:ascii="Times New Roman;sans-serif" w:hAnsi="Times New Roman;sans-serif"/>
                  <w:b w:val="false"/>
                  <w:color w:val="0000FF"/>
                  <w:sz w:val="20"/>
                  <w:u w:val="single"/>
                </w:rPr>
                <w:t>4.31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5">
              <w:r>
                <w:rPr>
                  <w:rStyle w:val="InternetLink"/>
                  <w:rFonts w:ascii="Times New Roman;sans-serif" w:hAnsi="Times New Roman;sans-serif"/>
                  <w:b w:val="false"/>
                  <w:color w:val="0000FF"/>
                  <w:sz w:val="20"/>
                  <w:u w:val="single"/>
                </w:rPr>
                <w:t>Seventh Supplemental Indenture, dated as of September 23, 2021, to the Indenture dated as of April 20, 2016, by and among MGM Growth Properties Operating Partnership LP, MGP Finance Co-Issuer, Inc., the Subsidiary Guarantors party thereto and U.S. Bank National Association, as Trustee.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9/27/2021</w:t>
            </w:r>
          </w:p>
        </w:tc>
        <w:tc>
          <w:tcPr>
            <w:tcW w:w="159"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66">
              <w:r>
                <w:rPr>
                  <w:rStyle w:val="InternetLink"/>
                  <w:rFonts w:ascii="Times New Roman;sans-serif" w:hAnsi="Times New Roman;sans-serif"/>
                  <w:b w:val="false"/>
                  <w:color w:val="0000FF"/>
                  <w:sz w:val="20"/>
                  <w:u w:val="single"/>
                </w:rPr>
                <w:t>4.32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7">
              <w:r>
                <w:rPr>
                  <w:rStyle w:val="InternetLink"/>
                  <w:rFonts w:ascii="Times New Roman;sans-serif" w:hAnsi="Times New Roman;sans-serif"/>
                  <w:b w:val="false"/>
                  <w:color w:val="0000FF"/>
                  <w:sz w:val="20"/>
                  <w:u w:val="single"/>
                </w:rPr>
                <w:t>Indenture, dated as of June 5, 2020, among MGM Growth Properties Operating Partnership LP, MGP Finance Co-Issuer, Inc., the Subsidiary Guarantors named therein, and U.S. Bank National Association as Trustee.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6/5/2020</w:t>
            </w:r>
          </w:p>
        </w:tc>
        <w:tc>
          <w:tcPr>
            <w:tcW w:w="159"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68">
              <w:r>
                <w:rPr>
                  <w:rStyle w:val="InternetLink"/>
                  <w:rFonts w:ascii="Times New Roman;sans-serif" w:hAnsi="Times New Roman;sans-serif"/>
                  <w:b w:val="false"/>
                  <w:color w:val="0000FF"/>
                  <w:sz w:val="20"/>
                  <w:u w:val="single"/>
                </w:rPr>
                <w:t>4.33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9">
              <w:r>
                <w:rPr>
                  <w:rStyle w:val="InternetLink"/>
                  <w:rFonts w:ascii="Times New Roman;sans-serif" w:hAnsi="Times New Roman;sans-serif"/>
                  <w:b w:val="false"/>
                  <w:color w:val="0000FF"/>
                  <w:sz w:val="20"/>
                  <w:u w:val="single"/>
                </w:rPr>
                <w:t>First Supplemental Indenture, dated as of September 23, 2021, to the Indenture dated as of June 5, 2020, by and among MGM Growth Properties Operating Partnership LP, MGP Finance Co-Issuer, Inc., the Subsidiary Guarantors party thereto and U.S. Bank National Association, as Trustee.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9/27/2021</w:t>
            </w:r>
          </w:p>
        </w:tc>
        <w:tc>
          <w:tcPr>
            <w:tcW w:w="159"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70">
              <w:r>
                <w:rPr>
                  <w:rStyle w:val="InternetLink"/>
                  <w:rFonts w:ascii="Times New Roman;sans-serif" w:hAnsi="Times New Roman;sans-serif"/>
                  <w:b w:val="false"/>
                  <w:color w:val="0000FF"/>
                  <w:sz w:val="20"/>
                  <w:u w:val="single"/>
                </w:rPr>
                <w:t>4.34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1">
              <w:r>
                <w:rPr>
                  <w:rStyle w:val="InternetLink"/>
                  <w:rFonts w:ascii="Times New Roman;sans-serif" w:hAnsi="Times New Roman;sans-serif"/>
                  <w:b w:val="false"/>
                  <w:color w:val="0000FF"/>
                  <w:sz w:val="20"/>
                  <w:u w:val="single"/>
                </w:rPr>
                <w:t>Indenture, dated as of August 12, 2016, among MGM Growth Properties Operating Partnership LP, MGP Finance Co-Issuer, Inc., the subsidiary guarantors party thereto and U.S. Bank National Association, as trustee.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8/12/2016</w:t>
            </w:r>
          </w:p>
        </w:tc>
        <w:tc>
          <w:tcPr>
            <w:tcW w:w="159"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72">
              <w:r>
                <w:rPr>
                  <w:rStyle w:val="InternetLink"/>
                  <w:rFonts w:ascii="Times New Roman;sans-serif" w:hAnsi="Times New Roman;sans-serif"/>
                  <w:b w:val="false"/>
                  <w:color w:val="0000FF"/>
                  <w:sz w:val="20"/>
                  <w:u w:val="single"/>
                </w:rPr>
                <w:t>4.35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3">
              <w:r>
                <w:rPr>
                  <w:rStyle w:val="InternetLink"/>
                  <w:rFonts w:ascii="Times New Roman;sans-serif" w:hAnsi="Times New Roman;sans-serif"/>
                  <w:b w:val="false"/>
                  <w:color w:val="0000FF"/>
                  <w:sz w:val="20"/>
                  <w:u w:val="single"/>
                </w:rPr>
                <w:t>Seventh Supplemental Indenture, dated as of September 23, 2021, to the Indenture dated as of August 12, 2016, by and among MGM Growth Properties Operating Partnership LP, MGP Finance Co-Issuer, Inc., the Subsidiary Guarantors party thereto and U.S. Bank National Association, as Trustee.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9/27/2021</w:t>
            </w:r>
          </w:p>
        </w:tc>
        <w:tc>
          <w:tcPr>
            <w:tcW w:w="159"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74">
              <w:r>
                <w:rPr>
                  <w:rStyle w:val="InternetLink"/>
                  <w:rFonts w:ascii="Times New Roman;sans-serif" w:hAnsi="Times New Roman;sans-serif"/>
                  <w:b w:val="false"/>
                  <w:color w:val="0000FF"/>
                  <w:sz w:val="20"/>
                  <w:u w:val="single"/>
                </w:rPr>
                <w:t>4.36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5">
              <w:r>
                <w:rPr>
                  <w:rStyle w:val="InternetLink"/>
                  <w:rFonts w:ascii="Times New Roman;sans-serif" w:hAnsi="Times New Roman;sans-serif"/>
                  <w:b w:val="false"/>
                  <w:color w:val="0000FF"/>
                  <w:sz w:val="20"/>
                  <w:u w:val="single"/>
                </w:rPr>
                <w:t>Indenture, dated as of January 25, 2019, among the MGM Growth Propertied Operating Partnership LP, MGP Finance Co-Issuer, Inc., the subsidiary guarantors party thereto and U.S. Bank National Association, as trustee.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1/25/2019</w:t>
            </w:r>
          </w:p>
        </w:tc>
        <w:tc>
          <w:tcPr>
            <w:tcW w:w="159"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76">
              <w:r>
                <w:rPr>
                  <w:rStyle w:val="InternetLink"/>
                  <w:rFonts w:ascii="Times New Roman;sans-serif" w:hAnsi="Times New Roman;sans-serif"/>
                  <w:b w:val="false"/>
                  <w:color w:val="0000FF"/>
                  <w:sz w:val="20"/>
                  <w:u w:val="single"/>
                </w:rPr>
                <w:t>4.37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7">
              <w:r>
                <w:rPr>
                  <w:rStyle w:val="InternetLink"/>
                  <w:rFonts w:ascii="Times New Roman;sans-serif" w:hAnsi="Times New Roman;sans-serif"/>
                  <w:b w:val="false"/>
                  <w:color w:val="0000FF"/>
                  <w:sz w:val="20"/>
                  <w:u w:val="single"/>
                </w:rPr>
                <w:t>Seventh Supplemental Indenture, dated as of September 23, 2021, to the Indenture dated as of January 25, 2019, by and among MGM Growth Properties Operating Partnership LP, MGP Finance Co-Issuer, Inc., the Subsidiary Guarantors party thereto and U.S. Bank National Association, as Trustee.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9/27/2021</w:t>
            </w:r>
          </w:p>
        </w:tc>
        <w:tc>
          <w:tcPr>
            <w:tcW w:w="159"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78">
              <w:r>
                <w:rPr>
                  <w:rStyle w:val="InternetLink"/>
                  <w:rFonts w:ascii="Times New Roman;sans-serif" w:hAnsi="Times New Roman;sans-serif"/>
                  <w:b w:val="false"/>
                  <w:color w:val="0000FF"/>
                  <w:sz w:val="20"/>
                  <w:u w:val="single"/>
                </w:rPr>
                <w:t>4.38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9">
              <w:r>
                <w:rPr>
                  <w:rStyle w:val="InternetLink"/>
                  <w:rFonts w:ascii="Times New Roman;sans-serif" w:hAnsi="Times New Roman;sans-serif"/>
                  <w:b w:val="false"/>
                  <w:color w:val="0000FF"/>
                  <w:sz w:val="20"/>
                  <w:u w:val="single"/>
                </w:rPr>
                <w:t>Indenture, dated as of September 21, 2017, among MGM Growth Properties Operating Partnership LP, MGP Finance Co-Issuer, Inc., the subsidiary guarantors party thereto and U.S. Bank National Association, as trustee.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9/21/2017</w:t>
            </w:r>
          </w:p>
        </w:tc>
        <w:tc>
          <w:tcPr>
            <w:tcW w:w="159"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80">
              <w:r>
                <w:rPr>
                  <w:rStyle w:val="InternetLink"/>
                  <w:rFonts w:ascii="Times New Roman;sans-serif" w:hAnsi="Times New Roman;sans-serif"/>
                  <w:b w:val="false"/>
                  <w:color w:val="0000FF"/>
                  <w:sz w:val="20"/>
                  <w:u w:val="single"/>
                </w:rPr>
                <w:t>4.39</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1">
              <w:r>
                <w:rPr>
                  <w:rStyle w:val="InternetLink"/>
                  <w:rFonts w:ascii="Times New Roman;sans-serif" w:hAnsi="Times New Roman;sans-serif"/>
                  <w:b w:val="false"/>
                  <w:color w:val="0000FF"/>
                  <w:sz w:val="20"/>
                  <w:u w:val="single"/>
                </w:rPr>
                <w:t>Seventh Supplemental Indenture, dated as of September 23, 2021, to the Indenture dated as of September 21, 2017, by and among MGM Growth Properties Operating Partnership LP, MGP Finance Co-Issuer, Inc., the Subsidiary Guarantors party thereto and U.S. Bank National Association, as Trustee.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9/27/2021</w:t>
            </w:r>
          </w:p>
        </w:tc>
        <w:tc>
          <w:tcPr>
            <w:tcW w:w="159"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82">
              <w:r>
                <w:rPr>
                  <w:rStyle w:val="InternetLink"/>
                  <w:rFonts w:ascii="Times New Roman;sans-serif" w:hAnsi="Times New Roman;sans-serif"/>
                  <w:b w:val="false"/>
                  <w:color w:val="0000FF"/>
                  <w:sz w:val="20"/>
                  <w:u w:val="single"/>
                </w:rPr>
                <w:t>4.40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3">
              <w:r>
                <w:rPr>
                  <w:rStyle w:val="InternetLink"/>
                  <w:rFonts w:ascii="Times New Roman;sans-serif" w:hAnsi="Times New Roman;sans-serif"/>
                  <w:b w:val="false"/>
                  <w:color w:val="0000FF"/>
                  <w:sz w:val="20"/>
                  <w:u w:val="single"/>
                </w:rPr>
                <w:t>Indenture, dated as of November 19, 2020, among MGM Growth Properties Operating Partnership LP, MGP Finance Co-Issuer, Inc., the Subsidiary Guarantors named therein, and U.S. Bank National Association as Trustee.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11/20/2020</w:t>
            </w:r>
          </w:p>
        </w:tc>
        <w:tc>
          <w:tcPr>
            <w:tcW w:w="159"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84">
              <w:r>
                <w:rPr>
                  <w:rStyle w:val="InternetLink"/>
                  <w:rFonts w:ascii="Times New Roman;sans-serif" w:hAnsi="Times New Roman;sans-serif"/>
                  <w:b w:val="false"/>
                  <w:color w:val="0000FF"/>
                  <w:sz w:val="20"/>
                  <w:u w:val="single"/>
                </w:rPr>
                <w:t>4.41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5">
              <w:r>
                <w:rPr>
                  <w:rStyle w:val="InternetLink"/>
                  <w:rFonts w:ascii="Times New Roman;sans-serif" w:hAnsi="Times New Roman;sans-serif"/>
                  <w:b w:val="false"/>
                  <w:color w:val="0000FF"/>
                  <w:sz w:val="20"/>
                  <w:u w:val="single"/>
                </w:rPr>
                <w:t>First Supplemental Indenture, dated as of September 23, 2021, to the Indenture dated as of November 19, 2020, by and among MGM Growth Properties Operating Partnership LP, MGP Finance Co-Issuer, Inc., the Subsidiary Guarantors party thereto and U.S. Bank National Association, as Trustee.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9/27/2021</w:t>
            </w:r>
          </w:p>
        </w:tc>
        <w:tc>
          <w:tcPr>
            <w:tcW w:w="159"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descriptionofregisteredsec.htm">
              <w:r>
                <w:rPr>
                  <w:rStyle w:val="InternetLink"/>
                  <w:rFonts w:ascii="Times New Roman;sans-serif" w:hAnsi="Times New Roman;sans-serif"/>
                  <w:b w:val="false"/>
                  <w:color w:val="0000FF"/>
                  <w:sz w:val="20"/>
                  <w:u w:val="single"/>
                </w:rPr>
                <w:t>4.42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descriptionofregisteredsec.htm">
              <w:r>
                <w:rPr>
                  <w:rStyle w:val="InternetLink"/>
                  <w:rFonts w:ascii="Times New Roman;sans-serif" w:hAnsi="Times New Roman;sans-serif"/>
                  <w:b w:val="false"/>
                  <w:color w:val="0000FF"/>
                  <w:sz w:val="20"/>
                  <w:u w:val="single"/>
                </w:rPr>
                <w:t>Description of Securities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86">
              <w:r>
                <w:rPr>
                  <w:rStyle w:val="InternetLink"/>
                  <w:rFonts w:ascii="Times New Roman;sans-serif" w:hAnsi="Times New Roman;sans-serif"/>
                  <w:b w:val="false"/>
                  <w:color w:val="0000FF"/>
                  <w:sz w:val="20"/>
                  <w:u w:val="single"/>
                </w:rPr>
                <w:t>10.1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7">
              <w:r>
                <w:rPr>
                  <w:rStyle w:val="InternetLink"/>
                  <w:rFonts w:ascii="Times New Roman;sans-serif" w:hAnsi="Times New Roman;sans-serif"/>
                  <w:b w:val="false"/>
                  <w:color w:val="0000FF"/>
                  <w:sz w:val="20"/>
                  <w:u w:val="single"/>
                </w:rPr>
                <w:t>Las Vegas Lease (Conformed through Second Amendment), dated as of July 20, 2020, by and among CPLV Property Owner LLC and Claudine Propco LLC as Landlord and, Desert Palace LLC, CEOC, LLC and Harrah’s Las Vegas LLC as Tenant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7/21/2020</w:t>
            </w:r>
          </w:p>
        </w:tc>
        <w:tc>
          <w:tcPr>
            <w:tcW w:w="159"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88">
              <w:r>
                <w:rPr>
                  <w:rStyle w:val="InternetLink"/>
                  <w:rFonts w:ascii="Times New Roman;sans-serif" w:hAnsi="Times New Roman;sans-serif"/>
                  <w:b w:val="false"/>
                  <w:color w:val="0000FF"/>
                  <w:sz w:val="20"/>
                  <w:u w:val="single"/>
                </w:rPr>
                <w:t>10.2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9">
              <w:r>
                <w:rPr>
                  <w:rStyle w:val="InternetLink"/>
                  <w:rFonts w:ascii="Times New Roman;sans-serif" w:hAnsi="Times New Roman;sans-serif"/>
                  <w:b w:val="false"/>
                  <w:color w:val="0000FF"/>
                  <w:sz w:val="20"/>
                  <w:u w:val="single"/>
                </w:rPr>
                <w:t>Third Amendment to Las Vegas Lease, dated as of September 30, 2020, by and among CPLV Property Owner LLC and Claudine Propco LLC as Landlord and, Desert Palace LLC, CEOC, LLC and Harrah’s Las Vegas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10/28/2020</w:t>
            </w:r>
          </w:p>
        </w:tc>
        <w:tc>
          <w:tcPr>
            <w:tcW w:w="159"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b2fc48f0ddf244d9844b8de22bde2e36_10">
        <w:r>
          <w:rPr>
            <w:rStyle w:val="InternetLink"/>
            <w:rFonts w:ascii="Times New Roman;sans-serif" w:hAnsi="Times New Roman;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21"/>
        <w:gridCol w:w="195"/>
        <w:gridCol w:w="198"/>
        <w:gridCol w:w="109"/>
        <w:gridCol w:w="109"/>
        <w:gridCol w:w="109"/>
        <w:gridCol w:w="1987"/>
        <w:gridCol w:w="1911"/>
        <w:gridCol w:w="1917"/>
        <w:gridCol w:w="109"/>
        <w:gridCol w:w="109"/>
        <w:gridCol w:w="109"/>
        <w:gridCol w:w="109"/>
        <w:gridCol w:w="109"/>
        <w:gridCol w:w="109"/>
        <w:gridCol w:w="109"/>
        <w:gridCol w:w="109"/>
        <w:gridCol w:w="109"/>
        <w:gridCol w:w="137"/>
        <w:gridCol w:w="137"/>
        <w:gridCol w:w="138"/>
        <w:gridCol w:w="109"/>
        <w:gridCol w:w="109"/>
        <w:gridCol w:w="109"/>
        <w:gridCol w:w="189"/>
        <w:gridCol w:w="189"/>
        <w:gridCol w:w="193"/>
        <w:gridCol w:w="109"/>
        <w:gridCol w:w="109"/>
        <w:gridCol w:w="109"/>
        <w:gridCol w:w="224"/>
        <w:gridCol w:w="224"/>
        <w:gridCol w:w="225"/>
        <w:gridCol w:w="158"/>
      </w:tblGrid>
      <w:tr>
        <w:trPr/>
        <w:tc>
          <w:tcPr>
            <w:tcW w:w="22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7" w:type="dxa"/>
            <w:tcBorders/>
            <w:vAlign w:val="center"/>
          </w:tcPr>
          <w:p>
            <w:pPr>
              <w:pStyle w:val="TableContents"/>
              <w:bidi w:val="0"/>
              <w:spacing w:before="0" w:after="283"/>
              <w:jc w:val="left"/>
              <w:rPr>
                <w:sz w:val="4"/>
                <w:szCs w:val="4"/>
              </w:rPr>
            </w:pPr>
            <w:r>
              <w:rPr>
                <w:sz w:val="4"/>
                <w:szCs w:val="4"/>
              </w:rPr>
            </w:r>
          </w:p>
        </w:tc>
        <w:tc>
          <w:tcPr>
            <w:tcW w:w="1911" w:type="dxa"/>
            <w:tcBorders/>
            <w:vAlign w:val="center"/>
          </w:tcPr>
          <w:p>
            <w:pPr>
              <w:pStyle w:val="TableContents"/>
              <w:bidi w:val="0"/>
              <w:spacing w:before="0" w:after="283"/>
              <w:jc w:val="left"/>
              <w:rPr>
                <w:sz w:val="4"/>
                <w:szCs w:val="4"/>
              </w:rPr>
            </w:pPr>
            <w:r>
              <w:rPr>
                <w:sz w:val="4"/>
                <w:szCs w:val="4"/>
              </w:rPr>
            </w:r>
          </w:p>
        </w:tc>
        <w:tc>
          <w:tcPr>
            <w:tcW w:w="19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90">
              <w:r>
                <w:rPr>
                  <w:rStyle w:val="InternetLink"/>
                  <w:rFonts w:ascii="Times New Roman;sans-serif" w:hAnsi="Times New Roman;sans-serif"/>
                  <w:b w:val="false"/>
                  <w:color w:val="0000FF"/>
                  <w:sz w:val="20"/>
                  <w:u w:val="single"/>
                </w:rPr>
                <w:t>10.3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1">
              <w:r>
                <w:rPr>
                  <w:rStyle w:val="InternetLink"/>
                  <w:rFonts w:ascii="Times New Roman;sans-serif" w:hAnsi="Times New Roman;sans-serif"/>
                  <w:b w:val="false"/>
                  <w:color w:val="0000FF"/>
                  <w:sz w:val="20"/>
                  <w:u w:val="single"/>
                </w:rPr>
                <w:t>Fourth Amendment to Las Vegas Lease, dated as of November 18, 2020, by and among CPLV Property Owner LLC and Claudine Propco LLC as Landlord and, Desert Palace LLC, CEOC, LLC and Harrah’s Las Vegas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2/18/2021</w:t>
            </w:r>
          </w:p>
        </w:tc>
        <w:tc>
          <w:tcPr>
            <w:tcW w:w="158" w:type="dxa"/>
            <w:tcBorders/>
            <w:vAlign w:val="center"/>
          </w:tcPr>
          <w:p>
            <w:pPr>
              <w:pStyle w:val="TableContents"/>
              <w:bidi w:val="0"/>
              <w:spacing w:before="0" w:after="283"/>
              <w:jc w:val="left"/>
              <w:rPr>
                <w:sz w:val="4"/>
                <w:szCs w:val="4"/>
              </w:rPr>
            </w:pPr>
            <w:r>
              <w:rPr>
                <w:sz w:val="4"/>
                <w:szCs w:val="4"/>
              </w:rPr>
            </w:r>
          </w:p>
        </w:tc>
      </w:tr>
      <w:tr>
        <w:trPr/>
        <w:tc>
          <w:tcPr>
            <w:tcW w:w="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92">
              <w:r>
                <w:rPr>
                  <w:rStyle w:val="InternetLink"/>
                  <w:rFonts w:ascii="Times New Roman;sans-serif" w:hAnsi="Times New Roman;sans-serif"/>
                  <w:b w:val="false"/>
                  <w:color w:val="0000FF"/>
                  <w:sz w:val="20"/>
                  <w:u w:val="single"/>
                </w:rPr>
                <w:t>10.4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3">
              <w:r>
                <w:rPr>
                  <w:rStyle w:val="InternetLink"/>
                  <w:rFonts w:ascii="Times New Roman;sans-serif" w:hAnsi="Times New Roman;sans-serif"/>
                  <w:b w:val="false"/>
                  <w:color w:val="0000FF"/>
                  <w:sz w:val="20"/>
                  <w:u w:val="single"/>
                </w:rPr>
                <w:t>Fifth Amendment to Las Vegas Lease, dated as of September 3, 2021, by and among CPLV Property Owner LLC and Claudine Propco LLC as Landlord and, Desert Palace LLC, CEOC, LLC and Harrah’s Las Vegas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10/27/2021</w:t>
            </w:r>
          </w:p>
        </w:tc>
        <w:tc>
          <w:tcPr>
            <w:tcW w:w="158" w:type="dxa"/>
            <w:tcBorders/>
            <w:vAlign w:val="center"/>
          </w:tcPr>
          <w:p>
            <w:pPr>
              <w:pStyle w:val="TableContents"/>
              <w:bidi w:val="0"/>
              <w:spacing w:before="0" w:after="283"/>
              <w:jc w:val="left"/>
              <w:rPr>
                <w:sz w:val="4"/>
                <w:szCs w:val="4"/>
              </w:rPr>
            </w:pPr>
            <w:r>
              <w:rPr>
                <w:sz w:val="4"/>
                <w:szCs w:val="4"/>
              </w:rPr>
            </w:r>
          </w:p>
        </w:tc>
      </w:tr>
      <w:tr>
        <w:trPr/>
        <w:tc>
          <w:tcPr>
            <w:tcW w:w="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94">
              <w:r>
                <w:rPr>
                  <w:rStyle w:val="InternetLink"/>
                  <w:rFonts w:ascii="Times New Roman;sans-serif" w:hAnsi="Times New Roman;sans-serif"/>
                  <w:b w:val="false"/>
                  <w:color w:val="0000FF"/>
                  <w:sz w:val="20"/>
                  <w:u w:val="single"/>
                </w:rPr>
                <w:t>10.5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5">
              <w:r>
                <w:rPr>
                  <w:rStyle w:val="InternetLink"/>
                  <w:rFonts w:ascii="Times New Roman;sans-serif" w:hAnsi="Times New Roman;sans-serif"/>
                  <w:b w:val="false"/>
                  <w:color w:val="0000FF"/>
                  <w:sz w:val="20"/>
                  <w:u w:val="single"/>
                </w:rPr>
                <w:t>Sixth Amendment to Las Vegas Lease, dated as of November 1, 2021, by and among CPLV Property Owner LLC and Claudine Propco LLC as Landlord and, Desert Palace LLC, CEOC, LLC and Harrah’s Las Vegas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2/23/2022</w:t>
            </w:r>
          </w:p>
        </w:tc>
        <w:tc>
          <w:tcPr>
            <w:tcW w:w="158" w:type="dxa"/>
            <w:tcBorders/>
            <w:vAlign w:val="center"/>
          </w:tcPr>
          <w:p>
            <w:pPr>
              <w:pStyle w:val="TableContents"/>
              <w:bidi w:val="0"/>
              <w:spacing w:before="0" w:after="283"/>
              <w:jc w:val="left"/>
              <w:rPr>
                <w:sz w:val="4"/>
                <w:szCs w:val="4"/>
              </w:rPr>
            </w:pPr>
            <w:r>
              <w:rPr>
                <w:sz w:val="4"/>
                <w:szCs w:val="4"/>
              </w:rPr>
            </w:r>
          </w:p>
        </w:tc>
      </w:tr>
      <w:tr>
        <w:trPr/>
        <w:tc>
          <w:tcPr>
            <w:tcW w:w="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96">
              <w:r>
                <w:rPr>
                  <w:rStyle w:val="InternetLink"/>
                  <w:rFonts w:ascii="Times New Roman;sans-serif" w:hAnsi="Times New Roman;sans-serif"/>
                  <w:b w:val="false"/>
                  <w:color w:val="0000FF"/>
                  <w:sz w:val="20"/>
                  <w:u w:val="single"/>
                </w:rPr>
                <w:t>10.6+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7">
              <w:r>
                <w:rPr>
                  <w:rStyle w:val="InternetLink"/>
                  <w:rFonts w:ascii="Times New Roman;sans-serif" w:hAnsi="Times New Roman;sans-serif"/>
                  <w:b w:val="false"/>
                  <w:color w:val="0000FF"/>
                  <w:sz w:val="20"/>
                  <w:u w:val="single"/>
                </w:rPr>
                <w:t>Regional Lease (Conformed through Fifth Amendment), dated as of July 20, 2020, by and among the entities listed on Schedules A and B thereto and CEOC,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7/21/2020</w:t>
            </w:r>
          </w:p>
        </w:tc>
        <w:tc>
          <w:tcPr>
            <w:tcW w:w="158" w:type="dxa"/>
            <w:tcBorders/>
            <w:vAlign w:val="center"/>
          </w:tcPr>
          <w:p>
            <w:pPr>
              <w:pStyle w:val="TableContents"/>
              <w:bidi w:val="0"/>
              <w:spacing w:before="0" w:after="283"/>
              <w:jc w:val="left"/>
              <w:rPr>
                <w:sz w:val="4"/>
                <w:szCs w:val="4"/>
              </w:rPr>
            </w:pPr>
            <w:r>
              <w:rPr>
                <w:sz w:val="4"/>
                <w:szCs w:val="4"/>
              </w:rPr>
            </w:r>
          </w:p>
        </w:tc>
      </w:tr>
      <w:tr>
        <w:trPr/>
        <w:tc>
          <w:tcPr>
            <w:tcW w:w="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98">
              <w:r>
                <w:rPr>
                  <w:rStyle w:val="InternetLink"/>
                  <w:rFonts w:ascii="Times New Roman;sans-serif" w:hAnsi="Times New Roman;sans-serif"/>
                  <w:b w:val="false"/>
                  <w:color w:val="0000FF"/>
                  <w:sz w:val="20"/>
                  <w:u w:val="single"/>
                </w:rPr>
                <w:t>10.7+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9">
              <w:r>
                <w:rPr>
                  <w:rStyle w:val="InternetLink"/>
                  <w:rFonts w:ascii="Times New Roman;sans-serif" w:hAnsi="Times New Roman;sans-serif"/>
                  <w:b w:val="false"/>
                  <w:color w:val="0000FF"/>
                  <w:sz w:val="20"/>
                  <w:u w:val="single"/>
                </w:rPr>
                <w:t>Sixth Amendment to Regional Lease, dated as of September 30, 2020, by and among the entities listed on Schedules A and B thereto</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10/28/2020</w:t>
            </w:r>
          </w:p>
        </w:tc>
        <w:tc>
          <w:tcPr>
            <w:tcW w:w="158" w:type="dxa"/>
            <w:tcBorders/>
            <w:vAlign w:val="center"/>
          </w:tcPr>
          <w:p>
            <w:pPr>
              <w:pStyle w:val="TableContents"/>
              <w:bidi w:val="0"/>
              <w:spacing w:before="0" w:after="283"/>
              <w:jc w:val="left"/>
              <w:rPr>
                <w:sz w:val="4"/>
                <w:szCs w:val="4"/>
              </w:rPr>
            </w:pPr>
            <w:r>
              <w:rPr>
                <w:sz w:val="4"/>
                <w:szCs w:val="4"/>
              </w:rPr>
            </w:r>
          </w:p>
        </w:tc>
      </w:tr>
      <w:tr>
        <w:trPr/>
        <w:tc>
          <w:tcPr>
            <w:tcW w:w="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100">
              <w:r>
                <w:rPr>
                  <w:rStyle w:val="InternetLink"/>
                  <w:rFonts w:ascii="Times New Roman;sans-serif" w:hAnsi="Times New Roman;sans-serif"/>
                  <w:b w:val="false"/>
                  <w:color w:val="0000FF"/>
                  <w:sz w:val="20"/>
                  <w:u w:val="single"/>
                </w:rPr>
                <w:t>10.8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1">
              <w:r>
                <w:rPr>
                  <w:rStyle w:val="InternetLink"/>
                  <w:rFonts w:ascii="Times New Roman;sans-serif" w:hAnsi="Times New Roman;sans-serif"/>
                  <w:b w:val="false"/>
                  <w:color w:val="0000FF"/>
                  <w:sz w:val="20"/>
                  <w:u w:val="single"/>
                </w:rPr>
                <w:t>Seventh Amendment to Regional Lease, dated as of November 18, 2020, by and among the entities listed on Schedules A and B thereto</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2/18/2021</w:t>
            </w:r>
          </w:p>
        </w:tc>
        <w:tc>
          <w:tcPr>
            <w:tcW w:w="158" w:type="dxa"/>
            <w:tcBorders/>
            <w:vAlign w:val="center"/>
          </w:tcPr>
          <w:p>
            <w:pPr>
              <w:pStyle w:val="TableContents"/>
              <w:bidi w:val="0"/>
              <w:spacing w:before="0" w:after="283"/>
              <w:jc w:val="left"/>
              <w:rPr>
                <w:sz w:val="4"/>
                <w:szCs w:val="4"/>
              </w:rPr>
            </w:pPr>
            <w:r>
              <w:rPr>
                <w:sz w:val="4"/>
                <w:szCs w:val="4"/>
              </w:rPr>
            </w:r>
          </w:p>
        </w:tc>
      </w:tr>
      <w:tr>
        <w:trPr/>
        <w:tc>
          <w:tcPr>
            <w:tcW w:w="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102">
              <w:r>
                <w:rPr>
                  <w:rStyle w:val="InternetLink"/>
                  <w:rFonts w:ascii="Times New Roman;sans-serif" w:hAnsi="Times New Roman;sans-serif"/>
                  <w:b w:val="false"/>
                  <w:color w:val="0000FF"/>
                  <w:sz w:val="20"/>
                  <w:u w:val="single"/>
                </w:rPr>
                <w:t>10.9</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3">
              <w:r>
                <w:rPr>
                  <w:rStyle w:val="InternetLink"/>
                  <w:rFonts w:ascii="Times New Roman;sans-serif" w:hAnsi="Times New Roman;sans-serif"/>
                  <w:b w:val="false"/>
                  <w:color w:val="0000FF"/>
                  <w:sz w:val="20"/>
                  <w:u w:val="single"/>
                </w:rPr>
                <w:t>Eighth Amendment to Regional Lease, dated as of September 3, 2021, by and among the entities listed on Schedules A and B thereto</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10/27/2021</w:t>
            </w:r>
          </w:p>
        </w:tc>
        <w:tc>
          <w:tcPr>
            <w:tcW w:w="158" w:type="dxa"/>
            <w:tcBorders/>
            <w:vAlign w:val="center"/>
          </w:tcPr>
          <w:p>
            <w:pPr>
              <w:pStyle w:val="TableContents"/>
              <w:bidi w:val="0"/>
              <w:spacing w:before="0" w:after="283"/>
              <w:jc w:val="left"/>
              <w:rPr>
                <w:sz w:val="4"/>
                <w:szCs w:val="4"/>
              </w:rPr>
            </w:pPr>
            <w:r>
              <w:rPr>
                <w:sz w:val="4"/>
                <w:szCs w:val="4"/>
              </w:rPr>
            </w:r>
          </w:p>
        </w:tc>
      </w:tr>
      <w:tr>
        <w:trPr/>
        <w:tc>
          <w:tcPr>
            <w:tcW w:w="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104">
              <w:r>
                <w:rPr>
                  <w:rStyle w:val="InternetLink"/>
                  <w:rFonts w:ascii="Times New Roman;sans-serif" w:hAnsi="Times New Roman;sans-serif"/>
                  <w:b w:val="false"/>
                  <w:color w:val="0000FF"/>
                  <w:sz w:val="20"/>
                  <w:u w:val="single"/>
                </w:rPr>
                <w:t>10.10+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5"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05">
              <w:r>
                <w:rPr>
                  <w:rStyle w:val="InternetLink"/>
                  <w:rFonts w:ascii="Times New Roman;sans-serif" w:hAnsi="Times New Roman;sans-serif"/>
                  <w:b w:val="false"/>
                  <w:color w:val="0000FF"/>
                  <w:sz w:val="20"/>
                  <w:u w:val="single"/>
                </w:rPr>
                <w:t>Ninth Amendment to Regional Lease, dated as of November 1, 2021, by and among the entities listed on Schedules A and B thereto</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2/23/2022</w:t>
            </w:r>
          </w:p>
        </w:tc>
        <w:tc>
          <w:tcPr>
            <w:tcW w:w="158" w:type="dxa"/>
            <w:tcBorders/>
            <w:vAlign w:val="center"/>
          </w:tcPr>
          <w:p>
            <w:pPr>
              <w:pStyle w:val="TableContents"/>
              <w:bidi w:val="0"/>
              <w:spacing w:before="0" w:after="283"/>
              <w:jc w:val="left"/>
              <w:rPr>
                <w:sz w:val="4"/>
                <w:szCs w:val="4"/>
              </w:rPr>
            </w:pPr>
            <w:r>
              <w:rPr>
                <w:sz w:val="4"/>
                <w:szCs w:val="4"/>
              </w:rPr>
            </w:r>
          </w:p>
        </w:tc>
      </w:tr>
      <w:tr>
        <w:trPr/>
        <w:tc>
          <w:tcPr>
            <w:tcW w:w="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106">
              <w:r>
                <w:rPr>
                  <w:rStyle w:val="InternetLink"/>
                  <w:rFonts w:ascii="Times New Roman;sans-serif" w:hAnsi="Times New Roman;sans-serif"/>
                  <w:b w:val="false"/>
                  <w:color w:val="0000FF"/>
                  <w:sz w:val="20"/>
                  <w:u w:val="single"/>
                </w:rPr>
                <w:t>10.11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5"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07">
              <w:r>
                <w:rPr>
                  <w:rStyle w:val="InternetLink"/>
                  <w:rFonts w:ascii="Times New Roman;sans-serif" w:hAnsi="Times New Roman;sans-serif"/>
                  <w:b w:val="false"/>
                  <w:color w:val="0000FF"/>
                  <w:sz w:val="20"/>
                  <w:u w:val="single"/>
                </w:rPr>
                <w:t>Tenth Amendment to Regional Lease, dated as of December 30, 2021, by and among the entities listed on Schedules A and B thereto</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2/23/2022</w:t>
            </w:r>
          </w:p>
        </w:tc>
        <w:tc>
          <w:tcPr>
            <w:tcW w:w="158" w:type="dxa"/>
            <w:tcBorders/>
            <w:vAlign w:val="center"/>
          </w:tcPr>
          <w:p>
            <w:pPr>
              <w:pStyle w:val="TableContents"/>
              <w:bidi w:val="0"/>
              <w:spacing w:before="0" w:after="283"/>
              <w:jc w:val="left"/>
              <w:rPr>
                <w:sz w:val="4"/>
                <w:szCs w:val="4"/>
              </w:rPr>
            </w:pPr>
            <w:r>
              <w:rPr>
                <w:sz w:val="4"/>
                <w:szCs w:val="4"/>
              </w:rPr>
            </w:r>
          </w:p>
        </w:tc>
      </w:tr>
      <w:tr>
        <w:trPr/>
        <w:tc>
          <w:tcPr>
            <w:tcW w:w="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108">
              <w:r>
                <w:rPr>
                  <w:rStyle w:val="InternetLink"/>
                  <w:rFonts w:ascii="Times New Roman;sans-serif" w:hAnsi="Times New Roman;sans-serif"/>
                  <w:b w:val="false"/>
                  <w:color w:val="0000FF"/>
                  <w:sz w:val="20"/>
                  <w:u w:val="single"/>
                </w:rPr>
                <w:t>10.12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5"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09">
              <w:r>
                <w:rPr>
                  <w:rStyle w:val="InternetLink"/>
                  <w:rFonts w:ascii="Times New Roman;sans-serif" w:hAnsi="Times New Roman;sans-serif"/>
                  <w:b w:val="false"/>
                  <w:color w:val="0000FF"/>
                  <w:sz w:val="20"/>
                  <w:u w:val="single"/>
                </w:rPr>
                <w:t>Eleventh Amendment to Regional Lease, dated as of August 25, 2022, by and among the entities listed on Schedules A and B thereto.</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10/27/2022</w:t>
            </w:r>
          </w:p>
        </w:tc>
        <w:tc>
          <w:tcPr>
            <w:tcW w:w="158" w:type="dxa"/>
            <w:tcBorders/>
            <w:vAlign w:val="center"/>
          </w:tcPr>
          <w:p>
            <w:pPr>
              <w:pStyle w:val="TableContents"/>
              <w:bidi w:val="0"/>
              <w:spacing w:before="0" w:after="283"/>
              <w:jc w:val="left"/>
              <w:rPr>
                <w:sz w:val="4"/>
                <w:szCs w:val="4"/>
              </w:rPr>
            </w:pPr>
            <w:r>
              <w:rPr>
                <w:sz w:val="4"/>
                <w:szCs w:val="4"/>
              </w:rPr>
            </w:r>
          </w:p>
        </w:tc>
      </w:tr>
      <w:tr>
        <w:trPr/>
        <w:tc>
          <w:tcPr>
            <w:tcW w:w="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110">
              <w:r>
                <w:rPr>
                  <w:rStyle w:val="InternetLink"/>
                  <w:rFonts w:ascii="Times New Roman;sans-serif" w:hAnsi="Times New Roman;sans-serif"/>
                  <w:b w:val="false"/>
                  <w:color w:val="0000FF"/>
                  <w:sz w:val="20"/>
                  <w:u w:val="single"/>
                </w:rPr>
                <w:t>10.13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1">
              <w:r>
                <w:rPr>
                  <w:rStyle w:val="InternetLink"/>
                  <w:rFonts w:ascii="Times New Roman;sans-serif" w:hAnsi="Times New Roman;sans-serif"/>
                  <w:b w:val="false"/>
                  <w:color w:val="0000FF"/>
                  <w:sz w:val="20"/>
                  <w:u w:val="single"/>
                </w:rPr>
                <w:t>Twelfth Amendment to Regional Lease, dated as of April 7, 2023, by and among the entities listed on Schedules A and B thereto</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5/1/2023</w:t>
            </w:r>
          </w:p>
        </w:tc>
        <w:tc>
          <w:tcPr>
            <w:tcW w:w="158" w:type="dxa"/>
            <w:tcBorders/>
            <w:vAlign w:val="center"/>
          </w:tcPr>
          <w:p>
            <w:pPr>
              <w:pStyle w:val="TableContents"/>
              <w:bidi w:val="0"/>
              <w:spacing w:before="0" w:after="283"/>
              <w:jc w:val="left"/>
              <w:rPr>
                <w:sz w:val="4"/>
                <w:szCs w:val="4"/>
              </w:rPr>
            </w:pPr>
            <w:r>
              <w:rPr>
                <w:sz w:val="4"/>
                <w:szCs w:val="4"/>
              </w:rPr>
            </w:r>
          </w:p>
        </w:tc>
      </w:tr>
      <w:tr>
        <w:trPr/>
        <w:tc>
          <w:tcPr>
            <w:tcW w:w="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112">
              <w:r>
                <w:rPr>
                  <w:rStyle w:val="InternetLink"/>
                  <w:rFonts w:ascii="Times New Roman;sans-serif" w:hAnsi="Times New Roman;sans-serif"/>
                  <w:b w:val="false"/>
                  <w:color w:val="0000FF"/>
                  <w:sz w:val="20"/>
                  <w:u w:val="single"/>
                </w:rPr>
                <w:t>10.14+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3">
              <w:r>
                <w:rPr>
                  <w:rStyle w:val="InternetLink"/>
                  <w:rFonts w:ascii="Times New Roman;sans-serif" w:hAnsi="Times New Roman;sans-serif"/>
                  <w:b w:val="false"/>
                  <w:color w:val="0000FF"/>
                  <w:sz w:val="20"/>
                  <w:u w:val="single"/>
                </w:rPr>
                <w:t>Lease (Joliet) (Conformed through Second Amendment), dated as of July 20, 2020, by and between Harrah’s Joliet Landco LLC and Des Plaines Development Limited Partnership</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7/21/2020</w:t>
            </w:r>
          </w:p>
        </w:tc>
        <w:tc>
          <w:tcPr>
            <w:tcW w:w="158" w:type="dxa"/>
            <w:tcBorders/>
            <w:vAlign w:val="center"/>
          </w:tcPr>
          <w:p>
            <w:pPr>
              <w:pStyle w:val="TableContents"/>
              <w:bidi w:val="0"/>
              <w:spacing w:before="0" w:after="283"/>
              <w:jc w:val="left"/>
              <w:rPr>
                <w:sz w:val="4"/>
                <w:szCs w:val="4"/>
              </w:rPr>
            </w:pPr>
            <w:r>
              <w:rPr>
                <w:sz w:val="4"/>
                <w:szCs w:val="4"/>
              </w:rPr>
            </w:r>
          </w:p>
        </w:tc>
      </w:tr>
      <w:tr>
        <w:trPr/>
        <w:tc>
          <w:tcPr>
            <w:tcW w:w="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114">
              <w:r>
                <w:rPr>
                  <w:rStyle w:val="InternetLink"/>
                  <w:rFonts w:ascii="Times New Roman;sans-serif" w:hAnsi="Times New Roman;sans-serif"/>
                  <w:b w:val="false"/>
                  <w:color w:val="0000FF"/>
                  <w:sz w:val="20"/>
                  <w:u w:val="single"/>
                </w:rPr>
                <w:t>10.15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5">
              <w:r>
                <w:rPr>
                  <w:rStyle w:val="InternetLink"/>
                  <w:rFonts w:ascii="Times New Roman;sans-serif" w:hAnsi="Times New Roman;sans-serif"/>
                  <w:b w:val="false"/>
                  <w:color w:val="0000FF"/>
                  <w:sz w:val="20"/>
                  <w:u w:val="single"/>
                </w:rPr>
                <w:t>Third Amendment to Lease (Joliet), dated as of September 30, 2020, by and between Harrah’s Joliet Landco LLC and Des Plaines Development Limited Partnership</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10/28/2020</w:t>
            </w:r>
          </w:p>
        </w:tc>
        <w:tc>
          <w:tcPr>
            <w:tcW w:w="158" w:type="dxa"/>
            <w:tcBorders/>
            <w:vAlign w:val="center"/>
          </w:tcPr>
          <w:p>
            <w:pPr>
              <w:pStyle w:val="TableContents"/>
              <w:bidi w:val="0"/>
              <w:spacing w:before="0" w:after="283"/>
              <w:jc w:val="left"/>
              <w:rPr>
                <w:sz w:val="4"/>
                <w:szCs w:val="4"/>
              </w:rPr>
            </w:pPr>
            <w:r>
              <w:rPr>
                <w:sz w:val="4"/>
                <w:szCs w:val="4"/>
              </w:rPr>
            </w:r>
          </w:p>
        </w:tc>
      </w:tr>
      <w:tr>
        <w:trPr/>
        <w:tc>
          <w:tcPr>
            <w:tcW w:w="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116">
              <w:r>
                <w:rPr>
                  <w:rStyle w:val="InternetLink"/>
                  <w:rFonts w:ascii="Times New Roman;sans-serif" w:hAnsi="Times New Roman;sans-serif"/>
                  <w:b w:val="false"/>
                  <w:color w:val="0000FF"/>
                  <w:sz w:val="20"/>
                  <w:u w:val="single"/>
                </w:rPr>
                <w:t>10.16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7">
              <w:r>
                <w:rPr>
                  <w:rStyle w:val="InternetLink"/>
                  <w:rFonts w:ascii="Times New Roman;sans-serif" w:hAnsi="Times New Roman;sans-serif"/>
                  <w:b w:val="false"/>
                  <w:color w:val="0000FF"/>
                  <w:sz w:val="20"/>
                  <w:u w:val="single"/>
                </w:rPr>
                <w:t>Fourth Amendment to Lease (Joliet), dated as of November 18, 2020, by and between Harrah’s Joliet Landco LLC and Des Plaines Development Limited Partnership</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2/18/2021</w:t>
            </w:r>
          </w:p>
        </w:tc>
        <w:tc>
          <w:tcPr>
            <w:tcW w:w="158" w:type="dxa"/>
            <w:tcBorders/>
            <w:vAlign w:val="center"/>
          </w:tcPr>
          <w:p>
            <w:pPr>
              <w:pStyle w:val="TableContents"/>
              <w:bidi w:val="0"/>
              <w:spacing w:before="0" w:after="283"/>
              <w:jc w:val="left"/>
              <w:rPr>
                <w:sz w:val="4"/>
                <w:szCs w:val="4"/>
              </w:rPr>
            </w:pPr>
            <w:r>
              <w:rPr>
                <w:sz w:val="4"/>
                <w:szCs w:val="4"/>
              </w:rPr>
            </w:r>
          </w:p>
        </w:tc>
      </w:tr>
      <w:tr>
        <w:trPr/>
        <w:tc>
          <w:tcPr>
            <w:tcW w:w="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118">
              <w:r>
                <w:rPr>
                  <w:rStyle w:val="InternetLink"/>
                  <w:rFonts w:ascii="Times New Roman;sans-serif" w:hAnsi="Times New Roman;sans-serif"/>
                  <w:b w:val="false"/>
                  <w:color w:val="0000FF"/>
                  <w:sz w:val="20"/>
                  <w:u w:val="single"/>
                </w:rPr>
                <w:t>10.17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5"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19">
              <w:r>
                <w:rPr>
                  <w:rStyle w:val="InternetLink"/>
                  <w:rFonts w:ascii="Times New Roman;sans-serif" w:hAnsi="Times New Roman;sans-serif"/>
                  <w:b w:val="false"/>
                  <w:color w:val="0000FF"/>
                  <w:sz w:val="20"/>
                  <w:u w:val="single"/>
                </w:rPr>
                <w:t>Fifth Amendment to Lease (Joliet), dated as of September 3, 2021, by and between Harrah’s Joliet Landco LLC and Des Plaines Development Limited Partnership</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10/27/2021</w:t>
            </w:r>
          </w:p>
        </w:tc>
        <w:tc>
          <w:tcPr>
            <w:tcW w:w="158" w:type="dxa"/>
            <w:tcBorders/>
            <w:vAlign w:val="center"/>
          </w:tcPr>
          <w:p>
            <w:pPr>
              <w:pStyle w:val="TableContents"/>
              <w:bidi w:val="0"/>
              <w:spacing w:before="0" w:after="283"/>
              <w:jc w:val="left"/>
              <w:rPr>
                <w:sz w:val="4"/>
                <w:szCs w:val="4"/>
              </w:rPr>
            </w:pPr>
            <w:r>
              <w:rPr>
                <w:sz w:val="4"/>
                <w:szCs w:val="4"/>
              </w:rPr>
            </w:r>
          </w:p>
        </w:tc>
      </w:tr>
      <w:tr>
        <w:trPr/>
        <w:tc>
          <w:tcPr>
            <w:tcW w:w="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120">
              <w:r>
                <w:rPr>
                  <w:rStyle w:val="InternetLink"/>
                  <w:rFonts w:ascii="Times New Roman;sans-serif" w:hAnsi="Times New Roman;sans-serif"/>
                  <w:b w:val="false"/>
                  <w:color w:val="0000FF"/>
                  <w:sz w:val="20"/>
                  <w:u w:val="single"/>
                </w:rPr>
                <w:t>10.18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5"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21">
              <w:r>
                <w:rPr>
                  <w:rStyle w:val="InternetLink"/>
                  <w:rFonts w:ascii="Times New Roman;sans-serif" w:hAnsi="Times New Roman;sans-serif"/>
                  <w:b w:val="false"/>
                  <w:color w:val="0000FF"/>
                  <w:sz w:val="20"/>
                  <w:u w:val="single"/>
                </w:rPr>
                <w:t>Sixth Amendment to Lease (Joliet), dated as of November 1, 2021, by and between Harrah’s Joliet Landco LLC and Des Plaines Development Limited Partnership</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2/23/2022</w:t>
            </w:r>
          </w:p>
        </w:tc>
        <w:tc>
          <w:tcPr>
            <w:tcW w:w="158" w:type="dxa"/>
            <w:tcBorders/>
            <w:vAlign w:val="center"/>
          </w:tcPr>
          <w:p>
            <w:pPr>
              <w:pStyle w:val="TableContents"/>
              <w:bidi w:val="0"/>
              <w:spacing w:before="0" w:after="283"/>
              <w:jc w:val="left"/>
              <w:rPr>
                <w:sz w:val="4"/>
                <w:szCs w:val="4"/>
              </w:rPr>
            </w:pPr>
            <w:r>
              <w:rPr>
                <w:sz w:val="4"/>
                <w:szCs w:val="4"/>
              </w:rPr>
            </w:r>
          </w:p>
        </w:tc>
      </w:tr>
      <w:tr>
        <w:trPr/>
        <w:tc>
          <w:tcPr>
            <w:tcW w:w="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122">
              <w:r>
                <w:rPr>
                  <w:rStyle w:val="InternetLink"/>
                  <w:rFonts w:ascii="Times New Roman;sans-serif" w:hAnsi="Times New Roman;sans-serif"/>
                  <w:b w:val="false"/>
                  <w:color w:val="0000FF"/>
                  <w:sz w:val="20"/>
                  <w:u w:val="single"/>
                </w:rPr>
                <w:t>10.19</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3">
              <w:r>
                <w:rPr>
                  <w:rStyle w:val="InternetLink"/>
                  <w:rFonts w:ascii="Times New Roman;sans-serif" w:hAnsi="Times New Roman;sans-serif"/>
                  <w:b w:val="false"/>
                  <w:color w:val="0000FF"/>
                  <w:sz w:val="20"/>
                  <w:u w:val="single"/>
                </w:rPr>
                <w:t>Amended and Restated Omnibus Amendment to Leases, dated October 27, 2020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10/28/2020</w:t>
            </w:r>
          </w:p>
        </w:tc>
        <w:tc>
          <w:tcPr>
            <w:tcW w:w="158" w:type="dxa"/>
            <w:tcBorders/>
            <w:vAlign w:val="center"/>
          </w:tcPr>
          <w:p>
            <w:pPr>
              <w:pStyle w:val="TableContents"/>
              <w:bidi w:val="0"/>
              <w:spacing w:before="0" w:after="283"/>
              <w:jc w:val="left"/>
              <w:rPr>
                <w:sz w:val="4"/>
                <w:szCs w:val="4"/>
              </w:rPr>
            </w:pPr>
            <w:r>
              <w:rPr>
                <w:sz w:val="4"/>
                <w:szCs w:val="4"/>
              </w:rPr>
            </w:r>
          </w:p>
        </w:tc>
      </w:tr>
      <w:tr>
        <w:trPr/>
        <w:tc>
          <w:tcPr>
            <w:tcW w:w="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b2fc48f0ddf244d9844b8de22bde2e36_10">
        <w:r>
          <w:rPr>
            <w:rStyle w:val="InternetLink"/>
            <w:rFonts w:ascii="Times New Roman;sans-serif" w:hAnsi="Times New Roman;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12"/>
        <w:gridCol w:w="186"/>
        <w:gridCol w:w="188"/>
        <w:gridCol w:w="109"/>
        <w:gridCol w:w="109"/>
        <w:gridCol w:w="109"/>
        <w:gridCol w:w="1974"/>
        <w:gridCol w:w="1974"/>
        <w:gridCol w:w="1978"/>
        <w:gridCol w:w="109"/>
        <w:gridCol w:w="109"/>
        <w:gridCol w:w="109"/>
        <w:gridCol w:w="109"/>
        <w:gridCol w:w="109"/>
        <w:gridCol w:w="109"/>
        <w:gridCol w:w="109"/>
        <w:gridCol w:w="109"/>
        <w:gridCol w:w="109"/>
        <w:gridCol w:w="140"/>
        <w:gridCol w:w="137"/>
        <w:gridCol w:w="118"/>
        <w:gridCol w:w="109"/>
        <w:gridCol w:w="109"/>
        <w:gridCol w:w="109"/>
        <w:gridCol w:w="189"/>
        <w:gridCol w:w="189"/>
        <w:gridCol w:w="193"/>
        <w:gridCol w:w="109"/>
        <w:gridCol w:w="109"/>
        <w:gridCol w:w="109"/>
        <w:gridCol w:w="202"/>
        <w:gridCol w:w="202"/>
        <w:gridCol w:w="203"/>
        <w:gridCol w:w="158"/>
      </w:tblGrid>
      <w:tr>
        <w:trPr/>
        <w:tc>
          <w:tcPr>
            <w:tcW w:w="21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4" w:type="dxa"/>
            <w:tcBorders/>
            <w:vAlign w:val="center"/>
          </w:tcPr>
          <w:p>
            <w:pPr>
              <w:pStyle w:val="TableContents"/>
              <w:bidi w:val="0"/>
              <w:spacing w:before="0" w:after="283"/>
              <w:jc w:val="left"/>
              <w:rPr>
                <w:sz w:val="4"/>
                <w:szCs w:val="4"/>
              </w:rPr>
            </w:pPr>
            <w:r>
              <w:rPr>
                <w:sz w:val="4"/>
                <w:szCs w:val="4"/>
              </w:rPr>
            </w:r>
          </w:p>
        </w:tc>
        <w:tc>
          <w:tcPr>
            <w:tcW w:w="1974" w:type="dxa"/>
            <w:tcBorders/>
            <w:vAlign w:val="center"/>
          </w:tcPr>
          <w:p>
            <w:pPr>
              <w:pStyle w:val="TableContents"/>
              <w:bidi w:val="0"/>
              <w:spacing w:before="0" w:after="283"/>
              <w:jc w:val="left"/>
              <w:rPr>
                <w:sz w:val="4"/>
                <w:szCs w:val="4"/>
              </w:rPr>
            </w:pPr>
            <w:r>
              <w:rPr>
                <w:sz w:val="4"/>
                <w:szCs w:val="4"/>
              </w:rPr>
            </w:r>
          </w:p>
        </w:tc>
        <w:tc>
          <w:tcPr>
            <w:tcW w:w="19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124">
              <w:r>
                <w:rPr>
                  <w:rStyle w:val="InternetLink"/>
                  <w:rFonts w:ascii="Times New Roman;sans-serif" w:hAnsi="Times New Roman;sans-serif"/>
                  <w:b w:val="false"/>
                  <w:color w:val="0000FF"/>
                  <w:sz w:val="20"/>
                  <w:u w:val="single"/>
                </w:rPr>
                <w:t>10.20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5">
              <w:r>
                <w:rPr>
                  <w:rStyle w:val="InternetLink"/>
                  <w:rFonts w:ascii="Times New Roman;sans-serif" w:hAnsi="Times New Roman;sans-serif"/>
                  <w:b w:val="false"/>
                  <w:color w:val="0000FF"/>
                  <w:sz w:val="20"/>
                  <w:u w:val="single"/>
                </w:rPr>
                <w:t>Guaranty of Lease entered into as of July 20, 2020 by and between Eldorado Resorts, Inc. (to be renamed Caesars Entertainment, Inc. and converted to a Delaware corporation on the date thereof), CPLV Property Owner LLC, and Claudine Propco LLC (Las Vegas Master Lease)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7/21/2020</w:t>
            </w:r>
          </w:p>
        </w:tc>
        <w:tc>
          <w:tcPr>
            <w:tcW w:w="158"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126">
              <w:r>
                <w:rPr>
                  <w:rStyle w:val="InternetLink"/>
                  <w:rFonts w:ascii="Times New Roman;sans-serif" w:hAnsi="Times New Roman;sans-serif"/>
                  <w:b w:val="false"/>
                  <w:color w:val="0000FF"/>
                  <w:sz w:val="20"/>
                  <w:u w:val="single"/>
                </w:rPr>
                <w:t>10.21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7">
              <w:r>
                <w:rPr>
                  <w:rStyle w:val="InternetLink"/>
                  <w:rFonts w:ascii="Times New Roman;sans-serif" w:hAnsi="Times New Roman;sans-serif"/>
                  <w:b w:val="false"/>
                  <w:color w:val="0000FF"/>
                  <w:sz w:val="20"/>
                  <w:u w:val="single"/>
                </w:rPr>
                <w:t>Guaranty of Lease entered into as of July 20, 2020 by and between Eldorado Resorts, Inc. (to be renamed Caesars Entertainment, Inc. and converted to a Delaware corporation on the date thereof) and the entities listed on Schedule A thereto (Regional Lease).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7/21/2020</w:t>
            </w:r>
          </w:p>
        </w:tc>
        <w:tc>
          <w:tcPr>
            <w:tcW w:w="158"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128">
              <w:r>
                <w:rPr>
                  <w:rStyle w:val="InternetLink"/>
                  <w:rFonts w:ascii="Times New Roman;sans-serif" w:hAnsi="Times New Roman;sans-serif"/>
                  <w:b w:val="false"/>
                  <w:color w:val="0000FF"/>
                  <w:sz w:val="20"/>
                  <w:u w:val="single"/>
                </w:rPr>
                <w:t>10.22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9">
              <w:r>
                <w:rPr>
                  <w:rStyle w:val="InternetLink"/>
                  <w:rFonts w:ascii="Times New Roman;sans-serif" w:hAnsi="Times New Roman;sans-serif"/>
                  <w:b w:val="false"/>
                  <w:color w:val="0000FF"/>
                  <w:sz w:val="20"/>
                  <w:u w:val="single"/>
                </w:rPr>
                <w:t>Guaranty of Lease entered into as of July 20, 2020 by and between Eldorado Resorts, Inc. (to be renamed Caesars Entertainment, Inc. and converted to a Delaware corporation on the date thereof) and Harrah’s Joliet Landco LLC (Joliet Lease)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7/21/2020</w:t>
            </w:r>
          </w:p>
        </w:tc>
        <w:tc>
          <w:tcPr>
            <w:tcW w:w="158"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130">
              <w:r>
                <w:rPr>
                  <w:rStyle w:val="InternetLink"/>
                  <w:rFonts w:ascii="Times New Roman;sans-serif" w:hAnsi="Times New Roman;sans-serif"/>
                  <w:b w:val="false"/>
                  <w:color w:val="0000FF"/>
                  <w:sz w:val="20"/>
                  <w:u w:val="single"/>
                </w:rPr>
                <w:t>10.23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1">
              <w:r>
                <w:rPr>
                  <w:rStyle w:val="InternetLink"/>
                  <w:rFonts w:ascii="Times New Roman;sans-serif" w:hAnsi="Times New Roman;sans-serif"/>
                  <w:b w:val="false"/>
                  <w:color w:val="0000FF"/>
                  <w:sz w:val="20"/>
                  <w:u w:val="single"/>
                </w:rPr>
                <w:t>Amended and Restated Master Lease, by and between MGP Lessor, LLC and MGM Lessee, LLC, dated as of April 29, 2022.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4/29/2022</w:t>
            </w:r>
          </w:p>
        </w:tc>
        <w:tc>
          <w:tcPr>
            <w:tcW w:w="158"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132">
              <w:r>
                <w:rPr>
                  <w:rStyle w:val="InternetLink"/>
                  <w:rFonts w:ascii="Times New Roman;sans-serif" w:hAnsi="Times New Roman;sans-serif"/>
                  <w:b w:val="false"/>
                  <w:color w:val="0000FF"/>
                  <w:sz w:val="20"/>
                  <w:u w:val="single"/>
                </w:rPr>
                <w:t>10.24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3">
              <w:r>
                <w:rPr>
                  <w:rStyle w:val="InternetLink"/>
                  <w:rFonts w:ascii="Times New Roman;sans-serif" w:hAnsi="Times New Roman;sans-serif"/>
                  <w:b w:val="false"/>
                  <w:color w:val="0000FF"/>
                  <w:sz w:val="20"/>
                  <w:u w:val="single"/>
                </w:rPr>
                <w:t>First Amendment to Amended and Restated Master Lease, dated as of December 19, 2022, by and between MGP Lessor, LLC and MGM Lessee,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12/19/2022</w:t>
            </w:r>
          </w:p>
        </w:tc>
        <w:tc>
          <w:tcPr>
            <w:tcW w:w="158"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134">
              <w:r>
                <w:rPr>
                  <w:rStyle w:val="InternetLink"/>
                  <w:rFonts w:ascii="Times New Roman;sans-serif" w:hAnsi="Times New Roman;sans-serif"/>
                  <w:b w:val="false"/>
                  <w:color w:val="0000FF"/>
                  <w:sz w:val="20"/>
                  <w:u w:val="single"/>
                </w:rPr>
                <w:t>10.25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5">
              <w:r>
                <w:rPr>
                  <w:rStyle w:val="InternetLink"/>
                  <w:rFonts w:ascii="Times New Roman;sans-serif" w:hAnsi="Times New Roman;sans-serif"/>
                  <w:b w:val="false"/>
                  <w:color w:val="0000FF"/>
                  <w:sz w:val="20"/>
                  <w:u w:val="single"/>
                </w:rPr>
                <w:t>Second Amendment to Amended and Restated Master Lease, dated as of February 15, 2023, by and between MGP Lessor, LLC and MGM Lessee,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2/23/2023</w:t>
            </w:r>
          </w:p>
        </w:tc>
        <w:tc>
          <w:tcPr>
            <w:tcW w:w="158"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136">
              <w:r>
                <w:rPr>
                  <w:rStyle w:val="InternetLink"/>
                  <w:rFonts w:ascii="Times New Roman;sans-serif" w:hAnsi="Times New Roman;sans-serif"/>
                  <w:b w:val="false"/>
                  <w:color w:val="0000FF"/>
                  <w:sz w:val="20"/>
                  <w:u w:val="single"/>
                </w:rPr>
                <w:t>10.26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7">
              <w:r>
                <w:rPr>
                  <w:rStyle w:val="InternetLink"/>
                  <w:rFonts w:ascii="Times New Roman;sans-serif" w:hAnsi="Times New Roman;sans-serif"/>
                  <w:b w:val="false"/>
                  <w:color w:val="0000FF"/>
                  <w:sz w:val="20"/>
                  <w:u w:val="single"/>
                </w:rPr>
                <w:t>Amended and Restated Guaranty of Master Lease, by and between MGM Resorts International and MGP Lessor, LLC, dated as of April 29, 2022.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4/29/2022</w:t>
            </w:r>
          </w:p>
        </w:tc>
        <w:tc>
          <w:tcPr>
            <w:tcW w:w="158"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138">
              <w:r>
                <w:rPr>
                  <w:rStyle w:val="InternetLink"/>
                  <w:rFonts w:ascii="Times New Roman;sans-serif" w:hAnsi="Times New Roman;sans-serif"/>
                  <w:b w:val="false"/>
                  <w:color w:val="0000FF"/>
                  <w:sz w:val="20"/>
                  <w:u w:val="single"/>
                </w:rPr>
                <w:t>10.27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9">
              <w:r>
                <w:rPr>
                  <w:rStyle w:val="InternetLink"/>
                  <w:rFonts w:ascii="Times New Roman;sans-serif" w:hAnsi="Times New Roman;sans-serif"/>
                  <w:b w:val="false"/>
                  <w:color w:val="0000FF"/>
                  <w:sz w:val="20"/>
                  <w:u w:val="single"/>
                </w:rPr>
                <w:t>Tax Protection Agreement, by and among VICI Properties Inc., VICI Properties OP LLC, MGM Resorts International and the other parties thereto, dated as of April 29, 2022.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4/29/2022</w:t>
            </w:r>
          </w:p>
        </w:tc>
        <w:tc>
          <w:tcPr>
            <w:tcW w:w="158"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140">
              <w:r>
                <w:rPr>
                  <w:rStyle w:val="InternetLink"/>
                  <w:rFonts w:ascii="Times New Roman;sans-serif" w:hAnsi="Times New Roman;sans-serif"/>
                  <w:b w:val="false"/>
                  <w:color w:val="0000FF"/>
                  <w:sz w:val="20"/>
                  <w:u w:val="single"/>
                </w:rPr>
                <w:t>10.28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1">
              <w:r>
                <w:rPr>
                  <w:rStyle w:val="InternetLink"/>
                  <w:rFonts w:ascii="Times New Roman;sans-serif" w:hAnsi="Times New Roman;sans-serif"/>
                  <w:b w:val="false"/>
                  <w:color w:val="0000FF"/>
                  <w:sz w:val="20"/>
                  <w:u w:val="single"/>
                </w:rPr>
                <w:t>Lease, by and between Mandalay PropCo, LLC, MGM Grand PropCo, LLC and MGM Lessee II, LLC, dated as of February 14, 2020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2/23/2023</w:t>
            </w:r>
          </w:p>
        </w:tc>
        <w:tc>
          <w:tcPr>
            <w:tcW w:w="158"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142">
              <w:r>
                <w:rPr>
                  <w:rStyle w:val="InternetLink"/>
                  <w:rFonts w:ascii="Times New Roman;sans-serif" w:hAnsi="Times New Roman;sans-serif"/>
                  <w:b w:val="false"/>
                  <w:color w:val="0000FF"/>
                  <w:sz w:val="20"/>
                  <w:u w:val="single"/>
                </w:rPr>
                <w:t>10.29</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3">
              <w:r>
                <w:rPr>
                  <w:rStyle w:val="InternetLink"/>
                  <w:rFonts w:ascii="Times New Roman;sans-serif" w:hAnsi="Times New Roman;sans-serif"/>
                  <w:b w:val="false"/>
                  <w:color w:val="0000FF"/>
                  <w:sz w:val="20"/>
                  <w:u w:val="single"/>
                </w:rPr>
                <w:t>Guaranty of Lease Documents, by and between MGM Resorts International and Mandalay PropCo, LLC, MGM Grand PropCo, LLC, dated as of February 14, 2020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2/23/2023</w:t>
            </w:r>
          </w:p>
        </w:tc>
        <w:tc>
          <w:tcPr>
            <w:tcW w:w="158"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144">
              <w:r>
                <w:rPr>
                  <w:rStyle w:val="InternetLink"/>
                  <w:rFonts w:ascii="Times New Roman;sans-serif" w:hAnsi="Times New Roman;sans-serif"/>
                  <w:b w:val="false"/>
                  <w:color w:val="0000FF"/>
                  <w:sz w:val="20"/>
                  <w:u w:val="single"/>
                </w:rPr>
                <w:t>10.30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5">
              <w:r>
                <w:rPr>
                  <w:rStyle w:val="InternetLink"/>
                  <w:rFonts w:ascii="Times New Roman;sans-serif" w:hAnsi="Times New Roman;sans-serif"/>
                  <w:b w:val="false"/>
                  <w:color w:val="0000FF"/>
                  <w:sz w:val="20"/>
                  <w:u w:val="single"/>
                </w:rPr>
                <w:t>Loan Agreement, by and among Mandalay PropCo, LLC, MGM Grand PropCo, LLC, Citi Real Estate Funding Inc., Barclays Capital Real Estate Inc., Deutsche Bank AG. New York Branch, Société Générale Financial Corporation and Citi Real Estate Funding Inc., as administrative agent, dated as of February 14, 2020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2/23/2023</w:t>
            </w:r>
          </w:p>
        </w:tc>
        <w:tc>
          <w:tcPr>
            <w:tcW w:w="158"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146">
              <w:r>
                <w:rPr>
                  <w:rStyle w:val="InternetLink"/>
                  <w:rFonts w:ascii="Times New Roman;sans-serif" w:hAnsi="Times New Roman;sans-serif"/>
                  <w:b w:val="false"/>
                  <w:color w:val="0000FF"/>
                  <w:sz w:val="20"/>
                  <w:u w:val="single"/>
                </w:rPr>
                <w:t>10.31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7">
              <w:r>
                <w:rPr>
                  <w:rStyle w:val="InternetLink"/>
                  <w:rFonts w:ascii="Times New Roman;sans-serif" w:hAnsi="Times New Roman;sans-serif"/>
                  <w:b w:val="false"/>
                  <w:color w:val="0000FF"/>
                  <w:sz w:val="20"/>
                  <w:u w:val="single"/>
                </w:rPr>
                <w:t>First Amendment to Loan Agreement, dated as of March 30, 2020, among Mandalay Bay PropCo, LLC and MGM Grand PropCo, LLC, collectively as Borrower, and Citi Real Estate Funding Inc., Barclays Capital Real Estate Inc., Deutsche Bank AG, New York Branch, Société Générale Financial Corporation and Citi Real Estate Funding Inc., collectively, as Lender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2/23/2023</w:t>
            </w:r>
          </w:p>
        </w:tc>
        <w:tc>
          <w:tcPr>
            <w:tcW w:w="158"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148">
              <w:r>
                <w:rPr>
                  <w:rStyle w:val="InternetLink"/>
                  <w:rFonts w:ascii="Times New Roman;sans-serif" w:hAnsi="Times New Roman;sans-serif"/>
                  <w:b w:val="false"/>
                  <w:color w:val="0000FF"/>
                  <w:sz w:val="20"/>
                  <w:u w:val="single"/>
                </w:rPr>
                <w:t>10.32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9">
              <w:r>
                <w:rPr>
                  <w:rStyle w:val="InternetLink"/>
                  <w:rFonts w:ascii="Times New Roman;sans-serif" w:hAnsi="Times New Roman;sans-serif"/>
                  <w:b w:val="false"/>
                  <w:color w:val="0000FF"/>
                  <w:sz w:val="20"/>
                  <w:u w:val="single"/>
                </w:rPr>
                <w:t>Second Amendment to Loan Agreement, dated as of May 1, 2020, among Mandalay PropCo, LLC and MGM Grand PropCo, LLC, collectively as Borrower, and Citi Real Estate Funding Inc., Barclays Capital Real Estate Inc., Deutsche Bank AG, New York Branch, Société Générale Financial Corporation and Citi Real Estate Funding Inc., collectively, as Lender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2/23/2023</w:t>
            </w:r>
          </w:p>
        </w:tc>
        <w:tc>
          <w:tcPr>
            <w:tcW w:w="158"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150">
              <w:r>
                <w:rPr>
                  <w:rStyle w:val="InternetLink"/>
                  <w:rFonts w:ascii="Times New Roman;sans-serif" w:hAnsi="Times New Roman;sans-serif"/>
                  <w:b w:val="false"/>
                  <w:color w:val="0000FF"/>
                  <w:sz w:val="20"/>
                  <w:u w:val="single"/>
                </w:rPr>
                <w:t>10.33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1">
              <w:r>
                <w:rPr>
                  <w:rStyle w:val="InternetLink"/>
                  <w:rFonts w:ascii="Times New Roman;sans-serif" w:hAnsi="Times New Roman;sans-serif"/>
                  <w:b w:val="false"/>
                  <w:color w:val="0000FF"/>
                  <w:sz w:val="20"/>
                  <w:u w:val="single"/>
                </w:rPr>
                <w:t>Third Amendment to Loan Agreement, dated as of July 15, 2020, among Mandalay PropCo, LLC and MGM Grand PropCo, LLC, collectively as Borrower, and Wilmington Trust, National Association, solely in its capacity as trustee for the benefit of the holders of BX Commercial Mortgage Trust 2020-VIVA, Commercial Mortgage Pass-Through Certificates, Series 2020-VIVA, as Lender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2/23/2023</w:t>
            </w:r>
          </w:p>
        </w:tc>
        <w:tc>
          <w:tcPr>
            <w:tcW w:w="158"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b2fc48f0ddf244d9844b8de22bde2e36_10">
        <w:r>
          <w:rPr>
            <w:rStyle w:val="InternetLink"/>
            <w:rFonts w:ascii="Times New Roman;sans-serif" w:hAnsi="Times New Roman;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19"/>
        <w:gridCol w:w="192"/>
        <w:gridCol w:w="194"/>
        <w:gridCol w:w="109"/>
        <w:gridCol w:w="109"/>
        <w:gridCol w:w="109"/>
        <w:gridCol w:w="2165"/>
        <w:gridCol w:w="1853"/>
        <w:gridCol w:w="1857"/>
        <w:gridCol w:w="109"/>
        <w:gridCol w:w="109"/>
        <w:gridCol w:w="109"/>
        <w:gridCol w:w="109"/>
        <w:gridCol w:w="109"/>
        <w:gridCol w:w="109"/>
        <w:gridCol w:w="109"/>
        <w:gridCol w:w="109"/>
        <w:gridCol w:w="109"/>
        <w:gridCol w:w="141"/>
        <w:gridCol w:w="139"/>
        <w:gridCol w:w="121"/>
        <w:gridCol w:w="109"/>
        <w:gridCol w:w="109"/>
        <w:gridCol w:w="109"/>
        <w:gridCol w:w="189"/>
        <w:gridCol w:w="189"/>
        <w:gridCol w:w="193"/>
        <w:gridCol w:w="109"/>
        <w:gridCol w:w="109"/>
        <w:gridCol w:w="109"/>
        <w:gridCol w:w="210"/>
        <w:gridCol w:w="210"/>
        <w:gridCol w:w="211"/>
        <w:gridCol w:w="160"/>
      </w:tblGrid>
      <w:tr>
        <w:trPr/>
        <w:tc>
          <w:tcPr>
            <w:tcW w:w="21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5" w:type="dxa"/>
            <w:tcBorders/>
            <w:vAlign w:val="center"/>
          </w:tcPr>
          <w:p>
            <w:pPr>
              <w:pStyle w:val="TableContents"/>
              <w:bidi w:val="0"/>
              <w:spacing w:before="0" w:after="283"/>
              <w:jc w:val="left"/>
              <w:rPr>
                <w:sz w:val="4"/>
                <w:szCs w:val="4"/>
              </w:rPr>
            </w:pPr>
            <w:r>
              <w:rPr>
                <w:sz w:val="4"/>
                <w:szCs w:val="4"/>
              </w:rPr>
            </w:r>
          </w:p>
        </w:tc>
        <w:tc>
          <w:tcPr>
            <w:tcW w:w="1853" w:type="dxa"/>
            <w:tcBorders/>
            <w:vAlign w:val="center"/>
          </w:tcPr>
          <w:p>
            <w:pPr>
              <w:pStyle w:val="TableContents"/>
              <w:bidi w:val="0"/>
              <w:spacing w:before="0" w:after="283"/>
              <w:jc w:val="left"/>
              <w:rPr>
                <w:sz w:val="4"/>
                <w:szCs w:val="4"/>
              </w:rPr>
            </w:pPr>
            <w:r>
              <w:rPr>
                <w:sz w:val="4"/>
                <w:szCs w:val="4"/>
              </w:rPr>
            </w:r>
          </w:p>
        </w:tc>
        <w:tc>
          <w:tcPr>
            <w:tcW w:w="18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0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152">
              <w:r>
                <w:rPr>
                  <w:rStyle w:val="InternetLink"/>
                  <w:rFonts w:ascii="Times New Roman;sans-serif" w:hAnsi="Times New Roman;sans-serif"/>
                  <w:b w:val="false"/>
                  <w:color w:val="0000FF"/>
                  <w:sz w:val="20"/>
                  <w:u w:val="single"/>
                </w:rPr>
                <w:t>10.34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3">
              <w:r>
                <w:rPr>
                  <w:rStyle w:val="InternetLink"/>
                  <w:rFonts w:ascii="Times New Roman;sans-serif" w:hAnsi="Times New Roman;sans-serif"/>
                  <w:b w:val="false"/>
                  <w:color w:val="0000FF"/>
                  <w:sz w:val="20"/>
                  <w:u w:val="single"/>
                </w:rPr>
                <w:t xml:space="preserve">Credit Agreement, dated as of February 8, 2022, among VICI Properties LP, the lenders from time to time party thereto and JPMorgan Chase Bank, N.A., as administrative agent.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2/9/2022</w:t>
            </w:r>
          </w:p>
        </w:tc>
        <w:tc>
          <w:tcPr>
            <w:tcW w:w="160" w:type="dxa"/>
            <w:tcBorders/>
            <w:vAlign w:val="center"/>
          </w:tcPr>
          <w:p>
            <w:pPr>
              <w:pStyle w:val="TableContents"/>
              <w:bidi w:val="0"/>
              <w:spacing w:before="0" w:after="283"/>
              <w:jc w:val="left"/>
              <w:rPr>
                <w:sz w:val="4"/>
                <w:szCs w:val="4"/>
              </w:rPr>
            </w:pPr>
            <w:r>
              <w:rPr>
                <w:sz w:val="4"/>
                <w:szCs w:val="4"/>
              </w:rPr>
            </w:r>
          </w:p>
        </w:tc>
      </w:tr>
      <w:tr>
        <w:trPr/>
        <w:tc>
          <w:tcPr>
            <w:tcW w:w="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0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154">
              <w:r>
                <w:rPr>
                  <w:rStyle w:val="InternetLink"/>
                  <w:rFonts w:ascii="Times New Roman;sans-serif" w:hAnsi="Times New Roman;sans-serif"/>
                  <w:b w:val="false"/>
                  <w:color w:val="0000FF"/>
                  <w:sz w:val="20"/>
                  <w:u w:val="single"/>
                </w:rPr>
                <w:t>10.35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5">
              <w:r>
                <w:rPr>
                  <w:rStyle w:val="InternetLink"/>
                  <w:rFonts w:ascii="Times New Roman;sans-serif" w:hAnsi="Times New Roman;sans-serif"/>
                  <w:b w:val="false"/>
                  <w:color w:val="0000FF"/>
                  <w:sz w:val="20"/>
                  <w:u w:val="single"/>
                </w:rPr>
                <w:t>First Amendment to Credit Agreement, dated as of July 15, 2022, to the Credit Agreement dated as of February 8, 2022, by and among VICI Properties L.P., as Borrower, the financial institutions party thereto as lenders, and JPMorgan Chase Bank, N.A., as Administrative Agent.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7/27/2022</w:t>
            </w:r>
          </w:p>
        </w:tc>
        <w:tc>
          <w:tcPr>
            <w:tcW w:w="160" w:type="dxa"/>
            <w:tcBorders/>
            <w:vAlign w:val="center"/>
          </w:tcPr>
          <w:p>
            <w:pPr>
              <w:pStyle w:val="TableContents"/>
              <w:bidi w:val="0"/>
              <w:spacing w:before="0" w:after="283"/>
              <w:jc w:val="left"/>
              <w:rPr>
                <w:sz w:val="4"/>
                <w:szCs w:val="4"/>
              </w:rPr>
            </w:pPr>
            <w:r>
              <w:rPr>
                <w:sz w:val="4"/>
                <w:szCs w:val="4"/>
              </w:rPr>
            </w:r>
          </w:p>
        </w:tc>
      </w:tr>
      <w:tr>
        <w:trPr/>
        <w:tc>
          <w:tcPr>
            <w:tcW w:w="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0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156">
              <w:r>
                <w:rPr>
                  <w:rStyle w:val="InternetLink"/>
                  <w:rFonts w:ascii="Times New Roman;sans-serif" w:hAnsi="Times New Roman;sans-serif"/>
                  <w:b w:val="false"/>
                  <w:color w:val="0000FF"/>
                  <w:sz w:val="20"/>
                  <w:u w:val="single"/>
                </w:rPr>
                <w:t>10.36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7">
              <w:r>
                <w:rPr>
                  <w:rStyle w:val="InternetLink"/>
                  <w:rFonts w:ascii="Times New Roman;sans-serif" w:hAnsi="Times New Roman;sans-serif"/>
                  <w:b w:val="false"/>
                  <w:color w:val="0000FF"/>
                  <w:sz w:val="20"/>
                  <w:u w:val="single"/>
                </w:rPr>
                <w:t>Second Amendment to Credit Agreement dated as of August 4, 2023, to the Credit Agreement dated as of February 8, 2022, by and among VICI Properties L.P., as Borrower, the financial institutions party thereto as lenders, and JPMorgan Chase Bank, N.A., as Administrative Agent.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10/25/2023</w:t>
            </w:r>
          </w:p>
        </w:tc>
        <w:tc>
          <w:tcPr>
            <w:tcW w:w="160" w:type="dxa"/>
            <w:tcBorders/>
            <w:vAlign w:val="center"/>
          </w:tcPr>
          <w:p>
            <w:pPr>
              <w:pStyle w:val="TableContents"/>
              <w:bidi w:val="0"/>
              <w:spacing w:before="0" w:after="283"/>
              <w:jc w:val="left"/>
              <w:rPr>
                <w:sz w:val="4"/>
                <w:szCs w:val="4"/>
              </w:rPr>
            </w:pPr>
            <w:r>
              <w:rPr>
                <w:sz w:val="4"/>
                <w:szCs w:val="4"/>
              </w:rPr>
            </w:r>
          </w:p>
        </w:tc>
      </w:tr>
      <w:tr>
        <w:trPr/>
        <w:tc>
          <w:tcPr>
            <w:tcW w:w="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0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158">
              <w:r>
                <w:rPr>
                  <w:rStyle w:val="InternetLink"/>
                  <w:rFonts w:ascii="Times New Roman;sans-serif" w:hAnsi="Times New Roman;sans-serif"/>
                  <w:b w:val="false"/>
                  <w:color w:val="0000FF"/>
                  <w:sz w:val="20"/>
                  <w:u w:val="single"/>
                </w:rPr>
                <w:t>10.37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9">
              <w:r>
                <w:rPr>
                  <w:rStyle w:val="InternetLink"/>
                  <w:rFonts w:ascii="Times New Roman;sans-serif" w:hAnsi="Times New Roman;sans-serif"/>
                  <w:b w:val="false"/>
                  <w:color w:val="0000FF"/>
                  <w:sz w:val="20"/>
                  <w:u w:val="single"/>
                </w:rPr>
                <w:t>Second Amended and Restated Agreement of Limited Partnership of VICI Properties L.P.</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4/29/2022</w:t>
            </w:r>
          </w:p>
        </w:tc>
        <w:tc>
          <w:tcPr>
            <w:tcW w:w="160" w:type="dxa"/>
            <w:tcBorders/>
            <w:vAlign w:val="center"/>
          </w:tcPr>
          <w:p>
            <w:pPr>
              <w:pStyle w:val="TableContents"/>
              <w:bidi w:val="0"/>
              <w:spacing w:before="0" w:after="283"/>
              <w:jc w:val="left"/>
              <w:rPr>
                <w:sz w:val="4"/>
                <w:szCs w:val="4"/>
              </w:rPr>
            </w:pPr>
            <w:r>
              <w:rPr>
                <w:sz w:val="4"/>
                <w:szCs w:val="4"/>
              </w:rPr>
            </w:r>
          </w:p>
        </w:tc>
      </w:tr>
      <w:tr>
        <w:trPr/>
        <w:tc>
          <w:tcPr>
            <w:tcW w:w="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0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160">
              <w:r>
                <w:rPr>
                  <w:rStyle w:val="InternetLink"/>
                  <w:rFonts w:ascii="Times New Roman;sans-serif" w:hAnsi="Times New Roman;sans-serif"/>
                  <w:b w:val="false"/>
                  <w:color w:val="0000FF"/>
                  <w:sz w:val="20"/>
                  <w:u w:val="single"/>
                </w:rPr>
                <w:t>10.38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1">
              <w:r>
                <w:rPr>
                  <w:rStyle w:val="InternetLink"/>
                  <w:rFonts w:ascii="Times New Roman;sans-serif" w:hAnsi="Times New Roman;sans-serif"/>
                  <w:b w:val="false"/>
                  <w:color w:val="0000FF"/>
                  <w:sz w:val="20"/>
                  <w:u w:val="single"/>
                </w:rPr>
                <w:t>Amended and Restated Limited Liability Company Agreement of VICI Properties OP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4/29/2022</w:t>
            </w:r>
          </w:p>
        </w:tc>
        <w:tc>
          <w:tcPr>
            <w:tcW w:w="160" w:type="dxa"/>
            <w:tcBorders/>
            <w:vAlign w:val="center"/>
          </w:tcPr>
          <w:p>
            <w:pPr>
              <w:pStyle w:val="TableContents"/>
              <w:bidi w:val="0"/>
              <w:spacing w:before="0" w:after="283"/>
              <w:jc w:val="left"/>
              <w:rPr>
                <w:sz w:val="4"/>
                <w:szCs w:val="4"/>
              </w:rPr>
            </w:pPr>
            <w:r>
              <w:rPr>
                <w:sz w:val="4"/>
                <w:szCs w:val="4"/>
              </w:rPr>
            </w:r>
          </w:p>
        </w:tc>
      </w:tr>
      <w:tr>
        <w:trPr/>
        <w:tc>
          <w:tcPr>
            <w:tcW w:w="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0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162">
              <w:r>
                <w:rPr>
                  <w:rStyle w:val="InternetLink"/>
                  <w:rFonts w:ascii="Times New Roman;sans-serif" w:hAnsi="Times New Roman;sans-serif"/>
                  <w:b w:val="false"/>
                  <w:color w:val="0000FF"/>
                  <w:sz w:val="20"/>
                  <w:u w:val="single"/>
                </w:rPr>
                <w:t>10.39</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3">
              <w:r>
                <w:rPr>
                  <w:rStyle w:val="InternetLink"/>
                  <w:rFonts w:ascii="Times New Roman;sans-serif" w:hAnsi="Times New Roman;sans-serif"/>
                  <w:b w:val="false"/>
                  <w:color w:val="0000FF"/>
                  <w:sz w:val="20"/>
                  <w:u w:val="single"/>
                </w:rPr>
                <w:t>Form of Indemnification Agreement, between VICI Properties Inc. and its directors and officers.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9/28/2017</w:t>
            </w:r>
          </w:p>
        </w:tc>
        <w:tc>
          <w:tcPr>
            <w:tcW w:w="160" w:type="dxa"/>
            <w:tcBorders/>
            <w:vAlign w:val="center"/>
          </w:tcPr>
          <w:p>
            <w:pPr>
              <w:pStyle w:val="TableContents"/>
              <w:bidi w:val="0"/>
              <w:spacing w:before="0" w:after="283"/>
              <w:jc w:val="left"/>
              <w:rPr>
                <w:sz w:val="4"/>
                <w:szCs w:val="4"/>
              </w:rPr>
            </w:pPr>
            <w:r>
              <w:rPr>
                <w:sz w:val="4"/>
                <w:szCs w:val="4"/>
              </w:rPr>
            </w:r>
          </w:p>
        </w:tc>
      </w:tr>
      <w:tr>
        <w:trPr/>
        <w:tc>
          <w:tcPr>
            <w:tcW w:w="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0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164">
              <w:r>
                <w:rPr>
                  <w:rStyle w:val="InternetLink"/>
                  <w:rFonts w:ascii="Times New Roman;sans-serif" w:hAnsi="Times New Roman;sans-serif"/>
                  <w:b w:val="false"/>
                  <w:color w:val="0000FF"/>
                  <w:sz w:val="20"/>
                  <w:u w:val="single"/>
                </w:rPr>
                <w:t>10.40†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5">
              <w:r>
                <w:rPr>
                  <w:rStyle w:val="InternetLink"/>
                  <w:rFonts w:ascii="Times New Roman;sans-serif" w:hAnsi="Times New Roman;sans-serif"/>
                  <w:b w:val="false"/>
                  <w:color w:val="0000FF"/>
                  <w:sz w:val="20"/>
                  <w:u w:val="single"/>
                </w:rPr>
                <w:t>Amended and Restated Employment Agreement, dated as of September 25, 2019, by and between VICI Properties Inc., VICI Properties L.P. and John Payne.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9/26/2019</w:t>
            </w:r>
          </w:p>
        </w:tc>
        <w:tc>
          <w:tcPr>
            <w:tcW w:w="160" w:type="dxa"/>
            <w:tcBorders/>
            <w:vAlign w:val="center"/>
          </w:tcPr>
          <w:p>
            <w:pPr>
              <w:pStyle w:val="TableContents"/>
              <w:bidi w:val="0"/>
              <w:spacing w:before="0" w:after="283"/>
              <w:jc w:val="left"/>
              <w:rPr>
                <w:sz w:val="4"/>
                <w:szCs w:val="4"/>
              </w:rPr>
            </w:pPr>
            <w:r>
              <w:rPr>
                <w:sz w:val="4"/>
                <w:szCs w:val="4"/>
              </w:rPr>
            </w:r>
          </w:p>
        </w:tc>
      </w:tr>
      <w:tr>
        <w:trPr/>
        <w:tc>
          <w:tcPr>
            <w:tcW w:w="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0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166">
              <w:r>
                <w:rPr>
                  <w:rStyle w:val="InternetLink"/>
                  <w:rFonts w:ascii="Times New Roman;sans-serif" w:hAnsi="Times New Roman;sans-serif"/>
                  <w:b w:val="false"/>
                  <w:color w:val="0000FF"/>
                  <w:sz w:val="20"/>
                  <w:u w:val="single"/>
                </w:rPr>
                <w:t>10.41†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7">
              <w:r>
                <w:rPr>
                  <w:rStyle w:val="InternetLink"/>
                  <w:rFonts w:ascii="Times New Roman;sans-serif" w:hAnsi="Times New Roman;sans-serif"/>
                  <w:b w:val="false"/>
                  <w:color w:val="0000FF"/>
                  <w:sz w:val="20"/>
                  <w:u w:val="single"/>
                </w:rPr>
                <w:t>Amended and Restated Employment Agreement, dated as of September 25, 2019, by and between VICI Properties Inc., VICI Properties L.P. and Edward Pitoniak.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9/26/2019</w:t>
            </w:r>
          </w:p>
        </w:tc>
        <w:tc>
          <w:tcPr>
            <w:tcW w:w="160" w:type="dxa"/>
            <w:tcBorders/>
            <w:vAlign w:val="center"/>
          </w:tcPr>
          <w:p>
            <w:pPr>
              <w:pStyle w:val="TableContents"/>
              <w:bidi w:val="0"/>
              <w:spacing w:before="0" w:after="283"/>
              <w:jc w:val="left"/>
              <w:rPr>
                <w:sz w:val="4"/>
                <w:szCs w:val="4"/>
              </w:rPr>
            </w:pPr>
            <w:r>
              <w:rPr>
                <w:sz w:val="4"/>
                <w:szCs w:val="4"/>
              </w:rPr>
            </w:r>
          </w:p>
        </w:tc>
      </w:tr>
      <w:tr>
        <w:trPr/>
        <w:tc>
          <w:tcPr>
            <w:tcW w:w="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0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168">
              <w:r>
                <w:rPr>
                  <w:rStyle w:val="InternetLink"/>
                  <w:rFonts w:ascii="Times New Roman;sans-serif" w:hAnsi="Times New Roman;sans-serif"/>
                  <w:b w:val="false"/>
                  <w:color w:val="0000FF"/>
                  <w:sz w:val="20"/>
                  <w:u w:val="single"/>
                </w:rPr>
                <w:t>10.42†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9">
              <w:r>
                <w:rPr>
                  <w:rStyle w:val="InternetLink"/>
                  <w:rFonts w:ascii="Times New Roman;sans-serif" w:hAnsi="Times New Roman;sans-serif"/>
                  <w:b w:val="false"/>
                  <w:color w:val="0000FF"/>
                  <w:sz w:val="20"/>
                  <w:u w:val="single"/>
                </w:rPr>
                <w:t>Amended and Restated Employment Agreement, dated as of September 25, 2019, by and between VICI Properties Inc., VICI Properties L.P. and David Kieske.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9/26/2019</w:t>
            </w:r>
          </w:p>
        </w:tc>
        <w:tc>
          <w:tcPr>
            <w:tcW w:w="160" w:type="dxa"/>
            <w:tcBorders/>
            <w:vAlign w:val="center"/>
          </w:tcPr>
          <w:p>
            <w:pPr>
              <w:pStyle w:val="TableContents"/>
              <w:bidi w:val="0"/>
              <w:spacing w:before="0" w:after="283"/>
              <w:jc w:val="left"/>
              <w:rPr>
                <w:sz w:val="4"/>
                <w:szCs w:val="4"/>
              </w:rPr>
            </w:pPr>
            <w:r>
              <w:rPr>
                <w:sz w:val="4"/>
                <w:szCs w:val="4"/>
              </w:rPr>
            </w:r>
          </w:p>
        </w:tc>
      </w:tr>
      <w:tr>
        <w:trPr/>
        <w:tc>
          <w:tcPr>
            <w:tcW w:w="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0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170">
              <w:r>
                <w:rPr>
                  <w:rStyle w:val="InternetLink"/>
                  <w:rFonts w:ascii="Times New Roman;sans-serif" w:hAnsi="Times New Roman;sans-serif"/>
                  <w:b w:val="false"/>
                  <w:color w:val="0000FF"/>
                  <w:sz w:val="20"/>
                  <w:u w:val="single"/>
                </w:rPr>
                <w:t>10.43†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71">
              <w:r>
                <w:rPr>
                  <w:rStyle w:val="InternetLink"/>
                  <w:rFonts w:ascii="Times New Roman;sans-serif" w:hAnsi="Times New Roman;sans-serif"/>
                  <w:b w:val="false"/>
                  <w:color w:val="0000FF"/>
                  <w:sz w:val="20"/>
                  <w:u w:val="single"/>
                </w:rPr>
                <w:t>Amended and Restated Employment Agreement, dated as of September 25, 2019, by and between VICI Properties Inc., VICI Properties L.P. and Samantha Gallagher.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9/26/2019</w:t>
            </w:r>
          </w:p>
        </w:tc>
        <w:tc>
          <w:tcPr>
            <w:tcW w:w="160" w:type="dxa"/>
            <w:tcBorders/>
            <w:vAlign w:val="center"/>
          </w:tcPr>
          <w:p>
            <w:pPr>
              <w:pStyle w:val="TableContents"/>
              <w:bidi w:val="0"/>
              <w:spacing w:before="0" w:after="283"/>
              <w:jc w:val="left"/>
              <w:rPr>
                <w:sz w:val="4"/>
                <w:szCs w:val="4"/>
              </w:rPr>
            </w:pPr>
            <w:r>
              <w:rPr>
                <w:sz w:val="4"/>
                <w:szCs w:val="4"/>
              </w:rPr>
            </w:r>
          </w:p>
        </w:tc>
      </w:tr>
      <w:tr>
        <w:trPr/>
        <w:tc>
          <w:tcPr>
            <w:tcW w:w="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0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172">
              <w:r>
                <w:rPr>
                  <w:rStyle w:val="InternetLink"/>
                  <w:rFonts w:ascii="Times New Roman;sans-serif" w:hAnsi="Times New Roman;sans-serif"/>
                  <w:b w:val="false"/>
                  <w:color w:val="0000FF"/>
                  <w:sz w:val="20"/>
                  <w:u w:val="single"/>
                </w:rPr>
                <w:t>10.44†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73">
              <w:r>
                <w:rPr>
                  <w:rStyle w:val="InternetLink"/>
                  <w:rFonts w:ascii="Times New Roman;sans-serif" w:hAnsi="Times New Roman;sans-serif"/>
                  <w:b w:val="false"/>
                  <w:color w:val="0000FF"/>
                  <w:sz w:val="20"/>
                  <w:u w:val="single"/>
                </w:rPr>
                <w:t>VICI Properties Inc. 2017 Stock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10/11/2017</w:t>
            </w:r>
          </w:p>
        </w:tc>
        <w:tc>
          <w:tcPr>
            <w:tcW w:w="160" w:type="dxa"/>
            <w:tcBorders/>
            <w:vAlign w:val="center"/>
          </w:tcPr>
          <w:p>
            <w:pPr>
              <w:pStyle w:val="TableContents"/>
              <w:bidi w:val="0"/>
              <w:spacing w:before="0" w:after="283"/>
              <w:jc w:val="left"/>
              <w:rPr>
                <w:sz w:val="4"/>
                <w:szCs w:val="4"/>
              </w:rPr>
            </w:pPr>
            <w:r>
              <w:rPr>
                <w:sz w:val="4"/>
                <w:szCs w:val="4"/>
              </w:rPr>
            </w:r>
          </w:p>
        </w:tc>
      </w:tr>
      <w:tr>
        <w:trPr/>
        <w:tc>
          <w:tcPr>
            <w:tcW w:w="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0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174">
              <w:r>
                <w:rPr>
                  <w:rStyle w:val="InternetLink"/>
                  <w:rFonts w:ascii="Times New Roman;sans-serif" w:hAnsi="Times New Roman;sans-serif"/>
                  <w:b w:val="false"/>
                  <w:color w:val="0000FF"/>
                  <w:sz w:val="20"/>
                  <w:u w:val="single"/>
                </w:rPr>
                <w:t>10.45†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75">
              <w:r>
                <w:rPr>
                  <w:rStyle w:val="InternetLink"/>
                  <w:rFonts w:ascii="Times New Roman;sans-serif" w:hAnsi="Times New Roman;sans-serif"/>
                  <w:b w:val="false"/>
                  <w:color w:val="0000FF"/>
                  <w:sz w:val="20"/>
                  <w:u w:val="single"/>
                </w:rPr>
                <w:t>Amendment No. 1 to VICI Properties Inc. 2017 Stock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10.52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2/14/2019</w:t>
            </w:r>
          </w:p>
        </w:tc>
        <w:tc>
          <w:tcPr>
            <w:tcW w:w="160" w:type="dxa"/>
            <w:tcBorders/>
            <w:vAlign w:val="center"/>
          </w:tcPr>
          <w:p>
            <w:pPr>
              <w:pStyle w:val="TableContents"/>
              <w:bidi w:val="0"/>
              <w:spacing w:before="0" w:after="283"/>
              <w:jc w:val="left"/>
              <w:rPr>
                <w:sz w:val="4"/>
                <w:szCs w:val="4"/>
              </w:rPr>
            </w:pPr>
            <w:r>
              <w:rPr>
                <w:sz w:val="4"/>
                <w:szCs w:val="4"/>
              </w:rPr>
            </w:r>
          </w:p>
        </w:tc>
      </w:tr>
      <w:tr>
        <w:trPr/>
        <w:tc>
          <w:tcPr>
            <w:tcW w:w="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0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176">
              <w:r>
                <w:rPr>
                  <w:rStyle w:val="InternetLink"/>
                  <w:rFonts w:ascii="Times New Roman;sans-serif" w:hAnsi="Times New Roman;sans-serif"/>
                  <w:b w:val="false"/>
                  <w:color w:val="0000FF"/>
                  <w:sz w:val="20"/>
                  <w:u w:val="single"/>
                </w:rPr>
                <w:t>10.46†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77">
              <w:r>
                <w:rPr>
                  <w:rStyle w:val="InternetLink"/>
                  <w:rFonts w:ascii="Times New Roman;sans-serif" w:hAnsi="Times New Roman;sans-serif"/>
                  <w:b w:val="false"/>
                  <w:color w:val="0000FF"/>
                  <w:sz w:val="20"/>
                  <w:u w:val="single"/>
                </w:rPr>
                <w:t>Form of Restricted Stock Grant.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3/28/2018</w:t>
            </w:r>
          </w:p>
        </w:tc>
        <w:tc>
          <w:tcPr>
            <w:tcW w:w="160" w:type="dxa"/>
            <w:tcBorders/>
            <w:vAlign w:val="center"/>
          </w:tcPr>
          <w:p>
            <w:pPr>
              <w:pStyle w:val="TableContents"/>
              <w:bidi w:val="0"/>
              <w:spacing w:before="0" w:after="283"/>
              <w:jc w:val="left"/>
              <w:rPr>
                <w:sz w:val="4"/>
                <w:szCs w:val="4"/>
              </w:rPr>
            </w:pPr>
            <w:r>
              <w:rPr>
                <w:sz w:val="4"/>
                <w:szCs w:val="4"/>
              </w:rPr>
            </w:r>
          </w:p>
        </w:tc>
      </w:tr>
      <w:tr>
        <w:trPr/>
        <w:tc>
          <w:tcPr>
            <w:tcW w:w="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0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vici-amendedrsaagreementfe.htm">
              <w:r>
                <w:rPr>
                  <w:rStyle w:val="InternetLink"/>
                  <w:rFonts w:ascii="Times New Roman;sans-serif" w:hAnsi="Times New Roman;sans-serif"/>
                  <w:b w:val="false"/>
                  <w:color w:val="0000FF"/>
                  <w:sz w:val="20"/>
                  <w:u w:val="single"/>
                </w:rPr>
                <w:t>10.47†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vici-amendedrsaagreementfe.htm">
              <w:r>
                <w:rPr>
                  <w:rStyle w:val="InternetLink"/>
                  <w:rFonts w:ascii="Times New Roman;sans-serif" w:hAnsi="Times New Roman;sans-serif"/>
                  <w:b w:val="false"/>
                  <w:color w:val="000080"/>
                  <w:sz w:val="20"/>
                  <w:u w:val="single"/>
                </w:rPr>
                <w:t>Form of LTIP Time-Based Restricted Stock Grant Agreement</w:t>
              </w:r>
            </w:hyperlink>
            <w:hyperlink w:anchor="vici-amendedrsaagreementfe.htm">
              <w:r>
                <w:rPr>
                  <w:rStyle w:val="InternetLink"/>
                  <w:rFonts w:ascii="Times New Roman;sans-serif" w:hAnsi="Times New Roman;sans-serif"/>
                  <w:b w:val="false"/>
                  <w:color w:val="000080"/>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0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vici-amendedpsuagreementfe.htm">
              <w:r>
                <w:rPr>
                  <w:rStyle w:val="InternetLink"/>
                  <w:rFonts w:ascii="Times New Roman;sans-serif" w:hAnsi="Times New Roman;sans-serif"/>
                  <w:b w:val="false"/>
                  <w:color w:val="0000FF"/>
                  <w:sz w:val="20"/>
                  <w:u w:val="single"/>
                </w:rPr>
                <w:t>10.48†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vici-amendedpsuagreementfe.htm">
              <w:r>
                <w:rPr>
                  <w:rStyle w:val="InternetLink"/>
                  <w:rFonts w:ascii="Times New Roman;sans-serif" w:hAnsi="Times New Roman;sans-serif"/>
                  <w:b w:val="false"/>
                  <w:color w:val="0000FF"/>
                  <w:sz w:val="20"/>
                  <w:u w:val="single"/>
                </w:rPr>
                <w:t>Form of LTIP Performance-Based Restricted Stock Unit Agreement.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0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vici202310-kexhibit211.htm">
              <w:r>
                <w:rPr>
                  <w:rStyle w:val="InternetLink"/>
                  <w:rFonts w:ascii="Times New Roman;sans-serif" w:hAnsi="Times New Roman;sans-serif"/>
                  <w:b w:val="false"/>
                  <w:color w:val="0000FF"/>
                  <w:sz w:val="20"/>
                  <w:u w:val="single"/>
                </w:rPr>
                <w:t>21.1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vici202310-kexhibit211.htm">
              <w:r>
                <w:rPr>
                  <w:rStyle w:val="InternetLink"/>
                  <w:rFonts w:ascii="Times New Roman;sans-serif" w:hAnsi="Times New Roman;sans-serif"/>
                  <w:b w:val="false"/>
                  <w:color w:val="0000FF"/>
                  <w:sz w:val="20"/>
                  <w:u w:val="single"/>
                </w:rPr>
                <w:t>Subsidiaries of VICI Properties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0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vici202310-kexhibit212.htm">
              <w:r>
                <w:rPr>
                  <w:rStyle w:val="InternetLink"/>
                  <w:rFonts w:ascii="Times New Roman;sans-serif" w:hAnsi="Times New Roman;sans-serif"/>
                  <w:b w:val="false"/>
                  <w:color w:val="0000FF"/>
                  <w:sz w:val="20"/>
                  <w:u w:val="single"/>
                </w:rPr>
                <w:t>21.2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vici202310-kexhibit212.htm">
              <w:r>
                <w:rPr>
                  <w:rStyle w:val="InternetLink"/>
                  <w:rFonts w:ascii="Times New Roman;sans-serif" w:hAnsi="Times New Roman;sans-serif"/>
                  <w:b w:val="false"/>
                  <w:color w:val="0000FF"/>
                  <w:sz w:val="20"/>
                  <w:u w:val="single"/>
                </w:rPr>
                <w:t>Subsidiaries of VICI Properties L.P.</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0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vici202310-kexhibit231.htm">
              <w:r>
                <w:rPr>
                  <w:rStyle w:val="InternetLink"/>
                  <w:rFonts w:ascii="Times New Roman;sans-serif" w:hAnsi="Times New Roman;sans-serif"/>
                  <w:b w:val="false"/>
                  <w:color w:val="0000FF"/>
                  <w:sz w:val="20"/>
                  <w:u w:val="single"/>
                </w:rPr>
                <w:t>23.1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vici202310-kexhibit231.htm">
              <w:r>
                <w:rPr>
                  <w:rStyle w:val="InternetLink"/>
                  <w:rFonts w:ascii="Times New Roman;sans-serif" w:hAnsi="Times New Roman;sans-serif"/>
                  <w:b w:val="false"/>
                  <w:color w:val="0000FF"/>
                  <w:sz w:val="20"/>
                  <w:u w:val="single"/>
                </w:rPr>
                <w:t>Consent of Deloitte &amp; Touche LLP for VICI Properties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0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vici202310-kexhibit232.htm">
              <w:r>
                <w:rPr>
                  <w:rStyle w:val="InternetLink"/>
                  <w:rFonts w:ascii="Times New Roman;sans-serif" w:hAnsi="Times New Roman;sans-serif"/>
                  <w:b w:val="false"/>
                  <w:color w:val="0000FF"/>
                  <w:sz w:val="20"/>
                  <w:u w:val="single"/>
                </w:rPr>
                <w:t>23.2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vici202310-kexhibit232.htm">
              <w:r>
                <w:rPr>
                  <w:rStyle w:val="InternetLink"/>
                  <w:rFonts w:ascii="Times New Roman;sans-serif" w:hAnsi="Times New Roman;sans-serif"/>
                  <w:b w:val="false"/>
                  <w:color w:val="0000FF"/>
                  <w:sz w:val="20"/>
                  <w:u w:val="single"/>
                </w:rPr>
                <w:t>Consent of Deloitte &amp; Touche LLP for VICI Properties L.P.</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0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2fc48f0ddf244d9844b8de22bde2e36_103">
              <w:r>
                <w:rPr>
                  <w:rStyle w:val="InternetLink"/>
                  <w:rFonts w:ascii="Times New Roman;sans-serif" w:hAnsi="Times New Roman;sans-serif"/>
                  <w:b w:val="false"/>
                  <w:color w:val="0000FF"/>
                  <w:sz w:val="20"/>
                  <w:u w:val="single"/>
                </w:rPr>
                <w:t>24.1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2fc48f0ddf244d9844b8de22bde2e36_103">
              <w:r>
                <w:rPr>
                  <w:rStyle w:val="InternetLink"/>
                  <w:rFonts w:ascii="Times New Roman;sans-serif" w:hAnsi="Times New Roman;sans-serif"/>
                  <w:b w:val="false"/>
                  <w:color w:val="0000FF"/>
                  <w:sz w:val="20"/>
                  <w:u w:val="single"/>
                </w:rPr>
                <w:t>Power of Attorney (included on signature page)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0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vici202310-kexhibit311.htm">
              <w:r>
                <w:rPr>
                  <w:rStyle w:val="InternetLink"/>
                  <w:rFonts w:ascii="Times New Roman;sans-serif" w:hAnsi="Times New Roman;sans-serif"/>
                  <w:b w:val="false"/>
                  <w:color w:val="0000FF"/>
                  <w:sz w:val="20"/>
                  <w:u w:val="single"/>
                </w:rPr>
                <w:t>31.1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vici202310-kexhibit311.htm">
              <w:r>
                <w:rPr>
                  <w:rStyle w:val="InternetLink"/>
                  <w:rFonts w:ascii="Times New Roman;sans-serif" w:hAnsi="Times New Roman;sans-serif"/>
                  <w:b w:val="false"/>
                  <w:color w:val="0000FF"/>
                  <w:sz w:val="20"/>
                  <w:u w:val="single"/>
                </w:rPr>
                <w:t>VICI Properties Inc. Certification of Principal Executive Officer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0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vici202310-kexhibit312.htm">
              <w:r>
                <w:rPr>
                  <w:rStyle w:val="InternetLink"/>
                  <w:rFonts w:ascii="Times New Roman;sans-serif" w:hAnsi="Times New Roman;sans-serif"/>
                  <w:b w:val="false"/>
                  <w:color w:val="0000FF"/>
                  <w:sz w:val="20"/>
                  <w:u w:val="single"/>
                </w:rPr>
                <w:t>31.2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vici202310-kexhibit312.htm">
              <w:r>
                <w:rPr>
                  <w:rStyle w:val="InternetLink"/>
                  <w:rFonts w:ascii="Times New Roman;sans-serif" w:hAnsi="Times New Roman;sans-serif"/>
                  <w:b w:val="false"/>
                  <w:color w:val="0000FF"/>
                  <w:sz w:val="20"/>
                  <w:u w:val="single"/>
                </w:rPr>
                <w:t>VICI Properties Inc. Certification of Principal Financial Officer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0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vici202310-kexhibit313.htm">
              <w:r>
                <w:rPr>
                  <w:rStyle w:val="InternetLink"/>
                  <w:rFonts w:ascii="Times New Roman;sans-serif" w:hAnsi="Times New Roman;sans-serif"/>
                  <w:b w:val="false"/>
                  <w:color w:val="0000FF"/>
                  <w:sz w:val="20"/>
                  <w:u w:val="single"/>
                </w:rPr>
                <w:t>31.3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vici202310-kexhibit313.htm">
              <w:r>
                <w:rPr>
                  <w:rStyle w:val="InternetLink"/>
                  <w:rFonts w:ascii="Times New Roman;sans-serif" w:hAnsi="Times New Roman;sans-serif"/>
                  <w:b w:val="false"/>
                  <w:color w:val="0000FF"/>
                  <w:sz w:val="20"/>
                  <w:u w:val="single"/>
                </w:rPr>
                <w:t>VICI Properties L.P. Certification of Principal Executive Officer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0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vici202310-kexhibit314.htm">
              <w:r>
                <w:rPr>
                  <w:rStyle w:val="InternetLink"/>
                  <w:rFonts w:ascii="Times New Roman;sans-serif" w:hAnsi="Times New Roman;sans-serif"/>
                  <w:b w:val="false"/>
                  <w:color w:val="0000FF"/>
                  <w:sz w:val="20"/>
                  <w:u w:val="single"/>
                </w:rPr>
                <w:t>31.4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vici202310-kexhibit314.htm">
              <w:r>
                <w:rPr>
                  <w:rStyle w:val="InternetLink"/>
                  <w:rFonts w:ascii="Times New Roman;sans-serif" w:hAnsi="Times New Roman;sans-serif"/>
                  <w:b w:val="false"/>
                  <w:color w:val="0000FF"/>
                  <w:sz w:val="20"/>
                  <w:u w:val="single"/>
                </w:rPr>
                <w:t>VICI Properties L.P. Certification of Principal Financial Officer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lineRule="auto" w:line="288" w:before="0" w:after="0"/>
        <w:jc w:val="left"/>
        <w:rPr/>
      </w:pPr>
      <w:hyperlink w:anchor="ib2fc48f0ddf244d9844b8de22bde2e36_10">
        <w:r>
          <w:rPr>
            <w:rStyle w:val="InternetLink"/>
            <w:rFonts w:ascii="Times New Roman;sans-serif" w:hAnsi="Times New Roman;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19"/>
        <w:gridCol w:w="193"/>
        <w:gridCol w:w="194"/>
        <w:gridCol w:w="109"/>
        <w:gridCol w:w="109"/>
        <w:gridCol w:w="109"/>
        <w:gridCol w:w="2165"/>
        <w:gridCol w:w="2165"/>
        <w:gridCol w:w="2170"/>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6"/>
      </w:tblGrid>
      <w:tr>
        <w:trPr/>
        <w:tc>
          <w:tcPr>
            <w:tcW w:w="21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5" w:type="dxa"/>
            <w:tcBorders/>
            <w:vAlign w:val="center"/>
          </w:tcPr>
          <w:p>
            <w:pPr>
              <w:pStyle w:val="TableContents"/>
              <w:bidi w:val="0"/>
              <w:spacing w:before="0" w:after="283"/>
              <w:jc w:val="left"/>
              <w:rPr>
                <w:sz w:val="4"/>
                <w:szCs w:val="4"/>
              </w:rPr>
            </w:pPr>
            <w:r>
              <w:rPr>
                <w:sz w:val="4"/>
                <w:szCs w:val="4"/>
              </w:rPr>
            </w:r>
          </w:p>
        </w:tc>
        <w:tc>
          <w:tcPr>
            <w:tcW w:w="2165" w:type="dxa"/>
            <w:tcBorders/>
            <w:vAlign w:val="center"/>
          </w:tcPr>
          <w:p>
            <w:pPr>
              <w:pStyle w:val="TableContents"/>
              <w:bidi w:val="0"/>
              <w:spacing w:before="0" w:after="283"/>
              <w:jc w:val="left"/>
              <w:rPr>
                <w:sz w:val="4"/>
                <w:szCs w:val="4"/>
              </w:rPr>
            </w:pPr>
            <w:r>
              <w:rPr>
                <w:sz w:val="4"/>
                <w:szCs w:val="4"/>
              </w:rPr>
            </w:r>
          </w:p>
        </w:tc>
        <w:tc>
          <w:tcPr>
            <w:tcW w:w="2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0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vici202310-kexhibit321.htm">
              <w:r>
                <w:rPr>
                  <w:rStyle w:val="InternetLink"/>
                  <w:rFonts w:ascii="Times New Roman;sans-serif" w:hAnsi="Times New Roman;sans-serif"/>
                  <w:b w:val="false"/>
                  <w:color w:val="0000FF"/>
                  <w:sz w:val="20"/>
                  <w:u w:val="single"/>
                </w:rPr>
                <w:t>32.1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vici202310-kexhibit321.htm">
              <w:r>
                <w:rPr>
                  <w:rStyle w:val="InternetLink"/>
                  <w:rFonts w:ascii="Times New Roman;sans-serif" w:hAnsi="Times New Roman;sans-serif"/>
                  <w:b w:val="false"/>
                  <w:color w:val="0000FF"/>
                  <w:sz w:val="20"/>
                  <w:u w:val="single"/>
                </w:rPr>
                <w:t>VICI Properties Inc. Certification of Principal Executive Officer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0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vici202310-kexhibit322.htm">
              <w:r>
                <w:rPr>
                  <w:rStyle w:val="InternetLink"/>
                  <w:rFonts w:ascii="Times New Roman;sans-serif" w:hAnsi="Times New Roman;sans-serif"/>
                  <w:b w:val="false"/>
                  <w:color w:val="0000FF"/>
                  <w:sz w:val="20"/>
                  <w:u w:val="single"/>
                </w:rPr>
                <w:t>32.2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vici202310-kexhibit322.htm">
              <w:r>
                <w:rPr>
                  <w:rStyle w:val="InternetLink"/>
                  <w:rFonts w:ascii="Times New Roman;sans-serif" w:hAnsi="Times New Roman;sans-serif"/>
                  <w:b w:val="false"/>
                  <w:color w:val="0000FF"/>
                  <w:sz w:val="20"/>
                  <w:u w:val="single"/>
                </w:rPr>
                <w:t>VICI Properties Inc. Certification of Principal Financial Officer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0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vici202310-kexhibit323.htm">
              <w:r>
                <w:rPr>
                  <w:rStyle w:val="InternetLink"/>
                  <w:rFonts w:ascii="Times New Roman;sans-serif" w:hAnsi="Times New Roman;sans-serif"/>
                  <w:b w:val="false"/>
                  <w:color w:val="0000FF"/>
                  <w:sz w:val="20"/>
                  <w:u w:val="single"/>
                </w:rPr>
                <w:t>32.3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vici202310-kexhibit323.htm">
              <w:r>
                <w:rPr>
                  <w:rStyle w:val="InternetLink"/>
                  <w:rFonts w:ascii="Times New Roman;sans-serif" w:hAnsi="Times New Roman;sans-serif"/>
                  <w:b w:val="false"/>
                  <w:color w:val="0000FF"/>
                  <w:sz w:val="20"/>
                  <w:u w:val="single"/>
                </w:rPr>
                <w:t>VICI Properties L.P. Certification of Principal Executive Officer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0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vici202310-kexhibit324.htm">
              <w:r>
                <w:rPr>
                  <w:rStyle w:val="InternetLink"/>
                  <w:rFonts w:ascii="Times New Roman;sans-serif" w:hAnsi="Times New Roman;sans-serif"/>
                  <w:b w:val="false"/>
                  <w:color w:val="0000FF"/>
                  <w:sz w:val="20"/>
                  <w:u w:val="single"/>
                </w:rPr>
                <w:t>32.4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vici202310-kexhibit324.htm">
              <w:r>
                <w:rPr>
                  <w:rStyle w:val="InternetLink"/>
                  <w:rFonts w:ascii="Times New Roman;sans-serif" w:hAnsi="Times New Roman;sans-serif"/>
                  <w:b w:val="false"/>
                  <w:color w:val="0000FF"/>
                  <w:sz w:val="20"/>
                  <w:u w:val="single"/>
                </w:rPr>
                <w:t>VICI Properties L.P. Certification of Principal Financial Officer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0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vici-amendedclawbackpolicy.htm">
              <w:r>
                <w:rPr>
                  <w:rStyle w:val="InternetLink"/>
                  <w:rFonts w:ascii="Times New Roman;sans-serif" w:hAnsi="Times New Roman;sans-serif"/>
                  <w:b w:val="false"/>
                  <w:color w:val="0000FF"/>
                  <w:sz w:val="18"/>
                  <w:u w:val="single"/>
                </w:rPr>
                <w:t>97.1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vici-amendedclawbackpolicy.htm">
              <w:r>
                <w:rPr>
                  <w:rStyle w:val="InternetLink"/>
                  <w:rFonts w:ascii="Times New Roman;sans-serif" w:hAnsi="Times New Roman;sans-serif"/>
                  <w:b w:val="false"/>
                  <w:color w:val="0000FF"/>
                  <w:sz w:val="20"/>
                  <w:u w:val="single"/>
                </w:rPr>
                <w:t>VICI Properties Inc. Incentive Compensation Clawback Policy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 - the instance document does not appear in the Interactive Data File because its XBRL tags are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Furnished herewith</w:t>
      </w:r>
    </w:p>
    <w:p>
      <w:pPr>
        <w:pStyle w:val="TextBody"/>
        <w:bidi w:val="0"/>
        <w:spacing w:lineRule="auto" w:line="288" w:before="120" w:after="283"/>
        <w:jc w:val="both"/>
        <w:rPr>
          <w:color w:val="000000"/>
        </w:rPr>
      </w:pPr>
      <w:r>
        <w:rPr>
          <w:color w:val="000000"/>
        </w:rPr>
        <w:t xml:space="preserve">† </w:t>
      </w:r>
      <w:r>
        <w:rPr>
          <w:rFonts w:ascii="Times New Roman;sans-serif" w:hAnsi="Times New Roman;sans-serif"/>
          <w:b w:val="false"/>
          <w:color w:val="000000"/>
          <w:sz w:val="20"/>
        </w:rPr>
        <w:t>Management contracts and compensation plans and arrangements.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Portions of the exhibits have been redacted because (i) the registrant customarily and actually treats that information as private or confidential and (ii) the omitted information is not material.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465" w:type="dxa"/>
        <w:jc w:val="center"/>
        <w:tblInd w:w="0" w:type="dxa"/>
        <w:tblLayout w:type="fixed"/>
        <w:tblCellMar>
          <w:top w:w="28" w:type="dxa"/>
          <w:left w:w="28" w:type="dxa"/>
          <w:bottom w:w="28" w:type="dxa"/>
          <w:right w:w="28" w:type="dxa"/>
        </w:tblCellMar>
      </w:tblPr>
      <w:tblGrid>
        <w:gridCol w:w="407"/>
        <w:gridCol w:w="358"/>
        <w:gridCol w:w="360"/>
        <w:gridCol w:w="684"/>
        <w:gridCol w:w="684"/>
        <w:gridCol w:w="972"/>
      </w:tblGrid>
      <w:tr>
        <w:trPr/>
        <w:tc>
          <w:tcPr>
            <w:tcW w:w="40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r>
      <w:tr>
        <w:trPr/>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ITEM 16.</w:t>
            </w:r>
          </w:p>
        </w:tc>
        <w:tc>
          <w:tcPr>
            <w:tcW w:w="2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Form 10-K Summary</w:t>
            </w:r>
          </w:p>
        </w:tc>
      </w:tr>
    </w:tbl>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222885"/>
                <wp:effectExtent l="0" t="0" r="0" b="0"/>
                <wp:wrapNone/>
                <wp:docPr id="71" name="Frame6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lineRule="auto" w:line="288" w:before="60" w:after="283"/>
        <w:jc w:val="both"/>
        <w:rPr/>
      </w:pPr>
      <w:hyperlink w:anchor="ib2fc48f0ddf244d9844b8de22bde2e36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60" w:after="283"/>
        <w:jc w:val="center"/>
        <w:rPr>
          <w:rFonts w:ascii="Times New Roman;sans-serif" w:hAnsi="Times New Roman;sans-serif"/>
          <w:b/>
          <w:color w:val="000000"/>
          <w:sz w:val="22"/>
        </w:rPr>
      </w:pPr>
      <w:r>
        <w:rPr>
          <w:rFonts w:ascii="Times New Roman;sans-serif" w:hAnsi="Times New Roman;sans-serif"/>
          <w:b/>
          <w:color w:val="000000"/>
          <w:sz w:val="22"/>
        </w:rPr>
        <w:t>SIGNATURES</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Pursuant to the requirements of Section 13 or 15(d) of the Securities Exchange Act of 1934, each registrant has duly caused this report to be signed on its behalf by the undersigned, thereunto duly authorized.</w:t>
      </w:r>
    </w:p>
    <w:tbl>
      <w:tblPr>
        <w:tblW w:w="5578" w:type="dxa"/>
        <w:jc w:val="center"/>
        <w:tblInd w:w="0" w:type="dxa"/>
        <w:tblLayout w:type="fixed"/>
        <w:tblCellMar>
          <w:top w:w="28" w:type="dxa"/>
          <w:left w:w="28" w:type="dxa"/>
          <w:bottom w:w="28" w:type="dxa"/>
          <w:right w:w="28" w:type="dxa"/>
        </w:tblCellMar>
      </w:tblPr>
      <w:tblGrid>
        <w:gridCol w:w="582"/>
        <w:gridCol w:w="509"/>
        <w:gridCol w:w="513"/>
        <w:gridCol w:w="240"/>
        <w:gridCol w:w="240"/>
        <w:gridCol w:w="240"/>
        <w:gridCol w:w="939"/>
        <w:gridCol w:w="939"/>
        <w:gridCol w:w="1376"/>
      </w:tblGrid>
      <w:tr>
        <w:trPr/>
        <w:tc>
          <w:tcPr>
            <w:tcW w:w="582"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r>
      <w:tr>
        <w:trPr/>
        <w:tc>
          <w:tcPr>
            <w:tcW w:w="55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VICI PROPERTIES INC.</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22, 2024</w:t>
            </w:r>
          </w:p>
        </w:tc>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EDWARD B. PITONIAK</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Edward B. Pitoniak</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Chief Executive Officer and Director</w:t>
            </w:r>
          </w:p>
        </w:tc>
      </w:tr>
    </w:tbl>
    <w:tbl>
      <w:tblPr>
        <w:tblW w:w="4727" w:type="dxa"/>
        <w:jc w:val="center"/>
        <w:tblInd w:w="0" w:type="dxa"/>
        <w:tblLayout w:type="fixed"/>
        <w:tblCellMar>
          <w:top w:w="28" w:type="dxa"/>
          <w:left w:w="28" w:type="dxa"/>
          <w:bottom w:w="28" w:type="dxa"/>
          <w:right w:w="28" w:type="dxa"/>
        </w:tblCellMar>
      </w:tblPr>
      <w:tblGrid>
        <w:gridCol w:w="582"/>
        <w:gridCol w:w="509"/>
        <w:gridCol w:w="513"/>
        <w:gridCol w:w="236"/>
        <w:gridCol w:w="236"/>
        <w:gridCol w:w="236"/>
        <w:gridCol w:w="697"/>
        <w:gridCol w:w="697"/>
        <w:gridCol w:w="1021"/>
      </w:tblGrid>
      <w:tr>
        <w:trPr/>
        <w:tc>
          <w:tcPr>
            <w:tcW w:w="582"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r>
      <w:tr>
        <w:trPr/>
        <w:tc>
          <w:tcPr>
            <w:tcW w:w="47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VICI PROPERTIES L.P.</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22, 2024</w:t>
            </w:r>
          </w:p>
        </w:tc>
        <w:tc>
          <w:tcPr>
            <w:tcW w:w="7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EDWARD B. PITONIAK</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Edward B. Pitoniak</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Chief Executive Officer</w:t>
            </w:r>
          </w:p>
        </w:tc>
      </w:tr>
    </w:tbl>
    <w:p>
      <w:pPr>
        <w:pStyle w:val="TextBody"/>
        <w:bidi w:val="0"/>
        <w:spacing w:lineRule="auto" w:line="288" w:before="180" w:after="283"/>
        <w:jc w:val="center"/>
        <w:rPr>
          <w:rFonts w:ascii="Times New Roman;sans-serif" w:hAnsi="Times New Roman;sans-serif"/>
          <w:b/>
          <w:color w:val="000000"/>
          <w:sz w:val="22"/>
        </w:rPr>
      </w:pPr>
      <w:r>
        <w:rPr>
          <w:rFonts w:ascii="Times New Roman;sans-serif" w:hAnsi="Times New Roman;sans-serif"/>
          <w:b/>
          <w:color w:val="000000"/>
          <w:sz w:val="22"/>
        </w:rPr>
        <w:t>POWER OF ATTORNEY</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Each of the officers and directors of VICI Properties Inc. and the officers of VICI Properties L.P., whose signature appears below, in so signing, also makes, constitutes and appoints each of Edward B. Pitoniak, David A. Kieske and Gabriel F. Wasserman, and each of them, his or her true and lawful attorneys-in-fact, with full power and substitution, for him or her in any and all capacities, to execute and cause to be filed with the SEC any and all amendments to this Annual Report on Form 10-K, with exhibits thereto and all other documents connected therewith and to perform any acts necessary to be done in order to file such documents, and hereby ratifies and confirms all that said attorneys-in-fact or their substitute or substitutes may do or cause to done by virtue hereof.</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Pursuant to the requirements of the Securities Exchange Act of 1934, this report has been signed below by the following persons on behalf of the registrant and in the capacities and on the dates indicated.</w:t>
      </w:r>
    </w:p>
    <w:tbl>
      <w:tblPr>
        <w:tblW w:w="10205" w:type="dxa"/>
        <w:jc w:val="center"/>
        <w:tblInd w:w="0" w:type="dxa"/>
        <w:tblLayout w:type="fixed"/>
        <w:tblCellMar>
          <w:top w:w="28" w:type="dxa"/>
          <w:left w:w="28" w:type="dxa"/>
          <w:bottom w:w="28" w:type="dxa"/>
          <w:right w:w="28" w:type="dxa"/>
        </w:tblCellMar>
      </w:tblPr>
      <w:tblGrid>
        <w:gridCol w:w="952"/>
        <w:gridCol w:w="768"/>
        <w:gridCol w:w="781"/>
        <w:gridCol w:w="109"/>
        <w:gridCol w:w="109"/>
        <w:gridCol w:w="109"/>
        <w:gridCol w:w="1851"/>
        <w:gridCol w:w="1829"/>
        <w:gridCol w:w="1855"/>
        <w:gridCol w:w="109"/>
        <w:gridCol w:w="109"/>
        <w:gridCol w:w="109"/>
        <w:gridCol w:w="438"/>
        <w:gridCol w:w="438"/>
        <w:gridCol w:w="639"/>
      </w:tblGrid>
      <w:tr>
        <w:trPr/>
        <w:tc>
          <w:tcPr>
            <w:tcW w:w="952"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1" w:type="dxa"/>
            <w:tcBorders/>
            <w:vAlign w:val="center"/>
          </w:tcPr>
          <w:p>
            <w:pPr>
              <w:pStyle w:val="TableContents"/>
              <w:bidi w:val="0"/>
              <w:spacing w:before="0" w:after="283"/>
              <w:jc w:val="left"/>
              <w:rPr>
                <w:sz w:val="4"/>
                <w:szCs w:val="4"/>
              </w:rPr>
            </w:pPr>
            <w:r>
              <w:rPr>
                <w:sz w:val="4"/>
                <w:szCs w:val="4"/>
              </w:rPr>
            </w:r>
          </w:p>
        </w:tc>
        <w:tc>
          <w:tcPr>
            <w:tcW w:w="1829" w:type="dxa"/>
            <w:tcBorders/>
            <w:vAlign w:val="center"/>
          </w:tcPr>
          <w:p>
            <w:pPr>
              <w:pStyle w:val="TableContents"/>
              <w:bidi w:val="0"/>
              <w:spacing w:before="0" w:after="283"/>
              <w:jc w:val="left"/>
              <w:rPr>
                <w:sz w:val="4"/>
                <w:szCs w:val="4"/>
              </w:rPr>
            </w:pPr>
            <w:r>
              <w:rPr>
                <w:sz w:val="4"/>
                <w:szCs w:val="4"/>
              </w:rPr>
            </w:r>
          </w:p>
        </w:tc>
        <w:tc>
          <w:tcPr>
            <w:tcW w:w="18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r>
      <w:tr>
        <w:trPr/>
        <w:tc>
          <w:tcPr>
            <w:tcW w:w="25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Date</w:t>
            </w:r>
          </w:p>
        </w:tc>
      </w:tr>
      <w:tr>
        <w:trPr/>
        <w:tc>
          <w:tcPr>
            <w:tcW w:w="25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EDWARD B. PITONIAK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22, 2024</w:t>
            </w:r>
          </w:p>
        </w:tc>
      </w:tr>
      <w:tr>
        <w:trPr/>
        <w:tc>
          <w:tcPr>
            <w:tcW w:w="25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Edward B. Pitoniak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 of VICI Properties Inc. and VICI Properties L.P.)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DAVID A. KIESKE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22, 2024</w:t>
            </w:r>
          </w:p>
        </w:tc>
      </w:tr>
      <w:tr>
        <w:trPr/>
        <w:tc>
          <w:tcPr>
            <w:tcW w:w="25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David A. Kieske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 of VICI Properties Inc. and VICI Properties L.P.)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GABRIEL F. WASSERMAN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22, 2024</w:t>
            </w:r>
          </w:p>
        </w:tc>
      </w:tr>
      <w:tr>
        <w:trPr/>
        <w:tc>
          <w:tcPr>
            <w:tcW w:w="25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Gabriel F. Wasserman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Accounting Officer of VICI Properties Inc. and VICI Properties L.P.)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JAMES R. ABRAHAMSON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Chair of the Board of Directors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22, 2024</w:t>
            </w:r>
          </w:p>
        </w:tc>
      </w:tr>
      <w:tr>
        <w:trPr/>
        <w:tc>
          <w:tcPr>
            <w:tcW w:w="25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James R. Abrahamson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DIANA F. CANTOR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22, 2024</w:t>
            </w:r>
          </w:p>
        </w:tc>
      </w:tr>
      <w:tr>
        <w:trPr/>
        <w:tc>
          <w:tcPr>
            <w:tcW w:w="25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Diana F. Cantor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MONICA H. DOUGLAS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22, 2024</w:t>
            </w:r>
          </w:p>
        </w:tc>
      </w:tr>
      <w:tr>
        <w:trPr/>
        <w:tc>
          <w:tcPr>
            <w:tcW w:w="25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Monica H. Douglas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ELIZABETH I. HOLLAND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22, 2024</w:t>
            </w:r>
          </w:p>
        </w:tc>
      </w:tr>
      <w:tr>
        <w:trPr/>
        <w:tc>
          <w:tcPr>
            <w:tcW w:w="25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Elizabeth I. Holland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CRAIG MACNAB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22, 2024</w:t>
            </w:r>
          </w:p>
        </w:tc>
      </w:tr>
      <w:tr>
        <w:trPr/>
        <w:tc>
          <w:tcPr>
            <w:tcW w:w="25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Craig Macnab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MICHAEL D. RUMBOLZ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22, 2024</w:t>
            </w:r>
          </w:p>
        </w:tc>
      </w:tr>
      <w:tr>
        <w:trPr/>
        <w:tc>
          <w:tcPr>
            <w:tcW w:w="25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Michael D. Rumbolz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222885"/>
                <wp:effectExtent l="0" t="0" r="0" b="0"/>
                <wp:wrapNone/>
                <wp:docPr id="72" name="Frame7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lineRule="auto" w:line="288" w:before="60" w:after="283"/>
        <w:jc w:val="both"/>
        <w:rPr/>
      </w:pPr>
      <w:hyperlink w:anchor="ib2fc48f0ddf244d9844b8de22bde2e36_10">
        <w:r>
          <w:rPr>
            <w:rStyle w:val="InternetLink"/>
            <w:rFonts w:ascii="Times New Roman;sans-serif" w:hAnsi="Times New Roman;sans-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509"/>
        <w:gridCol w:w="447"/>
        <w:gridCol w:w="447"/>
        <w:gridCol w:w="955"/>
        <w:gridCol w:w="864"/>
        <w:gridCol w:w="864"/>
        <w:gridCol w:w="1675"/>
        <w:gridCol w:w="1447"/>
        <w:gridCol w:w="1444"/>
        <w:gridCol w:w="447"/>
        <w:gridCol w:w="447"/>
        <w:gridCol w:w="659"/>
      </w:tblGrid>
      <w:tr>
        <w:trPr/>
        <w:tc>
          <w:tcPr>
            <w:tcW w:w="50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675"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INDEX TO CONSOLIDATED FINANCIAL STATEMENTS AND SCHEDULES</w:t>
            </w:r>
          </w:p>
        </w:tc>
      </w:tr>
      <w:tr>
        <w:trPr/>
        <w:tc>
          <w:tcPr>
            <w:tcW w:w="8652"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49" w:type="dxa"/>
            <w:gridSpan w:val="6"/>
            <w:tcBorders/>
            <w:tcMar>
              <w:top w:w="0" w:type="dxa"/>
              <w:left w:w="0" w:type="dxa"/>
              <w:bottom w:w="0" w:type="dxa"/>
              <w:right w:w="0" w:type="dxa"/>
            </w:tcMar>
            <w:vAlign w:val="center"/>
          </w:tcPr>
          <w:p>
            <w:pPr>
              <w:pStyle w:val="TableContents"/>
              <w:bidi w:val="0"/>
              <w:spacing w:lineRule="auto" w:line="268" w:before="0" w:after="0"/>
              <w:jc w:val="left"/>
              <w:rPr/>
            </w:pPr>
            <w:hyperlink w:anchor="ib2fc48f0ddf244d9844b8de22bde2e36_109">
              <w:r>
                <w:rPr>
                  <w:rStyle w:val="InternetLink"/>
                  <w:rFonts w:ascii="Times New Roman;sans-serif" w:hAnsi="Times New Roman;sans-serif"/>
                  <w:b w:val="false"/>
                  <w:color w:val="0000FF"/>
                  <w:sz w:val="20"/>
                  <w:u w:val="single"/>
                </w:rPr>
                <w:t>Reports of Independent Registered Public Accounting Firm</w:t>
              </w:r>
            </w:hyperlink>
            <w:r>
              <w:rPr>
                <w:color w:val="000000"/>
              </w:rPr>
              <w:t xml:space="preserve"> </w:t>
            </w:r>
            <w:r>
              <w:rPr>
                <w:rFonts w:ascii="Times New Roman;sans-serif" w:hAnsi="Times New Roman;sans-serif"/>
                <w:b w:val="false"/>
                <w:color w:val="000000"/>
                <w:sz w:val="20"/>
              </w:rPr>
              <w:t>(PCAOB ID No. 34)</w:t>
            </w:r>
          </w:p>
        </w:tc>
        <w:tc>
          <w:tcPr>
            <w:tcW w:w="155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2fc48f0ddf244d9844b8de22bde2e36_109">
              <w:r>
                <w:rPr>
                  <w:rStyle w:val="InternetLink"/>
                  <w:rFonts w:ascii="Times New Roman;sans-serif" w:hAnsi="Times New Roman;sans-serif"/>
                  <w:b w:val="false"/>
                  <w:color w:val="0000FF"/>
                  <w:sz w:val="20"/>
                  <w:u w:val="single"/>
                </w:rPr>
                <w:t>F - 2</w:t>
              </w:r>
            </w:hyperlink>
          </w:p>
        </w:tc>
      </w:tr>
      <w:tr>
        <w:trPr/>
        <w:tc>
          <w:tcPr>
            <w:tcW w:w="865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Statements of VICI Properties Inc.</w:t>
            </w:r>
          </w:p>
        </w:tc>
        <w:tc>
          <w:tcPr>
            <w:tcW w:w="1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b2fc48f0ddf244d9844b8de22bde2e36_112">
              <w:r>
                <w:rPr>
                  <w:rStyle w:val="InternetLink"/>
                  <w:rFonts w:ascii="Times New Roman;sans-serif" w:hAnsi="Times New Roman;sans-serif"/>
                  <w:b w:val="false"/>
                  <w:color w:val="0000FF"/>
                  <w:sz w:val="20"/>
                  <w:u w:val="single"/>
                </w:rPr>
                <w:t>Consolidated Balance Sheets as of December 31, 2023 and 2022</w:t>
              </w:r>
            </w:hyperlink>
          </w:p>
        </w:tc>
        <w:tc>
          <w:tcPr>
            <w:tcW w:w="155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2fc48f0ddf244d9844b8de22bde2e36_112">
              <w:r>
                <w:rPr>
                  <w:rStyle w:val="InternetLink"/>
                  <w:rFonts w:ascii="Times New Roman;sans-serif" w:hAnsi="Times New Roman;sans-serif"/>
                  <w:b w:val="false"/>
                  <w:color w:val="000080"/>
                  <w:sz w:val="20"/>
                  <w:u w:val="single"/>
                </w:rPr>
                <w:t xml:space="preserve">F - </w:t>
              </w:r>
            </w:hyperlink>
            <w:hyperlink w:anchor="ib2fc48f0ddf244d9844b8de22bde2e36_112">
              <w:r>
                <w:rPr>
                  <w:rStyle w:val="InternetLink"/>
                  <w:rFonts w:ascii="Times New Roman;sans-serif" w:hAnsi="Times New Roman;sans-serif"/>
                  <w:b w:val="false"/>
                  <w:color w:val="000080"/>
                  <w:sz w:val="20"/>
                  <w:u w:val="single"/>
                </w:rPr>
                <w:t>8</w:t>
              </w:r>
            </w:hyperlink>
          </w:p>
        </w:tc>
      </w:tr>
      <w:tr>
        <w:trPr/>
        <w:tc>
          <w:tcPr>
            <w:tcW w:w="1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Ended December 31, 2023, 2022 and 2021</w:t>
            </w:r>
          </w:p>
        </w:tc>
        <w:tc>
          <w:tcPr>
            <w:tcW w:w="1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2fc48f0ddf244d9844b8de22bde2e36_115">
              <w:r>
                <w:rPr>
                  <w:rStyle w:val="InternetLink"/>
                  <w:rFonts w:ascii="Times New Roman;sans-serif" w:hAnsi="Times New Roman;sans-serif"/>
                  <w:b w:val="false"/>
                  <w:color w:val="0000FF"/>
                  <w:sz w:val="20"/>
                  <w:u w:val="single"/>
                </w:rPr>
                <w:t>Consolidated Statements of Operations and Comprehensive Income</w:t>
              </w:r>
            </w:hyperlink>
          </w:p>
        </w:tc>
        <w:tc>
          <w:tcPr>
            <w:tcW w:w="155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2fc48f0ddf244d9844b8de22bde2e36_115">
              <w:r>
                <w:rPr>
                  <w:rStyle w:val="InternetLink"/>
                  <w:rFonts w:ascii="Times New Roman;sans-serif" w:hAnsi="Times New Roman;sans-serif"/>
                  <w:b w:val="false"/>
                  <w:color w:val="0000FF"/>
                  <w:sz w:val="20"/>
                  <w:u w:val="single"/>
                </w:rPr>
                <w:t>F - 9</w:t>
              </w:r>
            </w:hyperlink>
          </w:p>
        </w:tc>
      </w:tr>
      <w:tr>
        <w:trPr/>
        <w:tc>
          <w:tcPr>
            <w:tcW w:w="1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2fc48f0ddf244d9844b8de22bde2e36_118">
              <w:r>
                <w:rPr>
                  <w:rStyle w:val="InternetLink"/>
                  <w:rFonts w:ascii="Times New Roman;sans-serif" w:hAnsi="Times New Roman;sans-serif"/>
                  <w:b w:val="false"/>
                  <w:color w:val="0000FF"/>
                  <w:sz w:val="20"/>
                  <w:u w:val="single"/>
                </w:rPr>
                <w:t>Consolidated Statements of Stockholders’ Equity</w:t>
              </w:r>
            </w:hyperlink>
          </w:p>
        </w:tc>
        <w:tc>
          <w:tcPr>
            <w:tcW w:w="155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2fc48f0ddf244d9844b8de22bde2e36_118">
              <w:r>
                <w:rPr>
                  <w:rStyle w:val="InternetLink"/>
                  <w:rFonts w:ascii="Times New Roman;sans-serif" w:hAnsi="Times New Roman;sans-serif"/>
                  <w:b w:val="false"/>
                  <w:color w:val="0000FF"/>
                  <w:sz w:val="20"/>
                  <w:u w:val="single"/>
                </w:rPr>
                <w:t>F - 10</w:t>
              </w:r>
            </w:hyperlink>
          </w:p>
        </w:tc>
      </w:tr>
      <w:tr>
        <w:trPr/>
        <w:tc>
          <w:tcPr>
            <w:tcW w:w="1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2fc48f0ddf244d9844b8de22bde2e36_121">
              <w:r>
                <w:rPr>
                  <w:rStyle w:val="InternetLink"/>
                  <w:rFonts w:ascii="Times New Roman;sans-serif" w:hAnsi="Times New Roman;sans-serif"/>
                  <w:b w:val="false"/>
                  <w:color w:val="0000FF"/>
                  <w:sz w:val="20"/>
                  <w:u w:val="single"/>
                </w:rPr>
                <w:t>Consolidated Statements of Cash Flows</w:t>
              </w:r>
            </w:hyperlink>
          </w:p>
        </w:tc>
        <w:tc>
          <w:tcPr>
            <w:tcW w:w="155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2fc48f0ddf244d9844b8de22bde2e36_121">
              <w:r>
                <w:rPr>
                  <w:rStyle w:val="InternetLink"/>
                  <w:rFonts w:ascii="Times New Roman;sans-serif" w:hAnsi="Times New Roman;sans-serif"/>
                  <w:b w:val="false"/>
                  <w:color w:val="0000FF"/>
                  <w:sz w:val="20"/>
                  <w:u w:val="single"/>
                </w:rPr>
                <w:t>F - 11</w:t>
              </w:r>
            </w:hyperlink>
          </w:p>
        </w:tc>
      </w:tr>
      <w:tr>
        <w:trPr/>
        <w:tc>
          <w:tcPr>
            <w:tcW w:w="1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5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Statements of VICI Properties L.P.</w:t>
            </w:r>
          </w:p>
        </w:tc>
        <w:tc>
          <w:tcPr>
            <w:tcW w:w="1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b2fc48f0ddf244d9844b8de22bde2e36_127">
              <w:r>
                <w:rPr>
                  <w:rStyle w:val="InternetLink"/>
                  <w:rFonts w:ascii="Times New Roman;sans-serif" w:hAnsi="Times New Roman;sans-serif"/>
                  <w:b w:val="false"/>
                  <w:color w:val="0000FF"/>
                  <w:sz w:val="20"/>
                  <w:u w:val="single"/>
                </w:rPr>
                <w:t>Consolidated Balance Sheets as of December 31, 2023 and 2022</w:t>
              </w:r>
            </w:hyperlink>
          </w:p>
        </w:tc>
        <w:tc>
          <w:tcPr>
            <w:tcW w:w="155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2fc48f0ddf244d9844b8de22bde2e36_127">
              <w:r>
                <w:rPr>
                  <w:rStyle w:val="InternetLink"/>
                  <w:rFonts w:ascii="Times New Roman;sans-serif" w:hAnsi="Times New Roman;sans-serif"/>
                  <w:b w:val="false"/>
                  <w:color w:val="0000FF"/>
                  <w:sz w:val="20"/>
                  <w:u w:val="single"/>
                </w:rPr>
                <w:t>F - 13</w:t>
              </w:r>
            </w:hyperlink>
          </w:p>
        </w:tc>
      </w:tr>
      <w:tr>
        <w:trPr/>
        <w:tc>
          <w:tcPr>
            <w:tcW w:w="1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Ended December 31, 2023, 2022 and 2021</w:t>
            </w:r>
          </w:p>
        </w:tc>
        <w:tc>
          <w:tcPr>
            <w:tcW w:w="1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2fc48f0ddf244d9844b8de22bde2e36_130">
              <w:r>
                <w:rPr>
                  <w:rStyle w:val="InternetLink"/>
                  <w:rFonts w:ascii="Times New Roman;sans-serif" w:hAnsi="Times New Roman;sans-serif"/>
                  <w:b w:val="false"/>
                  <w:color w:val="0000FF"/>
                  <w:sz w:val="20"/>
                  <w:u w:val="single"/>
                </w:rPr>
                <w:t>Consolidated Statements of Operations and Comprehensive Income</w:t>
              </w:r>
            </w:hyperlink>
          </w:p>
        </w:tc>
        <w:tc>
          <w:tcPr>
            <w:tcW w:w="155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2fc48f0ddf244d9844b8de22bde2e36_130">
              <w:r>
                <w:rPr>
                  <w:rStyle w:val="InternetLink"/>
                  <w:rFonts w:ascii="Times New Roman;sans-serif" w:hAnsi="Times New Roman;sans-serif"/>
                  <w:b w:val="false"/>
                  <w:color w:val="0000FF"/>
                  <w:sz w:val="20"/>
                  <w:u w:val="single"/>
                </w:rPr>
                <w:t>F - 14</w:t>
              </w:r>
            </w:hyperlink>
          </w:p>
        </w:tc>
      </w:tr>
      <w:tr>
        <w:trPr/>
        <w:tc>
          <w:tcPr>
            <w:tcW w:w="1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2fc48f0ddf244d9844b8de22bde2e36_133">
              <w:r>
                <w:rPr>
                  <w:rStyle w:val="InternetLink"/>
                  <w:rFonts w:ascii="Times New Roman;sans-serif" w:hAnsi="Times New Roman;sans-serif"/>
                  <w:b w:val="false"/>
                  <w:color w:val="0000FF"/>
                  <w:sz w:val="20"/>
                  <w:u w:val="single"/>
                </w:rPr>
                <w:t>Consolidated Statements of Partners' Capital</w:t>
              </w:r>
            </w:hyperlink>
          </w:p>
        </w:tc>
        <w:tc>
          <w:tcPr>
            <w:tcW w:w="155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2fc48f0ddf244d9844b8de22bde2e36_133">
              <w:r>
                <w:rPr>
                  <w:rStyle w:val="InternetLink"/>
                  <w:rFonts w:ascii="Times New Roman;sans-serif" w:hAnsi="Times New Roman;sans-serif"/>
                  <w:b w:val="false"/>
                  <w:color w:val="0000FF"/>
                  <w:sz w:val="20"/>
                  <w:u w:val="single"/>
                </w:rPr>
                <w:t>F - 15</w:t>
              </w:r>
            </w:hyperlink>
          </w:p>
        </w:tc>
      </w:tr>
      <w:tr>
        <w:trPr/>
        <w:tc>
          <w:tcPr>
            <w:tcW w:w="1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2fc48f0ddf244d9844b8de22bde2e36_136">
              <w:r>
                <w:rPr>
                  <w:rStyle w:val="InternetLink"/>
                  <w:rFonts w:ascii="Times New Roman;sans-serif" w:hAnsi="Times New Roman;sans-serif"/>
                  <w:b w:val="false"/>
                  <w:color w:val="0000FF"/>
                  <w:sz w:val="20"/>
                  <w:u w:val="single"/>
                </w:rPr>
                <w:t>Consolidated Statements of Cash Flows</w:t>
              </w:r>
            </w:hyperlink>
          </w:p>
        </w:tc>
        <w:tc>
          <w:tcPr>
            <w:tcW w:w="155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2fc48f0ddf244d9844b8de22bde2e36_136">
              <w:r>
                <w:rPr>
                  <w:rStyle w:val="InternetLink"/>
                  <w:rFonts w:ascii="Times New Roman;sans-serif" w:hAnsi="Times New Roman;sans-serif"/>
                  <w:b w:val="false"/>
                  <w:color w:val="0000FF"/>
                  <w:sz w:val="20"/>
                  <w:u w:val="single"/>
                </w:rPr>
                <w:t>F - 16</w:t>
              </w:r>
            </w:hyperlink>
          </w:p>
        </w:tc>
      </w:tr>
      <w:tr>
        <w:trPr/>
        <w:tc>
          <w:tcPr>
            <w:tcW w:w="1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b2fc48f0ddf244d9844b8de22bde2e36_139">
              <w:r>
                <w:rPr>
                  <w:rStyle w:val="InternetLink"/>
                  <w:rFonts w:ascii="Times New Roman;sans-serif" w:hAnsi="Times New Roman;sans-serif"/>
                  <w:b w:val="false"/>
                  <w:color w:val="0000FF"/>
                  <w:sz w:val="20"/>
                  <w:u w:val="single"/>
                </w:rPr>
                <w:t>Notes to Consolidated Financial Statements</w:t>
              </w:r>
            </w:hyperlink>
          </w:p>
        </w:tc>
        <w:tc>
          <w:tcPr>
            <w:tcW w:w="155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2fc48f0ddf244d9844b8de22bde2e36_139">
              <w:r>
                <w:rPr>
                  <w:rStyle w:val="InternetLink"/>
                  <w:rFonts w:ascii="Times New Roman;sans-serif" w:hAnsi="Times New Roman;sans-serif"/>
                  <w:b w:val="false"/>
                  <w:color w:val="0000FF"/>
                  <w:sz w:val="20"/>
                  <w:u w:val="single"/>
                </w:rPr>
                <w:t>F - 18</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222885"/>
                <wp:effectExtent l="0" t="0" r="0" b="0"/>
                <wp:wrapNone/>
                <wp:docPr id="73" name="Frame7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 - 1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 - 1</w:t>
                      </w:r>
                    </w:p>
                  </w:txbxContent>
                </v:textbox>
                <w10:wrap type="none"/>
              </v:rect>
            </w:pict>
          </mc:Fallback>
        </mc:AlternateContent>
      </w:r>
    </w:p>
    <w:p>
      <w:pPr>
        <w:pStyle w:val="TextBody"/>
        <w:bidi w:val="0"/>
        <w:spacing w:lineRule="auto" w:line="288" w:before="60" w:after="283"/>
        <w:jc w:val="both"/>
        <w:rPr/>
      </w:pPr>
      <w:hyperlink w:anchor="ib2fc48f0ddf244d9844b8de22bde2e36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both"/>
        <w:rPr/>
      </w:pPr>
      <w:r>
        <w:rPr>
          <w:rFonts w:ascii="Times New Roman;sans-serif" w:hAnsi="Times New Roman;sans-serif"/>
          <w:b/>
          <w:color w:val="000000"/>
          <w:sz w:val="20"/>
        </w:rPr>
        <w:t>REPORT OF INDEPENDENT REGISTERED PUBLIC ACCOUNTING FIRM</w:t>
      </w:r>
      <w:r>
        <w:rPr>
          <w:color w:val="000000"/>
        </w:rPr>
        <w:t xml:space="preserve"> </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 the stockholders and the Board of Directors of VICI Properties Inc. </w:t>
      </w:r>
    </w:p>
    <w:p>
      <w:pPr>
        <w:pStyle w:val="TextBody"/>
        <w:bidi w:val="0"/>
        <w:spacing w:lineRule="auto" w:line="288" w:before="240" w:after="283"/>
        <w:jc w:val="both"/>
        <w:rPr/>
      </w:pPr>
      <w:r>
        <w:rPr>
          <w:rFonts w:ascii="Times New Roman;sans-serif" w:hAnsi="Times New Roman;sans-serif"/>
          <w:b/>
          <w:color w:val="000000"/>
          <w:sz w:val="20"/>
        </w:rPr>
        <w:t>Opinion on the Financial Statements</w:t>
      </w:r>
      <w:r>
        <w:rPr>
          <w:color w:val="000000"/>
        </w:rPr>
        <w:t xml:space="preserve">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audited the accompanying consolidated balance sheets of VICI Properties Inc. and subsidiaries (the "Company") as of December 31, 2023 and 2022, the related consolidated statements of operations and comprehensive income, stockholders' equity, and cash flows, for each of the three years in the period ended December 31, 2023, and the related notes (collectively referred to as the "financial statements"). In our opinion, the financial statements present fairly, in all material respects, the financial position of the Company as of December 31, 2023 and 2022, and the results of its operations and its cash flows for each of the three years in the period ended December 31, 2023, in conformity with accounting principles generally accepted in the United States of America.</w:t>
      </w:r>
    </w:p>
    <w:p>
      <w:pPr>
        <w:pStyle w:val="TextBody"/>
        <w:bidi w:val="0"/>
        <w:spacing w:lineRule="auto" w:line="288" w:before="180" w:after="283"/>
        <w:jc w:val="both"/>
        <w:rPr/>
      </w:pPr>
      <w:r>
        <w:rPr>
          <w:rFonts w:ascii="Times New Roman;sans-serif" w:hAnsi="Times New Roman;sans-serif"/>
          <w:b w:val="false"/>
          <w:color w:val="000000"/>
          <w:sz w:val="20"/>
        </w:rPr>
        <w:t xml:space="preserve">We have also audited, in accordance with the standards of the Public Company Accounting Oversight Board (United States) (PCAOB), the Company's internal control over financial reporting as of December 31, 2023, based on criteria established in </w:t>
      </w:r>
      <w:r>
        <w:rPr>
          <w:rFonts w:ascii="Times New Roman;sans-serif" w:hAnsi="Times New Roman;sans-serif"/>
          <w:b w:val="false"/>
          <w:i/>
          <w:color w:val="000000"/>
          <w:sz w:val="20"/>
        </w:rPr>
        <w:t>Internal Control — Integrated Framework (2013)</w:t>
      </w:r>
      <w:r>
        <w:rPr>
          <w:color w:val="000000"/>
        </w:rPr>
        <w:t xml:space="preserve"> </w:t>
      </w:r>
      <w:r>
        <w:rPr>
          <w:rFonts w:ascii="Times New Roman;sans-serif" w:hAnsi="Times New Roman;sans-serif"/>
          <w:b w:val="false"/>
          <w:color w:val="000000"/>
          <w:sz w:val="20"/>
        </w:rPr>
        <w:t xml:space="preserve">issued by the Committee of Sponsoring Organizations of the Treadway Commission and our report dated February 22, 2024, expressed an unqualified opinion on the Company's internal control over financial reporting. </w:t>
      </w:r>
    </w:p>
    <w:p>
      <w:pPr>
        <w:pStyle w:val="TextBody"/>
        <w:bidi w:val="0"/>
        <w:spacing w:lineRule="auto" w:line="288" w:before="240" w:after="283"/>
        <w:jc w:val="left"/>
        <w:rPr/>
      </w:pPr>
      <w:r>
        <w:rPr>
          <w:rFonts w:ascii="Times New Roman;sans-serif" w:hAnsi="Times New Roman;sans-serif"/>
          <w:b/>
          <w:color w:val="000000"/>
          <w:sz w:val="20"/>
        </w:rPr>
        <w:t>Basis for Opinion</w:t>
      </w:r>
      <w:r>
        <w:rPr>
          <w:color w:val="000000"/>
        </w:rPr>
        <w:t xml:space="preserve">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Critical Audit Matter</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Allowance for Credit Losses — Refer to Notes 2 and 5 to the financial statements</w:t>
      </w:r>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Critical Audit Matter Description </w:t>
      </w:r>
    </w:p>
    <w:p>
      <w:pPr>
        <w:pStyle w:val="TextBody"/>
        <w:bidi w:val="0"/>
        <w:spacing w:lineRule="auto" w:line="288" w:before="180" w:after="283"/>
        <w:jc w:val="both"/>
        <w:rPr/>
      </w:pPr>
      <w:r>
        <w:rPr>
          <w:rFonts w:ascii="Times New Roman;sans-serif" w:hAnsi="Times New Roman;sans-serif"/>
          <w:b w:val="false"/>
          <w:color w:val="000000"/>
          <w:sz w:val="20"/>
        </w:rPr>
        <w:t xml:space="preserve">The Company applies Accounting Standard Codification Topic 326 - </w:t>
      </w:r>
      <w:r>
        <w:rPr>
          <w:rFonts w:ascii="Times New Roman;sans-serif" w:hAnsi="Times New Roman;sans-serif"/>
          <w:b w:val="false"/>
          <w:i/>
          <w:color w:val="000000"/>
          <w:sz w:val="20"/>
        </w:rPr>
        <w:t>Financial Instruments-Credit Losses</w:t>
      </w:r>
      <w:r>
        <w:rPr>
          <w:color w:val="000000"/>
        </w:rPr>
        <w:t xml:space="preserve"> </w:t>
      </w:r>
      <w:r>
        <w:rPr>
          <w:rFonts w:ascii="Times New Roman;sans-serif" w:hAnsi="Times New Roman;sans-serif"/>
          <w:b w:val="false"/>
          <w:color w:val="000000"/>
          <w:sz w:val="20"/>
        </w:rPr>
        <w:t xml:space="preserve">to measure and record current expected credit losses (“CECL”) using a discounted cash flow model for its sales-type leases and lease financing receivables. This model requires the Company to develop cash flows which are used to project estimated credit losses over the life of the sales-type lease and lease financing receivable, and discount these cash flows at the asset’s effective interest rate.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Expected losses within the Company’s cash flows are determined by estimating the probability of default (“PD”) and loss given default (“LGD”) of its tenants and their parent guarantors over the life of each sales-type lease and lease financing receivable by using a model from an independent third-party provider. The PD and LGD are estimated during a reasonable and supportable period which is developed by using the current financial condition of the tenants and their parent guarantors and applying it to a projection of economic conditions over a two-year term. The PD and LGD are also estimated for a long-term period by using the average historical default rates and historical loss rates of public companies that have similar credit profiles or characteristics to the Company’s tenants and their parent guarantors. Significant inputs to the Company’s forecasting methods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222885"/>
                <wp:effectExtent l="0" t="0" r="0" b="0"/>
                <wp:wrapNone/>
                <wp:docPr id="74" name="Frame7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 - 2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 - 2</w:t>
                      </w:r>
                    </w:p>
                  </w:txbxContent>
                </v:textbox>
                <w10:wrap type="none"/>
              </v:rect>
            </w:pict>
          </mc:Fallback>
        </mc:AlternateContent>
      </w:r>
    </w:p>
    <w:p>
      <w:pPr>
        <w:pStyle w:val="TextBody"/>
        <w:bidi w:val="0"/>
        <w:spacing w:lineRule="auto" w:line="288" w:before="60" w:after="283"/>
        <w:jc w:val="both"/>
        <w:rPr/>
      </w:pPr>
      <w:hyperlink w:anchor="ib2fc48f0ddf244d9844b8de22bde2e36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include the tenants’ short-term and long-term PD and LGD based on the tenant’s and their parent guarantor’s credit profile related to sales-type leases and lease financing receivables.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Given the significant amount of judgment required by management to estimate the short-term and long-term PD and LGD, performing audit procedures to evaluate the reasonableness of the estimated allowance for credit losses on certain sales-type leases and lease financing receivables required a high degree of auditor judgment and increased effort, including the need to involve our credit specialists.</w:t>
      </w:r>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How the Critical Audit Matter Was Addressed in the Audit</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audit procedures related to the allowance for credit losses for the Company’s sales-type leases and lease financing receivables included the following, among others: </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 xml:space="preserve">We tested the effectiveness of controls over the allowance for credit losses, including management’s controls over the data used in the model. </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 xml:space="preserve">With the assistance of our credit specialists, we evaluated the reasonableness of the model’s methodology, which includes PD and LGD assumptions. </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 xml:space="preserve">We tested the inputs used to determine the short-term and long-term PD of the tenants and their parent guarantors by agreeing the respective credit rating and equity value of each entity to independent data. </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We reconciled the cash flow inputs used in the CECL model by agreeing them to the respective contractual agreements.</w:t>
      </w:r>
    </w:p>
    <w:p>
      <w:pPr>
        <w:pStyle w:val="TextBody"/>
        <w:bidi w:val="0"/>
        <w:spacing w:lineRule="auto" w:line="288" w:before="240" w:after="240"/>
        <w:jc w:val="both"/>
        <w:rPr>
          <w:rFonts w:ascii="Times New Roman;sans-serif" w:hAnsi="Times New Roman;sans-serif"/>
          <w:b w:val="false"/>
          <w:color w:val="000000"/>
          <w:sz w:val="20"/>
        </w:rPr>
      </w:pPr>
      <w:r>
        <w:rPr>
          <w:rFonts w:ascii="Times New Roman;sans-serif" w:hAnsi="Times New Roman;sans-serif"/>
          <w:b w:val="false"/>
          <w:color w:val="000000"/>
          <w:sz w:val="20"/>
        </w:rPr>
        <w:t>/s/ Deloitte &amp; Touche LLP</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New York, New York</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February 22, 2024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served as the Company's auditor since 2016.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222885"/>
                <wp:effectExtent l="0" t="0" r="0" b="0"/>
                <wp:wrapNone/>
                <wp:docPr id="75" name="Frame7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 - 3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 - 3</w:t>
                      </w:r>
                    </w:p>
                  </w:txbxContent>
                </v:textbox>
                <w10:wrap type="none"/>
              </v:rect>
            </w:pict>
          </mc:Fallback>
        </mc:AlternateContent>
      </w:r>
    </w:p>
    <w:p>
      <w:pPr>
        <w:pStyle w:val="TextBody"/>
        <w:bidi w:val="0"/>
        <w:spacing w:lineRule="auto" w:line="288" w:before="60" w:after="283"/>
        <w:jc w:val="both"/>
        <w:rPr/>
      </w:pPr>
      <w:hyperlink w:anchor="ib2fc48f0ddf244d9844b8de22bde2e36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REPORT OF INDEPENDENT REGISTERED PUBLIC ACCOUNTING FIRM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 the stockholders and the Board of Directors of VICI Properties Inc. </w:t>
      </w:r>
    </w:p>
    <w:p>
      <w:pPr>
        <w:pStyle w:val="TextBody"/>
        <w:bidi w:val="0"/>
        <w:spacing w:lineRule="auto" w:line="288" w:before="180" w:after="283"/>
        <w:jc w:val="both"/>
        <w:rPr/>
      </w:pPr>
      <w:r>
        <w:rPr>
          <w:rFonts w:ascii="Times New Roman;sans-serif" w:hAnsi="Times New Roman;sans-serif"/>
          <w:b/>
          <w:color w:val="000000"/>
          <w:sz w:val="20"/>
        </w:rPr>
        <w:t>Opinion on Internal Control over Financial Reporting</w:t>
      </w:r>
      <w:r>
        <w:rPr>
          <w:color w:val="000000"/>
        </w:rPr>
        <w:t xml:space="preserve"> </w:t>
      </w:r>
    </w:p>
    <w:p>
      <w:pPr>
        <w:pStyle w:val="TextBody"/>
        <w:bidi w:val="0"/>
        <w:spacing w:lineRule="auto" w:line="288" w:before="180" w:after="283"/>
        <w:jc w:val="both"/>
        <w:rPr/>
      </w:pPr>
      <w:r>
        <w:rPr>
          <w:rFonts w:ascii="Times New Roman;sans-serif" w:hAnsi="Times New Roman;sans-serif"/>
          <w:b w:val="false"/>
          <w:color w:val="000000"/>
          <w:sz w:val="20"/>
        </w:rPr>
        <w:t xml:space="preserve">We have audited the internal control over financial reporting of VICI Properties Inc. and subsidiaries (the “Company”) as of December 31, 2023, based on criteria established in </w:t>
      </w:r>
      <w:r>
        <w:rPr>
          <w:rFonts w:ascii="Times New Roman;sans-serif" w:hAnsi="Times New Roman;sans-serif"/>
          <w:b w:val="false"/>
          <w:i/>
          <w:color w:val="000000"/>
          <w:sz w:val="20"/>
        </w:rPr>
        <w:t>Internal Control - Integrated Framework (2013)</w:t>
      </w:r>
      <w:r>
        <w:rPr>
          <w:color w:val="000000"/>
        </w:rPr>
        <w:t xml:space="preserve"> </w:t>
      </w:r>
      <w:r>
        <w:rPr>
          <w:rFonts w:ascii="Times New Roman;sans-serif" w:hAnsi="Times New Roman;sans-serif"/>
          <w:b w:val="false"/>
          <w:color w:val="000000"/>
          <w:sz w:val="20"/>
        </w:rPr>
        <w:t xml:space="preserve">issued by the Committee of Sponsoring Organizations of the Treadway Commission (COSO). In our opinion, the Company maintained, in all material respects, effective internal control over financial reporting as of December 31, 2023, based on criteria established in </w:t>
      </w:r>
      <w:r>
        <w:rPr>
          <w:rFonts w:ascii="Times New Roman;sans-serif" w:hAnsi="Times New Roman;sans-serif"/>
          <w:b w:val="false"/>
          <w:i/>
          <w:color w:val="000000"/>
          <w:sz w:val="20"/>
        </w:rPr>
        <w:t>Internal Control - Integrated Framework (2013)</w:t>
      </w:r>
      <w:r>
        <w:rPr>
          <w:color w:val="000000"/>
        </w:rPr>
        <w:t xml:space="preserve"> </w:t>
      </w:r>
      <w:r>
        <w:rPr>
          <w:rFonts w:ascii="Times New Roman;sans-serif" w:hAnsi="Times New Roman;sans-serif"/>
          <w:b w:val="false"/>
          <w:color w:val="000000"/>
          <w:sz w:val="20"/>
        </w:rPr>
        <w:t xml:space="preserve">issued by COSO.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also audited, in accordance with the standards of the Public Company Accounting Oversight Board (United States) (PCAOB), the consolidated financial statements as of and for the year ended December 31, 2023, of the Company and our report dated February 22, 2024, expressed an unqualified opinion on those consolidated financial statements.</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 xml:space="preserve">Basis for Opinion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 </w:t>
      </w:r>
    </w:p>
    <w:p>
      <w:pPr>
        <w:pStyle w:val="TextBody"/>
        <w:bidi w:val="0"/>
        <w:spacing w:lineRule="auto" w:line="288" w:before="180" w:after="283"/>
        <w:jc w:val="both"/>
        <w:rPr/>
      </w:pPr>
      <w:r>
        <w:rPr>
          <w:rFonts w:ascii="Times New Roman;sans-serif" w:hAnsi="Times New Roman;sans-serif"/>
          <w:b/>
          <w:color w:val="000000"/>
          <w:sz w:val="20"/>
        </w:rPr>
        <w:t>Definition and Limitations of Internal Control over Financial Reporting</w:t>
      </w:r>
      <w:r>
        <w:rPr>
          <w:color w:val="000000"/>
        </w:rPr>
        <w:t xml:space="preserve">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w:t>
      </w:r>
    </w:p>
    <w:p>
      <w:pPr>
        <w:pStyle w:val="TextBody"/>
        <w:bidi w:val="0"/>
        <w:spacing w:lineRule="auto" w:line="288" w:before="240" w:after="240"/>
        <w:jc w:val="both"/>
        <w:rPr>
          <w:rFonts w:ascii="Times New Roman;sans-serif" w:hAnsi="Times New Roman;sans-serif"/>
          <w:b w:val="false"/>
          <w:color w:val="000000"/>
          <w:sz w:val="20"/>
        </w:rPr>
      </w:pPr>
      <w:r>
        <w:rPr>
          <w:rFonts w:ascii="Times New Roman;sans-serif" w:hAnsi="Times New Roman;sans-serif"/>
          <w:b w:val="false"/>
          <w:color w:val="000000"/>
          <w:sz w:val="20"/>
        </w:rPr>
        <w:t>/s/ Deloitte &amp; Touche LLP</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New York, New York</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February 22, 2024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222885"/>
                <wp:effectExtent l="0" t="0" r="0" b="0"/>
                <wp:wrapNone/>
                <wp:docPr id="76" name="Frame7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 - 4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 - 4</w:t>
                      </w:r>
                    </w:p>
                  </w:txbxContent>
                </v:textbox>
                <w10:wrap type="none"/>
              </v:rect>
            </w:pict>
          </mc:Fallback>
        </mc:AlternateContent>
      </w:r>
    </w:p>
    <w:p>
      <w:pPr>
        <w:pStyle w:val="TextBody"/>
        <w:bidi w:val="0"/>
        <w:spacing w:lineRule="auto" w:line="288" w:before="60" w:after="283"/>
        <w:jc w:val="both"/>
        <w:rPr/>
      </w:pPr>
      <w:hyperlink w:anchor="ib2fc48f0ddf244d9844b8de22bde2e36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pPr>
      <w:r>
        <w:rPr>
          <w:rFonts w:ascii="Times New Roman;sans-serif" w:hAnsi="Times New Roman;sans-serif"/>
          <w:b/>
          <w:color w:val="000000"/>
          <w:sz w:val="20"/>
        </w:rPr>
        <w:t>REPORT OF INDEPENDENT REGISTERED PUBLIC ACCOUNTING FIRM</w:t>
      </w:r>
      <w:r>
        <w:rPr>
          <w:color w:val="000000"/>
        </w:rPr>
        <w:t xml:space="preserve"> </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 the Partners of VICI Properties L.P. and the Board of Directors of VICI Properties Inc.</w:t>
      </w:r>
    </w:p>
    <w:p>
      <w:pPr>
        <w:pStyle w:val="TextBody"/>
        <w:bidi w:val="0"/>
        <w:spacing w:lineRule="auto" w:line="288" w:before="240" w:after="283"/>
        <w:jc w:val="both"/>
        <w:rPr/>
      </w:pPr>
      <w:r>
        <w:rPr>
          <w:rFonts w:ascii="Times New Roman;sans-serif" w:hAnsi="Times New Roman;sans-serif"/>
          <w:b/>
          <w:color w:val="000000"/>
          <w:sz w:val="20"/>
        </w:rPr>
        <w:t>Opinion on the Financial Statements</w:t>
      </w:r>
      <w:r>
        <w:rPr>
          <w:color w:val="000000"/>
        </w:rPr>
        <w:t xml:space="preserve">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audited the accompanying consolidated balance sheets of VICI Properties L.P. and subsidiaries (the "Partnership") as of December 31, 2023 and 2022, the related consolidated statements of operations and comprehensive income, partners' capital, and cash flows, for each of the three years in the period ended December 31, 2023, and the related notes (collectively referred to as the "financial statements"). In our opinion, the financial statements present fairly, in all material respects, the financial position of the Partnership as of December 31, 2023 and 2022, and the results of its operations and its cash flows for each of the three years in the period ended December 31, 2023, in conformity with accounting principles generally accepted in the United States of America.</w:t>
      </w:r>
    </w:p>
    <w:p>
      <w:pPr>
        <w:pStyle w:val="TextBody"/>
        <w:bidi w:val="0"/>
        <w:spacing w:lineRule="auto" w:line="288" w:before="180" w:after="283"/>
        <w:jc w:val="both"/>
        <w:rPr/>
      </w:pPr>
      <w:r>
        <w:rPr>
          <w:rFonts w:ascii="Times New Roman;sans-serif" w:hAnsi="Times New Roman;sans-serif"/>
          <w:b w:val="false"/>
          <w:color w:val="000000"/>
          <w:sz w:val="20"/>
        </w:rPr>
        <w:t xml:space="preserve">We have also audited, in accordance with the standards of the Public Company Accounting Oversight Board (United States) (PCAOB), the Partnership's internal control over financial reporting as of December 31, 2023, based on criteria established in </w:t>
      </w:r>
      <w:r>
        <w:rPr>
          <w:rFonts w:ascii="Times New Roman;sans-serif" w:hAnsi="Times New Roman;sans-serif"/>
          <w:b w:val="false"/>
          <w:i/>
          <w:color w:val="000000"/>
          <w:sz w:val="20"/>
        </w:rPr>
        <w:t>Internal Control — Integrated Framework (2013)</w:t>
      </w:r>
      <w:r>
        <w:rPr>
          <w:color w:val="000000"/>
        </w:rPr>
        <w:t xml:space="preserve"> </w:t>
      </w:r>
      <w:r>
        <w:rPr>
          <w:rFonts w:ascii="Times New Roman;sans-serif" w:hAnsi="Times New Roman;sans-serif"/>
          <w:b w:val="false"/>
          <w:color w:val="000000"/>
          <w:sz w:val="20"/>
        </w:rPr>
        <w:t xml:space="preserve">issued by the Committee of Sponsoring Organizations of the Treadway Commission and our report dated February 22, 2024, expressed an unqualified opinion on the Partnership's internal control over financial reporting. </w:t>
      </w:r>
    </w:p>
    <w:p>
      <w:pPr>
        <w:pStyle w:val="TextBody"/>
        <w:bidi w:val="0"/>
        <w:spacing w:lineRule="auto" w:line="288" w:before="180" w:after="283"/>
        <w:jc w:val="both"/>
        <w:rPr/>
      </w:pPr>
      <w:r>
        <w:rPr>
          <w:rFonts w:ascii="Times New Roman;sans-serif" w:hAnsi="Times New Roman;sans-serif"/>
          <w:b/>
          <w:color w:val="000000"/>
          <w:sz w:val="20"/>
        </w:rPr>
        <w:t>Basis for Opinion</w:t>
      </w:r>
      <w:r>
        <w:rPr>
          <w:color w:val="000000"/>
        </w:rPr>
        <w:t xml:space="preserve">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These financial statements are the responsibility of the Partnership's management. Our responsibility is to express an opinion on the Partnership's financial statements based on our audits. We are a public accounting firm registered with the PCAOB and are required to be independent with respect to the Partnership in accordance with the U.S. federal securities laws and the applicable rules and regulations of the Securities and Exchange Commission and the PCAOB.</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Critical Audit Matter</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Allowance for Credit Losses — Refer to Notes 2 and 5 to the financial statements</w:t>
      </w:r>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Critical Audit Matter Description </w:t>
      </w:r>
    </w:p>
    <w:p>
      <w:pPr>
        <w:pStyle w:val="TextBody"/>
        <w:bidi w:val="0"/>
        <w:spacing w:lineRule="auto" w:line="288" w:before="180" w:after="283"/>
        <w:jc w:val="both"/>
        <w:rPr/>
      </w:pPr>
      <w:r>
        <w:rPr>
          <w:rFonts w:ascii="Times New Roman;sans-serif" w:hAnsi="Times New Roman;sans-serif"/>
          <w:b w:val="false"/>
          <w:color w:val="000000"/>
          <w:sz w:val="20"/>
        </w:rPr>
        <w:t xml:space="preserve">The Partnership applies Accounting Standard Codification Topic 326 - </w:t>
      </w:r>
      <w:r>
        <w:rPr>
          <w:rFonts w:ascii="Times New Roman;sans-serif" w:hAnsi="Times New Roman;sans-serif"/>
          <w:b w:val="false"/>
          <w:i/>
          <w:color w:val="000000"/>
          <w:sz w:val="20"/>
        </w:rPr>
        <w:t>Financial Instruments-Credit Losses</w:t>
      </w:r>
      <w:r>
        <w:rPr>
          <w:color w:val="000000"/>
        </w:rPr>
        <w:t xml:space="preserve"> </w:t>
      </w:r>
      <w:r>
        <w:rPr>
          <w:rFonts w:ascii="Times New Roman;sans-serif" w:hAnsi="Times New Roman;sans-serif"/>
          <w:b w:val="false"/>
          <w:color w:val="000000"/>
          <w:sz w:val="20"/>
        </w:rPr>
        <w:t xml:space="preserve">to measure and record current expected credit losses (“CECL”) using a discounted cash flow model for its sales-type leases and lease financing receivables. This model requires the Partnership to develop cash flows which are used to project estimated credit losses over the life of the sales-type lease and lease financing receivable, and discount these cash flows at the asset’s effective interest rate.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Expected losses within the Partnership’s cash flows are determined by estimating the probability of default (“PD”) and loss given default (“LGD”) of its tenants and their parent guarantors over the life of each sales-type lease and lease financing receivable by using a model from an independent third-party provider. The PD and LGD are estimated during a reasonable and supportable period which is developed by using the current financial condition of the tenants and their parent guarantors and applying it to a projection of economic conditions over a two-year term. The PD and LGD are also estimated for a long-term period by using the average historical default rates and historical loss rates of public companies that have similar credit profiles or characteristics to the Partnership’s tenants and their parent guarantors. Significant inputs to the Partnership’s forecasting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222885"/>
                <wp:effectExtent l="0" t="0" r="0" b="0"/>
                <wp:wrapNone/>
                <wp:docPr id="77" name="Frame7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 - 5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 - 5</w:t>
                      </w:r>
                    </w:p>
                  </w:txbxContent>
                </v:textbox>
                <w10:wrap type="none"/>
              </v:rect>
            </w:pict>
          </mc:Fallback>
        </mc:AlternateContent>
      </w:r>
    </w:p>
    <w:p>
      <w:pPr>
        <w:pStyle w:val="TextBody"/>
        <w:bidi w:val="0"/>
        <w:spacing w:lineRule="auto" w:line="288" w:before="60" w:after="283"/>
        <w:jc w:val="both"/>
        <w:rPr/>
      </w:pPr>
      <w:hyperlink w:anchor="ib2fc48f0ddf244d9844b8de22bde2e36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methods include the tenants’ short-term and long-term PD and LGD based on the tenant’s and their parent guarantor’s credit profile related to sales-type leases and lease financing receivables.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Given the significant amount of judgment required by management to estimate the short-term and long-term PD and LGD, performing audit procedures to evaluate the reasonableness of the estimated allowance for credit losses on certain sales-type leases and lease financing receivables required a high degree of auditor judgment and increased effort, including the need to involve our credit specialists.</w:t>
      </w:r>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How the Critical Audit Matter Was Addressed in the Audit</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audit procedures related to the allowance for credit losses for the Partnership’s sales-type leases and lease financing receivables included the following, among others: </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 xml:space="preserve">We tested the effectiveness of controls over the allowance for credit losses, including management’s controls over the data used in the model. </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 xml:space="preserve">With the assistance of our credit specialists, we evaluated the reasonableness of the model’s methodology, which includes PD and LGD assumptions. </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 xml:space="preserve">We tested the inputs used to determine the short-term and long-term PD of the tenants and their parent guarantors by agreeing the respective credit rating and equity value of each entity to independent data. </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We reconciled the cash flow inputs used in the CECL model by agreeing them to the respective contractual agreements.</w:t>
      </w:r>
    </w:p>
    <w:p>
      <w:pPr>
        <w:pStyle w:val="TextBody"/>
        <w:bidi w:val="0"/>
        <w:spacing w:lineRule="auto" w:line="288" w:before="240" w:after="240"/>
        <w:jc w:val="both"/>
        <w:rPr>
          <w:rFonts w:ascii="Times New Roman;sans-serif" w:hAnsi="Times New Roman;sans-serif"/>
          <w:b w:val="false"/>
          <w:color w:val="000000"/>
          <w:sz w:val="20"/>
        </w:rPr>
      </w:pPr>
      <w:r>
        <w:rPr>
          <w:rFonts w:ascii="Times New Roman;sans-serif" w:hAnsi="Times New Roman;sans-serif"/>
          <w:b w:val="false"/>
          <w:color w:val="000000"/>
          <w:sz w:val="20"/>
        </w:rPr>
        <w:t>/s/ Deloitte &amp; Touche LLP</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New York, New York</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February 22, 2024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served as the Partnership's auditor since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222885"/>
                <wp:effectExtent l="0" t="0" r="0" b="0"/>
                <wp:wrapNone/>
                <wp:docPr id="78" name="Frame7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 - 6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 - 6</w:t>
                      </w:r>
                    </w:p>
                  </w:txbxContent>
                </v:textbox>
                <w10:wrap type="none"/>
              </v:rect>
            </w:pict>
          </mc:Fallback>
        </mc:AlternateContent>
      </w:r>
    </w:p>
    <w:p>
      <w:pPr>
        <w:pStyle w:val="TextBody"/>
        <w:bidi w:val="0"/>
        <w:spacing w:lineRule="auto" w:line="288" w:before="60" w:after="283"/>
        <w:jc w:val="both"/>
        <w:rPr/>
      </w:pPr>
      <w:hyperlink w:anchor="ib2fc48f0ddf244d9844b8de22bde2e36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REPORT OF INDEPENDENT REGISTERED PUBLIC ACCOUNTING FIRM </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 the Partners of VICI Properties L.P. and the Board of Directors of VICI Properties Inc.</w:t>
      </w:r>
    </w:p>
    <w:p>
      <w:pPr>
        <w:pStyle w:val="TextBody"/>
        <w:bidi w:val="0"/>
        <w:spacing w:lineRule="auto" w:line="288" w:before="180" w:after="283"/>
        <w:jc w:val="both"/>
        <w:rPr/>
      </w:pPr>
      <w:r>
        <w:rPr>
          <w:rFonts w:ascii="Times New Roman;sans-serif" w:hAnsi="Times New Roman;sans-serif"/>
          <w:b/>
          <w:color w:val="000000"/>
          <w:sz w:val="20"/>
        </w:rPr>
        <w:t>Opinion on Internal Control over Financial Reporting</w:t>
      </w:r>
      <w:r>
        <w:rPr>
          <w:color w:val="000000"/>
        </w:rPr>
        <w:t xml:space="preserve"> </w:t>
      </w:r>
    </w:p>
    <w:p>
      <w:pPr>
        <w:pStyle w:val="TextBody"/>
        <w:bidi w:val="0"/>
        <w:spacing w:lineRule="auto" w:line="288" w:before="180" w:after="283"/>
        <w:jc w:val="both"/>
        <w:rPr/>
      </w:pPr>
      <w:r>
        <w:rPr>
          <w:rFonts w:ascii="Times New Roman;sans-serif" w:hAnsi="Times New Roman;sans-serif"/>
          <w:b w:val="false"/>
          <w:color w:val="000000"/>
          <w:sz w:val="20"/>
        </w:rPr>
        <w:t xml:space="preserve">We have audited the internal control over financial reporting of VICI Properties L.P. and subsidiaries (the “Partnership”) as of December 31, 2023, based on criteria established in </w:t>
      </w:r>
      <w:r>
        <w:rPr>
          <w:rFonts w:ascii="Times New Roman;sans-serif" w:hAnsi="Times New Roman;sans-serif"/>
          <w:b w:val="false"/>
          <w:i/>
          <w:color w:val="000000"/>
          <w:sz w:val="20"/>
        </w:rPr>
        <w:t>Internal Control - Integrated Framework (2013)</w:t>
      </w:r>
      <w:r>
        <w:rPr>
          <w:color w:val="000000"/>
        </w:rPr>
        <w:t xml:space="preserve"> </w:t>
      </w:r>
      <w:r>
        <w:rPr>
          <w:rFonts w:ascii="Times New Roman;sans-serif" w:hAnsi="Times New Roman;sans-serif"/>
          <w:b w:val="false"/>
          <w:color w:val="000000"/>
          <w:sz w:val="20"/>
        </w:rPr>
        <w:t xml:space="preserve">issued by the Committee of Sponsoring Organizations of the Treadway Commission (COSO). In our opinion, the Partnership maintained, in all material respects, effective internal control over financial reporting as of December 31, 2023, based on criteria established in </w:t>
      </w:r>
      <w:r>
        <w:rPr>
          <w:rFonts w:ascii="Times New Roman;sans-serif" w:hAnsi="Times New Roman;sans-serif"/>
          <w:b w:val="false"/>
          <w:i/>
          <w:color w:val="000000"/>
          <w:sz w:val="20"/>
        </w:rPr>
        <w:t>Internal Control - Integrated Framework (2013)</w:t>
      </w:r>
      <w:r>
        <w:rPr>
          <w:color w:val="000000"/>
        </w:rPr>
        <w:t xml:space="preserve"> </w:t>
      </w:r>
      <w:r>
        <w:rPr>
          <w:rFonts w:ascii="Times New Roman;sans-serif" w:hAnsi="Times New Roman;sans-serif"/>
          <w:b w:val="false"/>
          <w:color w:val="000000"/>
          <w:sz w:val="20"/>
        </w:rPr>
        <w:t xml:space="preserve">issued by COSO.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also audited, in accordance with the standards of the Public Company Accounting Oversight Board (United States) (PCAOB), the consolidated financial statements as of and for the year ended December 31, 2023, of the Partnership and our report dated February 22, 2024, expressed an unqualified opinion on those consolidated financial statements.</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 xml:space="preserve">Basis for Opinion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Partnership’s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Partnership’s internal control over financial reporting based on our audit. We are a public accounting firm registered with the PCAOB and are required to be independent with respect to the Partnership in accordance with the U.S. federal securities laws and the applicable rules and regulations of the Securities and Exchange Commission and the PCAOB.</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 </w:t>
      </w:r>
    </w:p>
    <w:p>
      <w:pPr>
        <w:pStyle w:val="TextBody"/>
        <w:bidi w:val="0"/>
        <w:spacing w:lineRule="auto" w:line="288" w:before="180" w:after="283"/>
        <w:jc w:val="both"/>
        <w:rPr/>
      </w:pPr>
      <w:r>
        <w:rPr>
          <w:rFonts w:ascii="Times New Roman;sans-serif" w:hAnsi="Times New Roman;sans-serif"/>
          <w:b/>
          <w:color w:val="000000"/>
          <w:sz w:val="20"/>
        </w:rPr>
        <w:t>Definition and Limitations of Internal Control over Financial Reporting</w:t>
      </w:r>
      <w:r>
        <w:rPr>
          <w:color w:val="000000"/>
        </w:rPr>
        <w:t xml:space="preserve">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w:t>
      </w:r>
    </w:p>
    <w:p>
      <w:pPr>
        <w:pStyle w:val="TextBody"/>
        <w:bidi w:val="0"/>
        <w:spacing w:lineRule="auto" w:line="288" w:before="240" w:after="240"/>
        <w:jc w:val="both"/>
        <w:rPr>
          <w:rFonts w:ascii="Times New Roman;sans-serif" w:hAnsi="Times New Roman;sans-serif"/>
          <w:b w:val="false"/>
          <w:color w:val="000000"/>
          <w:sz w:val="20"/>
        </w:rPr>
      </w:pPr>
      <w:r>
        <w:rPr>
          <w:rFonts w:ascii="Times New Roman;sans-serif" w:hAnsi="Times New Roman;sans-serif"/>
          <w:b w:val="false"/>
          <w:color w:val="000000"/>
          <w:sz w:val="20"/>
        </w:rPr>
        <w:t>/s/ Deloitte &amp; Touche LLP</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New York, New York</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February 22, 2024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222885"/>
                <wp:effectExtent l="0" t="0" r="0" b="0"/>
                <wp:wrapNone/>
                <wp:docPr id="79" name="Frame7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 - 7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 - 7</w:t>
                      </w:r>
                    </w:p>
                  </w:txbxContent>
                </v:textbox>
                <w10:wrap type="none"/>
              </v:rect>
            </w:pict>
          </mc:Fallback>
        </mc:AlternateContent>
      </w:r>
    </w:p>
    <w:p>
      <w:pPr>
        <w:pStyle w:val="TextBody"/>
        <w:bidi w:val="0"/>
        <w:spacing w:lineRule="auto" w:line="288" w:before="60" w:after="283"/>
        <w:jc w:val="both"/>
        <w:rPr/>
      </w:pPr>
      <w:hyperlink w:anchor="ib2fc48f0ddf244d9844b8de22bde2e36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CONSOLIDATED BALANCE SHEETS</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(In thousands, except share and per share data)</w:t>
      </w:r>
    </w:p>
    <w:tbl>
      <w:tblPr>
        <w:tblW w:w="10205" w:type="dxa"/>
        <w:jc w:val="left"/>
        <w:tblInd w:w="0" w:type="dxa"/>
        <w:tblLayout w:type="fixed"/>
        <w:tblCellMar>
          <w:top w:w="28" w:type="dxa"/>
          <w:left w:w="28" w:type="dxa"/>
          <w:bottom w:w="28" w:type="dxa"/>
          <w:right w:w="28" w:type="dxa"/>
        </w:tblCellMar>
      </w:tblPr>
      <w:tblGrid>
        <w:gridCol w:w="2729"/>
        <w:gridCol w:w="2079"/>
        <w:gridCol w:w="2112"/>
        <w:gridCol w:w="219"/>
        <w:gridCol w:w="1123"/>
        <w:gridCol w:w="113"/>
        <w:gridCol w:w="109"/>
        <w:gridCol w:w="109"/>
        <w:gridCol w:w="109"/>
        <w:gridCol w:w="219"/>
        <w:gridCol w:w="1122"/>
        <w:gridCol w:w="162"/>
      </w:tblGrid>
      <w:tr>
        <w:trPr/>
        <w:tc>
          <w:tcPr>
            <w:tcW w:w="2729" w:type="dxa"/>
            <w:tcBorders/>
            <w:vAlign w:val="center"/>
          </w:tcPr>
          <w:p>
            <w:pPr>
              <w:pStyle w:val="TableContents"/>
              <w:bidi w:val="0"/>
              <w:spacing w:before="0" w:after="283"/>
              <w:jc w:val="left"/>
              <w:rPr>
                <w:sz w:val="4"/>
                <w:szCs w:val="4"/>
              </w:rPr>
            </w:pPr>
            <w:r>
              <w:rPr>
                <w:sz w:val="4"/>
                <w:szCs w:val="4"/>
              </w:rPr>
            </w:r>
          </w:p>
        </w:tc>
        <w:tc>
          <w:tcPr>
            <w:tcW w:w="2079" w:type="dxa"/>
            <w:tcBorders/>
            <w:vAlign w:val="center"/>
          </w:tcPr>
          <w:p>
            <w:pPr>
              <w:pStyle w:val="TableContents"/>
              <w:bidi w:val="0"/>
              <w:spacing w:before="0" w:after="283"/>
              <w:jc w:val="left"/>
              <w:rPr>
                <w:sz w:val="4"/>
                <w:szCs w:val="4"/>
              </w:rPr>
            </w:pPr>
            <w:r>
              <w:rPr>
                <w:sz w:val="4"/>
                <w:szCs w:val="4"/>
              </w:rPr>
            </w:r>
          </w:p>
        </w:tc>
        <w:tc>
          <w:tcPr>
            <w:tcW w:w="211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6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Assets</w:t>
            </w:r>
          </w:p>
        </w:tc>
        <w:tc>
          <w:tcPr>
            <w:tcW w:w="14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portfolio:</w:t>
            </w:r>
          </w:p>
        </w:tc>
        <w:tc>
          <w:tcPr>
            <w:tcW w:w="14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leases - sales-type, net</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23,015,931 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17,172,325 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leases - financing receivables, net</w:t>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18,211,102 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16,740,770 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loans and securities, net</w:t>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1,144,177 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685,793 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 unconsolidated affiliate</w:t>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1,460,775 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w:t>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150,727 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153,560 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522,574 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208,933 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0"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r>
      <w:tr>
        <w:trPr/>
        <w:tc>
          <w:tcPr>
            <w:tcW w:w="6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217,342 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1,015,330 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936,328 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44,059,841 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37,575,826 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Liabilities</w:t>
            </w:r>
          </w:p>
        </w:tc>
        <w:tc>
          <w:tcPr>
            <w:tcW w:w="14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net</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16,724,125 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13,739,675 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deferred revenue</w:t>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227,241 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213,388 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0"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r>
      <w:tr>
        <w:trPr/>
        <w:tc>
          <w:tcPr>
            <w:tcW w:w="6920"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r>
      <w:tr>
        <w:trPr/>
        <w:tc>
          <w:tcPr>
            <w:tcW w:w="6920"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r>
      <w:tr>
        <w:trPr/>
        <w:tc>
          <w:tcPr>
            <w:tcW w:w="6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and distributions payable</w:t>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437,599 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380,178 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1,013,102 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952,472 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3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18,402,067 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15,285,713 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Commitments and contingent liabilities (Note 10)</w:t>
            </w:r>
          </w:p>
        </w:tc>
        <w:tc>
          <w:tcPr>
            <w:tcW w:w="14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Stockholders’ equity</w:t>
            </w:r>
          </w:p>
        </w:tc>
        <w:tc>
          <w:tcPr>
            <w:tcW w:w="14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Common stock, $0.01 par value, 1,350,000,000 shares authorized and 1,042,702,763 and 963,096,563 shares issued and outstanding at December 31, 2023 and December 31, 2022, respectively </w:t>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$0.01 par value, 50,000,000 shares authorized and no shares outstanding at December 31, 2023 and 2022</w:t>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24,125,872 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21,645,499 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w:t>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153,870 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185,353 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earnings</w:t>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965,762 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93,154 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VICI stockholders’ equity</w:t>
            </w:r>
          </w:p>
        </w:tc>
        <w:tc>
          <w:tcPr>
            <w:tcW w:w="13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25,255,931 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21,933,637 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interests</w:t>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401,843 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356,476 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3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25,657,774 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22,290,113 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44,059,841 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37,575,826 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_______________________________________________________</w:t>
      </w:r>
    </w:p>
    <w:p>
      <w:pPr>
        <w:pStyle w:val="TextBody"/>
        <w:bidi w:val="0"/>
        <w:spacing w:lineRule="auto" w:line="288" w:before="60" w:after="283"/>
        <w:jc w:val="both"/>
        <w:rPr/>
      </w:pPr>
      <w:r>
        <w:rPr>
          <w:rFonts w:ascii="Times New Roman;sans-serif" w:hAnsi="Times New Roman;sans-serif"/>
          <w:b w:val="false"/>
          <w:i/>
          <w:color w:val="000000"/>
          <w:sz w:val="16"/>
        </w:rPr>
        <w:t xml:space="preserve">Note: As of December 31, 2023 and December 31, 2022, our Investments in leases - sales-type, Investments in leases - financing receivables, Investments in loans and Other assets (sales-type sub-leases) are net of $701.1 million, $703.6 million, $29.8 million and $18.7 million, respectively, and $570.4 million, $726.7 million, $6.9 million, and $19.8 million, respectively, of Allowance for credit losses. Refer to </w:t>
      </w:r>
      <w:hyperlink w:anchor="ib2fc48f0ddf244d9844b8de22bde2e36_154">
        <w:r>
          <w:rPr>
            <w:rStyle w:val="InternetLink"/>
            <w:rFonts w:ascii="Times New Roman;sans-serif" w:hAnsi="Times New Roman;sans-serif"/>
            <w:b w:val="false"/>
            <w:i/>
            <w:color w:val="0000FF"/>
            <w:sz w:val="16"/>
            <w:u w:val="single"/>
          </w:rPr>
          <w:t>Note 5 - Allowance for Credit Losses</w:t>
        </w:r>
      </w:hyperlink>
      <w:r>
        <w:rPr>
          <w:color w:val="000000"/>
        </w:rPr>
        <w:t xml:space="preserve"> </w:t>
      </w:r>
      <w:r>
        <w:rPr>
          <w:rFonts w:ascii="Times New Roman;sans-serif" w:hAnsi="Times New Roman;sans-serif"/>
          <w:b w:val="false"/>
          <w:i/>
          <w:color w:val="000000"/>
          <w:sz w:val="16"/>
        </w:rPr>
        <w:t>for further details.</w:t>
      </w:r>
    </w:p>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222885"/>
                <wp:effectExtent l="0" t="0" r="0" b="0"/>
                <wp:wrapNone/>
                <wp:docPr id="80" name="Frame7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 - 8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 - 8</w:t>
                      </w:r>
                    </w:p>
                  </w:txbxContent>
                </v:textbox>
                <w10:wrap type="none"/>
              </v:rect>
            </w:pict>
          </mc:Fallback>
        </mc:AlternateContent>
      </w:r>
    </w:p>
    <w:p>
      <w:pPr>
        <w:pStyle w:val="TextBody"/>
        <w:bidi w:val="0"/>
        <w:spacing w:lineRule="auto" w:line="288" w:before="60" w:after="283"/>
        <w:jc w:val="both"/>
        <w:rPr/>
      </w:pPr>
      <w:hyperlink w:anchor="ib2fc48f0ddf244d9844b8de22bde2e36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CONSOLIDATED STATEMENTS OF OPERATIONS AND COMPREHENSIVE INCOME</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(In thousands, except share and per share data)</w:t>
      </w:r>
    </w:p>
    <w:tbl>
      <w:tblPr>
        <w:tblW w:w="10030" w:type="dxa"/>
        <w:jc w:val="center"/>
        <w:tblInd w:w="0" w:type="dxa"/>
        <w:tblLayout w:type="fixed"/>
        <w:tblCellMar>
          <w:top w:w="28" w:type="dxa"/>
          <w:left w:w="28" w:type="dxa"/>
          <w:bottom w:w="28" w:type="dxa"/>
          <w:right w:w="28" w:type="dxa"/>
        </w:tblCellMar>
      </w:tblPr>
      <w:tblGrid>
        <w:gridCol w:w="1911"/>
        <w:gridCol w:w="1683"/>
        <w:gridCol w:w="1700"/>
        <w:gridCol w:w="237"/>
        <w:gridCol w:w="1099"/>
        <w:gridCol w:w="109"/>
        <w:gridCol w:w="109"/>
        <w:gridCol w:w="109"/>
        <w:gridCol w:w="109"/>
        <w:gridCol w:w="211"/>
        <w:gridCol w:w="976"/>
        <w:gridCol w:w="109"/>
        <w:gridCol w:w="109"/>
        <w:gridCol w:w="109"/>
        <w:gridCol w:w="109"/>
        <w:gridCol w:w="211"/>
        <w:gridCol w:w="976"/>
        <w:gridCol w:w="154"/>
      </w:tblGrid>
      <w:tr>
        <w:trPr/>
        <w:tc>
          <w:tcPr>
            <w:tcW w:w="1911" w:type="dxa"/>
            <w:tcBorders/>
            <w:vAlign w:val="center"/>
          </w:tcPr>
          <w:p>
            <w:pPr>
              <w:pStyle w:val="TableContents"/>
              <w:bidi w:val="0"/>
              <w:spacing w:before="0" w:after="283"/>
              <w:jc w:val="left"/>
              <w:rPr>
                <w:sz w:val="4"/>
                <w:szCs w:val="4"/>
              </w:rPr>
            </w:pPr>
            <w:r>
              <w:rPr>
                <w:sz w:val="4"/>
                <w:szCs w:val="4"/>
              </w:rPr>
            </w:r>
          </w:p>
        </w:tc>
        <w:tc>
          <w:tcPr>
            <w:tcW w:w="1683" w:type="dxa"/>
            <w:tcBorders/>
            <w:vAlign w:val="center"/>
          </w:tcPr>
          <w:p>
            <w:pPr>
              <w:pStyle w:val="TableContents"/>
              <w:bidi w:val="0"/>
              <w:spacing w:before="0" w:after="283"/>
              <w:jc w:val="left"/>
              <w:rPr>
                <w:sz w:val="4"/>
                <w:szCs w:val="4"/>
              </w:rPr>
            </w:pPr>
            <w:r>
              <w:rPr>
                <w:sz w:val="4"/>
                <w:szCs w:val="4"/>
              </w:rPr>
            </w:r>
          </w:p>
        </w:tc>
        <w:tc>
          <w:tcPr>
            <w:tcW w:w="1700"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5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Revenues</w:t>
            </w:r>
          </w:p>
        </w:tc>
        <w:tc>
          <w:tcPr>
            <w:tcW w:w="14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sales-type leases</w:t>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1,980,178 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1,464,245 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1,167,972 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lease financing receivables, loans and securities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1,519,516 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1,041,229 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283,242 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27,808 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Golf revenues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3,611,988 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2,600,697 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1,509,568 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Operating expenses</w:t>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Golf expenses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allowance for credit losses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102,824 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834,494 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(19,554)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and acquisition expenses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275,157 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990,900 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75,631 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unconsolidated affiliate</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(818,056)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(539,953)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(392,390)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extinguishment of debt</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gains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2,548,481 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1,139,143 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1,026,045 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 from (provision for) income taxes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2,554,622 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1,136,267 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1,023,158 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income attributable to non-controlling interests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attributable to common stockholders </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2,513,540 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1,117,635 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1,013,851 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Net income per common share </w:t>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Basic </w:t>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Diluted </w:t>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9"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Weighted average number of shares of common stock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1,014,513,195 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877,508,388 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564,467,362 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1,015,776,697 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879,675,845 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577,066,292 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Other comprehensive income</w:t>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2,554,622 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1,136,267 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1,023,158 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 of derivative (gain) loss to Interest expense</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(loss) gain on cash flow hedges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 net</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w:t>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2,522,771 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1,320,584 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1,116,563 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attributable to non-controlling interests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attributable to common stockholders</w:t>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2,482,057 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1,302,156 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1,107,256 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222885"/>
                <wp:effectExtent l="0" t="0" r="0" b="0"/>
                <wp:wrapNone/>
                <wp:docPr id="81" name="Frame7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 - 9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 - 9</w:t>
                      </w:r>
                    </w:p>
                  </w:txbxContent>
                </v:textbox>
                <w10:wrap type="none"/>
              </v:rect>
            </w:pict>
          </mc:Fallback>
        </mc:AlternateContent>
      </w:r>
    </w:p>
    <w:p>
      <w:pPr>
        <w:pStyle w:val="TextBody"/>
        <w:bidi w:val="0"/>
        <w:spacing w:lineRule="auto" w:line="288" w:before="60" w:after="283"/>
        <w:jc w:val="both"/>
        <w:rPr/>
      </w:pPr>
      <w:hyperlink w:anchor="ib2fc48f0ddf244d9844b8de22bde2e36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CONSOLIDATED STATEMENTS OF STOCKHOLDERS’ EQUITY</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(In thousands, except per share data)</w:t>
      </w:r>
    </w:p>
    <w:tbl>
      <w:tblPr>
        <w:tblW w:w="11723" w:type="dxa"/>
        <w:jc w:val="center"/>
        <w:tblInd w:w="0" w:type="dxa"/>
        <w:tblLayout w:type="fixed"/>
        <w:tblCellMar>
          <w:top w:w="28" w:type="dxa"/>
          <w:left w:w="28" w:type="dxa"/>
          <w:bottom w:w="28" w:type="dxa"/>
          <w:right w:w="28" w:type="dxa"/>
        </w:tblCellMar>
      </w:tblPr>
      <w:tblGrid>
        <w:gridCol w:w="522"/>
        <w:gridCol w:w="354"/>
        <w:gridCol w:w="355"/>
        <w:gridCol w:w="196"/>
        <w:gridCol w:w="646"/>
        <w:gridCol w:w="109"/>
        <w:gridCol w:w="109"/>
        <w:gridCol w:w="109"/>
        <w:gridCol w:w="109"/>
        <w:gridCol w:w="109"/>
        <w:gridCol w:w="109"/>
        <w:gridCol w:w="196"/>
        <w:gridCol w:w="961"/>
        <w:gridCol w:w="109"/>
        <w:gridCol w:w="109"/>
        <w:gridCol w:w="109"/>
        <w:gridCol w:w="109"/>
        <w:gridCol w:w="228"/>
        <w:gridCol w:w="859"/>
        <w:gridCol w:w="129"/>
        <w:gridCol w:w="109"/>
        <w:gridCol w:w="109"/>
        <w:gridCol w:w="109"/>
        <w:gridCol w:w="196"/>
        <w:gridCol w:w="736"/>
        <w:gridCol w:w="109"/>
        <w:gridCol w:w="109"/>
        <w:gridCol w:w="109"/>
        <w:gridCol w:w="109"/>
        <w:gridCol w:w="196"/>
        <w:gridCol w:w="961"/>
        <w:gridCol w:w="109"/>
        <w:gridCol w:w="109"/>
        <w:gridCol w:w="109"/>
        <w:gridCol w:w="109"/>
        <w:gridCol w:w="237"/>
        <w:gridCol w:w="891"/>
        <w:gridCol w:w="133"/>
        <w:gridCol w:w="109"/>
        <w:gridCol w:w="109"/>
        <w:gridCol w:w="109"/>
        <w:gridCol w:w="196"/>
        <w:gridCol w:w="961"/>
        <w:gridCol w:w="154"/>
      </w:tblGrid>
      <w:tr>
        <w:trPr/>
        <w:tc>
          <w:tcPr>
            <w:tcW w:w="52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Common Stock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VICI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Stockholders’ Equity</w:t>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Balance as of December 31, 2020</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9,363,539 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(92,521)</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139,454 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9,415,839 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77,906 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9,493,745 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1,013,851 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1,013,851 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9,307 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1,023,158 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net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2,383,896 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2,384,815 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2,384,815 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Dividends and distributions declared ($1.380 per common share)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(807,279)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(807,279)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(8,307)</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(815,586)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net of forfeitures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Reclassification of derivative loss to Interest expense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64,239 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64,239 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loss on cash flow hedges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29,166 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Balance as of December 31, 2021</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11,755,069 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884 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346,026 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12,108,268 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78,906 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12,187,174 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1,117,635 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1,117,635 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18,632 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1,136,267 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9,786,991 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9,790,328 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9,790,328 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VICI OP Units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374,769 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374,769 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Reallocation of equity</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(93,286)</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Dividends and distributions declared ($1.500 per common share)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(1,370,507)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(1,370,507)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(22,472)</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(1,392,979)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net of forfeitures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Reclassification of derivative loss to Interest expense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(16,029)</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(16,233)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loss on cash flow hedges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200,550 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200,550 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Balance as of December 31, 2022</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21,645,499 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185,353 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93,154 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21,933,637 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356,476 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22,290,113 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2,513,540 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2,513,540 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41,082 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2,554,622 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net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2,478,929 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2,479,720 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2,479,720 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partnership units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24,390 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Reallocation of equity</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8,993 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Dividends and distributions declared ($1.610 per common share)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(1,640,932)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(1,640,932)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(28,858)</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(1,669,790)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net of forfeitures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Reclassification of derivative gain to Interest expense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(23,860)</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gain on cash flow hedges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(9,551)</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(9,655)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adjustments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Balance as of December 31, 2023</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24,125,872 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153,870 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965,762 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25,255,931 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401,843 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25,657,774 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222885"/>
                <wp:effectExtent l="0" t="0" r="0" b="0"/>
                <wp:wrapNone/>
                <wp:docPr id="82" name="Frame8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 - 10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 - 10</w:t>
                      </w:r>
                    </w:p>
                  </w:txbxContent>
                </v:textbox>
                <w10:wrap type="none"/>
              </v:rect>
            </w:pict>
          </mc:Fallback>
        </mc:AlternateContent>
      </w:r>
    </w:p>
    <w:p>
      <w:pPr>
        <w:pStyle w:val="TextBody"/>
        <w:bidi w:val="0"/>
        <w:spacing w:lineRule="auto" w:line="288" w:before="60" w:after="283"/>
        <w:jc w:val="both"/>
        <w:rPr/>
      </w:pPr>
      <w:hyperlink w:anchor="ib2fc48f0ddf244d9844b8de22bde2e36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CONSOLIDATED STATEMENTS OF CASH FLOWS</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(In thousands)</w:t>
      </w:r>
    </w:p>
    <w:tbl>
      <w:tblPr>
        <w:tblW w:w="10205" w:type="dxa"/>
        <w:jc w:val="center"/>
        <w:tblInd w:w="0" w:type="dxa"/>
        <w:tblLayout w:type="fixed"/>
        <w:tblCellMar>
          <w:top w:w="28" w:type="dxa"/>
          <w:left w:w="28" w:type="dxa"/>
          <w:bottom w:w="28" w:type="dxa"/>
          <w:right w:w="28" w:type="dxa"/>
        </w:tblCellMar>
      </w:tblPr>
      <w:tblGrid>
        <w:gridCol w:w="2119"/>
        <w:gridCol w:w="1742"/>
        <w:gridCol w:w="1755"/>
        <w:gridCol w:w="211"/>
        <w:gridCol w:w="976"/>
        <w:gridCol w:w="109"/>
        <w:gridCol w:w="109"/>
        <w:gridCol w:w="109"/>
        <w:gridCol w:w="109"/>
        <w:gridCol w:w="211"/>
        <w:gridCol w:w="976"/>
        <w:gridCol w:w="109"/>
        <w:gridCol w:w="109"/>
        <w:gridCol w:w="109"/>
        <w:gridCol w:w="109"/>
        <w:gridCol w:w="211"/>
        <w:gridCol w:w="976"/>
        <w:gridCol w:w="156"/>
      </w:tblGrid>
      <w:tr>
        <w:trPr/>
        <w:tc>
          <w:tcPr>
            <w:tcW w:w="2119" w:type="dxa"/>
            <w:tcBorders/>
            <w:vAlign w:val="center"/>
          </w:tcPr>
          <w:p>
            <w:pPr>
              <w:pStyle w:val="TableContents"/>
              <w:bidi w:val="0"/>
              <w:spacing w:before="0" w:after="283"/>
              <w:jc w:val="left"/>
              <w:rPr>
                <w:sz w:val="4"/>
                <w:szCs w:val="4"/>
              </w:rPr>
            </w:pPr>
            <w:r>
              <w:rPr>
                <w:sz w:val="4"/>
                <w:szCs w:val="4"/>
              </w:rPr>
            </w:r>
          </w:p>
        </w:tc>
        <w:tc>
          <w:tcPr>
            <w:tcW w:w="1742" w:type="dxa"/>
            <w:tcBorders/>
            <w:vAlign w:val="center"/>
          </w:tcPr>
          <w:p>
            <w:pPr>
              <w:pStyle w:val="TableContents"/>
              <w:bidi w:val="0"/>
              <w:spacing w:before="0" w:after="283"/>
              <w:jc w:val="left"/>
              <w:rPr>
                <w:sz w:val="4"/>
                <w:szCs w:val="4"/>
              </w:rPr>
            </w:pPr>
            <w:r>
              <w:rPr>
                <w:sz w:val="4"/>
                <w:szCs w:val="4"/>
              </w:rPr>
            </w:r>
          </w:p>
        </w:tc>
        <w:tc>
          <w:tcPr>
            <w:tcW w:w="17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5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5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Cash flows from operating activities</w:t>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2,554,622 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1,136,267 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1,023,158 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to cash flows provided by operating activities: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Non-cash leasing and financing adjustments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(515,488)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(337,631)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(119,969)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transaction costs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Depreciation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gains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 issuance costs and original issue discount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71,452 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allowance for credit losses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102,824 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834,494 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(19,554)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unconsolidated affiliate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from unconsolidated affiliate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proceeds from settlement of derivatives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extinguishment of debt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15,622 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operating assets and liabilities: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deferred revenue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(88,127)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2,181,009 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1,943,396 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896,350 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Cash flows from investing activities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paid in connection with MGP Transactions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(4,574,536)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paid in connection with the MGM Grand/Mandalay Bay JV Interest Acquisition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(1,266,905)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leases - sales-type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(241,139)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(4,017,851)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leases - financing receivables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(1,131,996)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(296,668)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loans and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(959,135)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(193,733)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(33,614)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repayments of lease financing receivables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repayments of loans and receipts of deferred fees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70,448 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transaction costs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(20,697)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short-term investments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(306,532)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Maturities of short-term investments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19,973 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 of real estate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13,301 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of property and equipment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by investing activities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(2,899,095)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(9,304,014)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41,449 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222885"/>
                <wp:effectExtent l="0" t="0" r="0" b="0"/>
                <wp:wrapNone/>
                <wp:docPr id="83" name="Frame8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 - 11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 - 11</w:t>
                      </w:r>
                    </w:p>
                  </w:txbxContent>
                </v:textbox>
                <w10:wrap type="none"/>
              </v:rect>
            </w:pict>
          </mc:Fallback>
        </mc:AlternateContent>
      </w:r>
    </w:p>
    <w:p>
      <w:pPr>
        <w:pStyle w:val="TextBody"/>
        <w:bidi w:val="0"/>
        <w:spacing w:lineRule="auto" w:line="288" w:before="60" w:after="283"/>
        <w:jc w:val="both"/>
        <w:rPr/>
      </w:pPr>
      <w:hyperlink w:anchor="ib2fc48f0ddf244d9844b8de22bde2e36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CONSOLIDATED STATEMENTS OF CASH FLOWS</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(In thousands)</w:t>
      </w:r>
    </w:p>
    <w:tbl>
      <w:tblPr>
        <w:tblW w:w="10205" w:type="dxa"/>
        <w:jc w:val="center"/>
        <w:tblInd w:w="0" w:type="dxa"/>
        <w:tblLayout w:type="fixed"/>
        <w:tblCellMar>
          <w:top w:w="28" w:type="dxa"/>
          <w:left w:w="28" w:type="dxa"/>
          <w:bottom w:w="28" w:type="dxa"/>
          <w:right w:w="28" w:type="dxa"/>
        </w:tblCellMar>
      </w:tblPr>
      <w:tblGrid>
        <w:gridCol w:w="2220"/>
        <w:gridCol w:w="1900"/>
        <w:gridCol w:w="1912"/>
        <w:gridCol w:w="212"/>
        <w:gridCol w:w="835"/>
        <w:gridCol w:w="109"/>
        <w:gridCol w:w="109"/>
        <w:gridCol w:w="109"/>
        <w:gridCol w:w="109"/>
        <w:gridCol w:w="212"/>
        <w:gridCol w:w="835"/>
        <w:gridCol w:w="109"/>
        <w:gridCol w:w="109"/>
        <w:gridCol w:w="109"/>
        <w:gridCol w:w="109"/>
        <w:gridCol w:w="212"/>
        <w:gridCol w:w="835"/>
        <w:gridCol w:w="160"/>
      </w:tblGrid>
      <w:tr>
        <w:trPr/>
        <w:tc>
          <w:tcPr>
            <w:tcW w:w="2220" w:type="dxa"/>
            <w:tcBorders/>
            <w:vAlign w:val="center"/>
          </w:tcPr>
          <w:p>
            <w:pPr>
              <w:pStyle w:val="TableContents"/>
              <w:bidi w:val="0"/>
              <w:spacing w:before="0" w:after="283"/>
              <w:jc w:val="left"/>
              <w:rPr>
                <w:sz w:val="4"/>
                <w:szCs w:val="4"/>
              </w:rPr>
            </w:pPr>
            <w:r>
              <w:rPr>
                <w:sz w:val="4"/>
                <w:szCs w:val="4"/>
              </w:rPr>
            </w:r>
          </w:p>
        </w:tc>
        <w:tc>
          <w:tcPr>
            <w:tcW w:w="1900" w:type="dxa"/>
            <w:tcBorders/>
            <w:vAlign w:val="center"/>
          </w:tcPr>
          <w:p>
            <w:pPr>
              <w:pStyle w:val="TableContents"/>
              <w:bidi w:val="0"/>
              <w:spacing w:before="0" w:after="283"/>
              <w:jc w:val="left"/>
              <w:rPr>
                <w:sz w:val="4"/>
                <w:szCs w:val="4"/>
              </w:rPr>
            </w:pPr>
            <w:r>
              <w:rPr>
                <w:sz w:val="4"/>
                <w:szCs w:val="4"/>
              </w:rPr>
            </w:r>
          </w:p>
        </w:tc>
        <w:tc>
          <w:tcPr>
            <w:tcW w:w="19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6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6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Cash flows from financing activities</w:t>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offering of common stock, net</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2,480,105 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3,219,101 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2,385,779 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April 2022 Notes offering</w:t>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Revolving Credit Facility</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 of Revolving Credit Facility</w:t>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 of Term Loan B Facility</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(2,100,000)</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 of stock for tax withholding</w:t>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(1,734)</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issuance costs</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(146,189)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(31,126)</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to non-controlling interests</w:t>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(8,307)</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paid</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(1,583,840)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(1,219,117)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(758,790)</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financing activities</w:t>
            </w:r>
          </w:p>
        </w:tc>
        <w:tc>
          <w:tcPr>
            <w:tcW w:w="10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1,031,790 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6,829,937 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(514,178)</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exchange rate changes on cash, cash equivalents and restricted cash</w:t>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(decrease) in cash, cash equivalents and restricted cash</w:t>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313,641 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(530,681)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423,621 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beginning of period</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208,933 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315,993 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end of period</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522,574 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208,933 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739,614 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Supplemental cash flow information:</w:t>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paid for interest </w:t>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762,610 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466,806 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323,219 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income taxes</w:t>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Supplemental non-cash investing and financing activity:</w:t>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Dividends and distributions declared, not paid </w:t>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439,486 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380,379 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226,419 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stock based compensation subject to repurchase for tax withholding</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transaction costs payable</w:t>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issuance costs payable</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43,005 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2"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r>
      <w:tr>
        <w:trPr/>
        <w:tc>
          <w:tcPr>
            <w:tcW w:w="6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change in Investments in leases - financing receivables</w:t>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276,929 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21,139 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Obtaining right-of-use assets in exchange for lease liabilities</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8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222885"/>
                <wp:effectExtent l="0" t="0" r="0" b="0"/>
                <wp:wrapNone/>
                <wp:docPr id="84" name="Frame8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 - 12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 - 12</w:t>
                      </w:r>
                    </w:p>
                  </w:txbxContent>
                </v:textbox>
                <w10:wrap type="none"/>
              </v:rect>
            </w:pict>
          </mc:Fallback>
        </mc:AlternateContent>
      </w:r>
    </w:p>
    <w:p>
      <w:pPr>
        <w:pStyle w:val="TextBody"/>
        <w:bidi w:val="0"/>
        <w:spacing w:lineRule="auto" w:line="288" w:before="60" w:after="283"/>
        <w:jc w:val="left"/>
        <w:rPr/>
      </w:pPr>
      <w:hyperlink w:anchor="ib2fc48f0ddf244d9844b8de22bde2e36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60" w:after="283"/>
        <w:jc w:val="center"/>
        <w:rPr>
          <w:rFonts w:ascii="Times New Roman;sans-serif" w:hAnsi="Times New Roman;sans-serif"/>
          <w:b/>
          <w:color w:val="000000"/>
          <w:sz w:val="22"/>
        </w:rPr>
      </w:pPr>
      <w:r>
        <w:rPr>
          <w:rFonts w:ascii="Times New Roman;sans-serif" w:hAnsi="Times New Roman;sans-serif"/>
          <w:b/>
          <w:color w:val="000000"/>
          <w:sz w:val="22"/>
        </w:rPr>
        <w:t>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CONSOLIDATED BALANCE SHEETS</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(In thousands, except unit and per unit data)</w:t>
      </w:r>
    </w:p>
    <w:tbl>
      <w:tblPr>
        <w:tblW w:w="10205" w:type="dxa"/>
        <w:jc w:val="left"/>
        <w:tblInd w:w="0" w:type="dxa"/>
        <w:tblLayout w:type="fixed"/>
        <w:tblCellMar>
          <w:top w:w="28" w:type="dxa"/>
          <w:left w:w="28" w:type="dxa"/>
          <w:bottom w:w="28" w:type="dxa"/>
          <w:right w:w="28" w:type="dxa"/>
        </w:tblCellMar>
      </w:tblPr>
      <w:tblGrid>
        <w:gridCol w:w="2689"/>
        <w:gridCol w:w="2087"/>
        <w:gridCol w:w="2120"/>
        <w:gridCol w:w="220"/>
        <w:gridCol w:w="1132"/>
        <w:gridCol w:w="114"/>
        <w:gridCol w:w="109"/>
        <w:gridCol w:w="109"/>
        <w:gridCol w:w="109"/>
        <w:gridCol w:w="220"/>
        <w:gridCol w:w="1131"/>
        <w:gridCol w:w="165"/>
      </w:tblGrid>
      <w:tr>
        <w:trPr/>
        <w:tc>
          <w:tcPr>
            <w:tcW w:w="2689" w:type="dxa"/>
            <w:tcBorders/>
            <w:vAlign w:val="center"/>
          </w:tcPr>
          <w:p>
            <w:pPr>
              <w:pStyle w:val="TableContents"/>
              <w:bidi w:val="0"/>
              <w:spacing w:before="0" w:after="283"/>
              <w:jc w:val="left"/>
              <w:rPr>
                <w:sz w:val="4"/>
                <w:szCs w:val="4"/>
              </w:rPr>
            </w:pPr>
            <w:r>
              <w:rPr>
                <w:sz w:val="4"/>
                <w:szCs w:val="4"/>
              </w:rPr>
            </w:r>
          </w:p>
        </w:tc>
        <w:tc>
          <w:tcPr>
            <w:tcW w:w="2087" w:type="dxa"/>
            <w:tcBorders/>
            <w:vAlign w:val="center"/>
          </w:tcPr>
          <w:p>
            <w:pPr>
              <w:pStyle w:val="TableContents"/>
              <w:bidi w:val="0"/>
              <w:spacing w:before="0" w:after="283"/>
              <w:jc w:val="left"/>
              <w:rPr>
                <w:sz w:val="4"/>
                <w:szCs w:val="4"/>
              </w:rPr>
            </w:pPr>
            <w:r>
              <w:rPr>
                <w:sz w:val="4"/>
                <w:szCs w:val="4"/>
              </w:rPr>
            </w:r>
          </w:p>
        </w:tc>
        <w:tc>
          <w:tcPr>
            <w:tcW w:w="21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68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68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Assets</w:t>
            </w:r>
          </w:p>
        </w:tc>
        <w:tc>
          <w:tcPr>
            <w:tcW w:w="14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portfolio:</w:t>
            </w:r>
          </w:p>
        </w:tc>
        <w:tc>
          <w:tcPr>
            <w:tcW w:w="1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leases - sales-type, net</w:t>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23,015,931 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17,172,325 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leases - financing receivables, net</w:t>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18,211,102 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16,740,770 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loans, net</w:t>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1,144,177 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685,793 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 unconsolidated affiliate</w:t>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1,460,775 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w:t>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150,727 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153,560 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471,584 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142,600 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6" w:type="dxa"/>
            <w:gridSpan w:val="3"/>
            <w:tcBorders/>
            <w:vAlign w:val="center"/>
          </w:tcPr>
          <w:p>
            <w:pPr>
              <w:pStyle w:val="TableContents"/>
              <w:bidi w:val="0"/>
              <w:spacing w:before="0" w:after="283"/>
              <w:jc w:val="left"/>
              <w:rPr>
                <w:sz w:val="4"/>
                <w:szCs w:val="4"/>
              </w:rPr>
            </w:pPr>
            <w:r>
              <w:rPr>
                <w:sz w:val="4"/>
                <w:szCs w:val="4"/>
              </w:rPr>
            </w:r>
          </w:p>
        </w:tc>
        <w:tc>
          <w:tcPr>
            <w:tcW w:w="1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r>
      <w:tr>
        <w:trPr/>
        <w:tc>
          <w:tcPr>
            <w:tcW w:w="68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217,342 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936,528 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856,605 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43,930,049 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37,429,770 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Liabilities</w:t>
            </w:r>
          </w:p>
        </w:tc>
        <w:tc>
          <w:tcPr>
            <w:tcW w:w="1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net</w:t>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16,724,125 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13,739,675 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deferred revenue</w:t>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222,333 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206,643 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6" w:type="dxa"/>
            <w:gridSpan w:val="3"/>
            <w:tcBorders/>
            <w:vAlign w:val="center"/>
          </w:tcPr>
          <w:p>
            <w:pPr>
              <w:pStyle w:val="TableContents"/>
              <w:bidi w:val="0"/>
              <w:spacing w:before="0" w:after="283"/>
              <w:jc w:val="left"/>
              <w:rPr>
                <w:sz w:val="4"/>
                <w:szCs w:val="4"/>
              </w:rPr>
            </w:pPr>
            <w:r>
              <w:rPr>
                <w:sz w:val="4"/>
                <w:szCs w:val="4"/>
              </w:rPr>
            </w:r>
          </w:p>
        </w:tc>
        <w:tc>
          <w:tcPr>
            <w:tcW w:w="1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r>
      <w:tr>
        <w:trPr/>
        <w:tc>
          <w:tcPr>
            <w:tcW w:w="6896" w:type="dxa"/>
            <w:gridSpan w:val="3"/>
            <w:tcBorders/>
            <w:vAlign w:val="center"/>
          </w:tcPr>
          <w:p>
            <w:pPr>
              <w:pStyle w:val="TableContents"/>
              <w:bidi w:val="0"/>
              <w:spacing w:before="0" w:after="283"/>
              <w:jc w:val="left"/>
              <w:rPr>
                <w:sz w:val="4"/>
                <w:szCs w:val="4"/>
              </w:rPr>
            </w:pPr>
            <w:r>
              <w:rPr>
                <w:sz w:val="4"/>
                <w:szCs w:val="4"/>
              </w:rPr>
            </w:r>
          </w:p>
        </w:tc>
        <w:tc>
          <w:tcPr>
            <w:tcW w:w="1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r>
      <w:tr>
        <w:trPr/>
        <w:tc>
          <w:tcPr>
            <w:tcW w:w="6896" w:type="dxa"/>
            <w:gridSpan w:val="3"/>
            <w:tcBorders/>
            <w:vAlign w:val="center"/>
          </w:tcPr>
          <w:p>
            <w:pPr>
              <w:pStyle w:val="TableContents"/>
              <w:bidi w:val="0"/>
              <w:spacing w:before="0" w:after="283"/>
              <w:jc w:val="left"/>
              <w:rPr>
                <w:sz w:val="4"/>
                <w:szCs w:val="4"/>
              </w:rPr>
            </w:pPr>
            <w:r>
              <w:rPr>
                <w:sz w:val="4"/>
                <w:szCs w:val="4"/>
              </w:rPr>
            </w:r>
          </w:p>
        </w:tc>
        <w:tc>
          <w:tcPr>
            <w:tcW w:w="1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r>
      <w:tr>
        <w:trPr/>
        <w:tc>
          <w:tcPr>
            <w:tcW w:w="68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payable</w:t>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437,599 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380,581 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998,363 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937,655 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18,382,420 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15,264,554 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Commitments and contingent liabilities (Note 10)</w:t>
            </w:r>
          </w:p>
        </w:tc>
        <w:tc>
          <w:tcPr>
            <w:tcW w:w="1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Partners’ capital</w:t>
            </w:r>
          </w:p>
        </w:tc>
        <w:tc>
          <w:tcPr>
            <w:tcW w:w="1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Partners’ capital, 1,054,934,136 and 975,327,936 operating partnership units issued and outstanding at December 31, 2023 and December 31, 2022, respectively </w:t>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25,288,647 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21,900,511 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w:t>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153,350 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185,201 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VICI LP’s capital</w:t>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25,441,997 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22,085,712 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w:t>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105,632 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79,504 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capital attributable to partners</w:t>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25,547,629 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22,165,216 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partners’ capital</w:t>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43,930,049 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37,429,770 </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_______________________________________________________</w:t>
      </w:r>
    </w:p>
    <w:p>
      <w:pPr>
        <w:pStyle w:val="TextBody"/>
        <w:bidi w:val="0"/>
        <w:spacing w:lineRule="auto" w:line="288" w:before="60" w:after="283"/>
        <w:jc w:val="both"/>
        <w:rPr/>
      </w:pPr>
      <w:r>
        <w:rPr>
          <w:rFonts w:ascii="Times New Roman;sans-serif" w:hAnsi="Times New Roman;sans-serif"/>
          <w:b w:val="false"/>
          <w:i/>
          <w:color w:val="000000"/>
          <w:sz w:val="16"/>
        </w:rPr>
        <w:t xml:space="preserve">Note: As of December 31, 2023 and December 31, 2022, our Investments in leases - sales-type, Investments in leases - financing receivables, Investments in loans and Other assets (sales-type sub-leases) are net of $701.1 million, $703.6 million, $29.8 million and $18.7 million, respectively, and $570.4 million, $726.7 million, $6.9 million, and $19.8 million, respectively, of Allowance for credit losses. Refer to </w:t>
      </w:r>
      <w:hyperlink w:anchor="ib2fc48f0ddf244d9844b8de22bde2e36_154">
        <w:r>
          <w:rPr>
            <w:rStyle w:val="InternetLink"/>
            <w:rFonts w:ascii="Times New Roman;sans-serif" w:hAnsi="Times New Roman;sans-serif"/>
            <w:b w:val="false"/>
            <w:i/>
            <w:color w:val="0000FF"/>
            <w:sz w:val="16"/>
            <w:u w:val="single"/>
          </w:rPr>
          <w:t>Note 5 - Allowance for Credit Losses</w:t>
        </w:r>
      </w:hyperlink>
      <w:r>
        <w:rPr>
          <w:color w:val="000000"/>
        </w:rPr>
        <w:t xml:space="preserve"> </w:t>
      </w:r>
      <w:r>
        <w:rPr>
          <w:rFonts w:ascii="Times New Roman;sans-serif" w:hAnsi="Times New Roman;sans-serif"/>
          <w:b w:val="false"/>
          <w:i/>
          <w:color w:val="000000"/>
          <w:sz w:val="16"/>
        </w:rPr>
        <w:t>for further details.</w:t>
      </w:r>
    </w:p>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222885"/>
                <wp:effectExtent l="0" t="0" r="0" b="0"/>
                <wp:wrapNone/>
                <wp:docPr id="85" name="Frame8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 - 13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 - 13</w:t>
                      </w:r>
                    </w:p>
                  </w:txbxContent>
                </v:textbox>
                <w10:wrap type="none"/>
              </v:rect>
            </w:pict>
          </mc:Fallback>
        </mc:AlternateContent>
      </w:r>
    </w:p>
    <w:p>
      <w:pPr>
        <w:pStyle w:val="TextBody"/>
        <w:bidi w:val="0"/>
        <w:spacing w:lineRule="auto" w:line="288" w:before="60" w:after="283"/>
        <w:jc w:val="left"/>
        <w:rPr/>
      </w:pPr>
      <w:hyperlink w:anchor="ib2fc48f0ddf244d9844b8de22bde2e36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60" w:after="283"/>
        <w:jc w:val="center"/>
        <w:rPr>
          <w:rFonts w:ascii="Times New Roman;sans-serif" w:hAnsi="Times New Roman;sans-serif"/>
          <w:b/>
          <w:color w:val="000000"/>
          <w:sz w:val="22"/>
        </w:rPr>
      </w:pPr>
      <w:r>
        <w:rPr>
          <w:rFonts w:ascii="Times New Roman;sans-serif" w:hAnsi="Times New Roman;sans-serif"/>
          <w:b/>
          <w:color w:val="000000"/>
          <w:sz w:val="22"/>
        </w:rPr>
        <w:t>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CONSOLIDATED STATEMENTS OF OPERATIONS AND COMPREHENSIVE INCOME</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(In thousands, except unit and per unit data)</w:t>
      </w:r>
    </w:p>
    <w:tbl>
      <w:tblPr>
        <w:tblW w:w="9790" w:type="dxa"/>
        <w:jc w:val="left"/>
        <w:tblInd w:w="0" w:type="dxa"/>
        <w:tblLayout w:type="fixed"/>
        <w:tblCellMar>
          <w:top w:w="28" w:type="dxa"/>
          <w:left w:w="28" w:type="dxa"/>
          <w:bottom w:w="28" w:type="dxa"/>
          <w:right w:w="28" w:type="dxa"/>
        </w:tblCellMar>
      </w:tblPr>
      <w:tblGrid>
        <w:gridCol w:w="1824"/>
        <w:gridCol w:w="1607"/>
        <w:gridCol w:w="1623"/>
        <w:gridCol w:w="237"/>
        <w:gridCol w:w="1099"/>
        <w:gridCol w:w="109"/>
        <w:gridCol w:w="109"/>
        <w:gridCol w:w="109"/>
        <w:gridCol w:w="109"/>
        <w:gridCol w:w="211"/>
        <w:gridCol w:w="976"/>
        <w:gridCol w:w="109"/>
        <w:gridCol w:w="109"/>
        <w:gridCol w:w="109"/>
        <w:gridCol w:w="109"/>
        <w:gridCol w:w="211"/>
        <w:gridCol w:w="976"/>
        <w:gridCol w:w="154"/>
      </w:tblGrid>
      <w:tr>
        <w:trPr/>
        <w:tc>
          <w:tcPr>
            <w:tcW w:w="1824" w:type="dxa"/>
            <w:tcBorders/>
            <w:vAlign w:val="center"/>
          </w:tcPr>
          <w:p>
            <w:pPr>
              <w:pStyle w:val="TableContents"/>
              <w:bidi w:val="0"/>
              <w:spacing w:before="0" w:after="283"/>
              <w:jc w:val="left"/>
              <w:rPr>
                <w:sz w:val="4"/>
                <w:szCs w:val="4"/>
              </w:rPr>
            </w:pPr>
            <w:r>
              <w:rPr>
                <w:sz w:val="4"/>
                <w:szCs w:val="4"/>
              </w:rPr>
            </w:r>
          </w:p>
        </w:tc>
        <w:tc>
          <w:tcPr>
            <w:tcW w:w="1607"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5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Revenues</w:t>
            </w:r>
          </w:p>
        </w:tc>
        <w:tc>
          <w:tcPr>
            <w:tcW w:w="14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sales-type leases</w:t>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1,980,178 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1,464,245 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1,167,972 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lease financing receivables, loans and securities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1,519,516 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1,041,229 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283,242 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3,573,020 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2,565,103 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1,479,022 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Operating expenses</w:t>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allowance for credit losses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102,824 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834,494 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(19,554)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and acquisition expenses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244,295 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965,229 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51,899 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unconsolidated affiliate</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(818,056)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(539,953)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(392,390)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extinguishment of debt</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gains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2,537,849 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1,128,171 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1,019,214 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 from (provision for) income taxes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2,545,970 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1,127,598 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1,017,841 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income attributable to non-controlling interests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attributable to partners </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2,535,066 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1,118,471 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1,008,534 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Net income per Partnership unit</w:t>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Basic </w:t>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Diluted </w:t>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9"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Weighted average number of Partnership units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1,026,744,568 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885,785,509 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564,467,362 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1,028,008,070 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887,952,966 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577,066,292 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Other comprehensive income</w:t>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attributable to partners </w:t>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2,535,066 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1,118,471 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1,008,534 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 of derivative (gain) loss to Interest expense</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(loss) gain on cash flow hedges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 net</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attributable to partners</w:t>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2,503,215 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1,302,788 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1,101,939 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222885"/>
                <wp:effectExtent l="0" t="0" r="0" b="0"/>
                <wp:wrapNone/>
                <wp:docPr id="86" name="Frame8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 - 14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 - 14</w:t>
                      </w:r>
                    </w:p>
                  </w:txbxContent>
                </v:textbox>
                <w10:wrap type="none"/>
              </v:rect>
            </w:pict>
          </mc:Fallback>
        </mc:AlternateContent>
      </w:r>
    </w:p>
    <w:p>
      <w:pPr>
        <w:pStyle w:val="TextBody"/>
        <w:bidi w:val="0"/>
        <w:spacing w:lineRule="auto" w:line="288" w:before="60" w:after="283"/>
        <w:jc w:val="left"/>
        <w:rPr/>
      </w:pPr>
      <w:hyperlink w:anchor="ib2fc48f0ddf244d9844b8de22bde2e36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60" w:after="283"/>
        <w:jc w:val="center"/>
        <w:rPr>
          <w:rFonts w:ascii="Times New Roman;sans-serif" w:hAnsi="Times New Roman;sans-serif"/>
          <w:b/>
          <w:color w:val="000000"/>
          <w:sz w:val="22"/>
        </w:rPr>
      </w:pPr>
      <w:r>
        <w:rPr>
          <w:rFonts w:ascii="Times New Roman;sans-serif" w:hAnsi="Times New Roman;sans-serif"/>
          <w:b/>
          <w:color w:val="000000"/>
          <w:sz w:val="22"/>
        </w:rPr>
        <w:t>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CONSOLIDATED STATEMENTS OF PARTNERS’ CAPITAL</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(In thousands)</w:t>
      </w:r>
    </w:p>
    <w:tbl>
      <w:tblPr>
        <w:tblW w:w="10205" w:type="dxa"/>
        <w:jc w:val="left"/>
        <w:tblInd w:w="0" w:type="dxa"/>
        <w:tblLayout w:type="fixed"/>
        <w:tblCellMar>
          <w:top w:w="28" w:type="dxa"/>
          <w:left w:w="28" w:type="dxa"/>
          <w:bottom w:w="28" w:type="dxa"/>
          <w:right w:w="28" w:type="dxa"/>
        </w:tblCellMar>
      </w:tblPr>
      <w:tblGrid>
        <w:gridCol w:w="929"/>
        <w:gridCol w:w="761"/>
        <w:gridCol w:w="763"/>
        <w:gridCol w:w="203"/>
        <w:gridCol w:w="1001"/>
        <w:gridCol w:w="113"/>
        <w:gridCol w:w="109"/>
        <w:gridCol w:w="109"/>
        <w:gridCol w:w="109"/>
        <w:gridCol w:w="109"/>
        <w:gridCol w:w="109"/>
        <w:gridCol w:w="446"/>
        <w:gridCol w:w="1684"/>
        <w:gridCol w:w="252"/>
        <w:gridCol w:w="109"/>
        <w:gridCol w:w="109"/>
        <w:gridCol w:w="109"/>
        <w:gridCol w:w="288"/>
        <w:gridCol w:w="1087"/>
        <w:gridCol w:w="162"/>
        <w:gridCol w:w="109"/>
        <w:gridCol w:w="109"/>
        <w:gridCol w:w="109"/>
        <w:gridCol w:w="196"/>
        <w:gridCol w:w="961"/>
        <w:gridCol w:w="160"/>
      </w:tblGrid>
      <w:tr>
        <w:trPr/>
        <w:tc>
          <w:tcPr>
            <w:tcW w:w="92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68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Partners’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4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Balance as of December 31, 2020</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9,417,794 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6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(92,521)</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77,906 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9,403,179 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1,008,534 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9,307 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1,017,841 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Contributions from Parent</w:t>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2,405,602 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2,405,602 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to Parent</w:t>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(830,498)</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(830,498)</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to non-controlling interest</w:t>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(8,307)</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(8,307)</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net of forfeitures</w:t>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9,266 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9,266 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Reclassification of derivative loss to Interest expense</w:t>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64,239 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64,239 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gain on cash flow hedges</w:t>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29,166 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29,166 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Balance as of December 31, 2021</w:t>
            </w:r>
          </w:p>
        </w:tc>
        <w:tc>
          <w:tcPr>
            <w:tcW w:w="12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12,010,698 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884 </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78,906 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12,090,488 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12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1,118,471 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9,127 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1,127,598 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Contributions from Parent</w:t>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10,178,426 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10,178,426 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to Parent</w:t>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(1,419,825)</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(1,419,825)</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to non-controlling interest</w:t>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(8,529)</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(8,529)</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net of forfeitures</w:t>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12,741 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12,741 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Reclassification of derivative loss to Interest expense</w:t>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(16,233)</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(16,233)</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gain on cash flow hedges</w:t>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200,550 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200,550 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Balance as of December 31, 2022</w:t>
            </w:r>
          </w:p>
        </w:tc>
        <w:tc>
          <w:tcPr>
            <w:tcW w:w="12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21,900,511 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185,201 </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79,504 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22,165,216 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12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2,535,066 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10,904 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2,545,970 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Contributions from Parent</w:t>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2,516,109 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2,516,109 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to Parent</w:t>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(1,673,609)</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(1,673,609)</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partnership units</w:t>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24,390 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24,390 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to non-controlling interest</w:t>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(9,166)</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(9,166)</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net of forfeitures</w:t>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10,570 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10,570 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Reclassification of derivative gain to Interest expense</w:t>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(24,148)</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(24,148)</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gain on cash flow hedges</w:t>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(9,655)</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(9,655)</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adjustments</w:t>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1,952 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Balance as of December 31, 2023</w:t>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25,288,647 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6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153,350 </w:t>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105,632 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25,547,629 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222885"/>
                <wp:effectExtent l="0" t="0" r="0" b="0"/>
                <wp:wrapNone/>
                <wp:docPr id="87" name="Frame8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 - 15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 - 15</w:t>
                      </w:r>
                    </w:p>
                  </w:txbxContent>
                </v:textbox>
                <w10:wrap type="none"/>
              </v:rect>
            </w:pict>
          </mc:Fallback>
        </mc:AlternateContent>
      </w:r>
    </w:p>
    <w:p>
      <w:pPr>
        <w:pStyle w:val="TextBody"/>
        <w:bidi w:val="0"/>
        <w:spacing w:lineRule="auto" w:line="288" w:before="60" w:after="283"/>
        <w:jc w:val="left"/>
        <w:rPr/>
      </w:pPr>
      <w:hyperlink w:anchor="ib2fc48f0ddf244d9844b8de22bde2e36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60" w:after="283"/>
        <w:jc w:val="center"/>
        <w:rPr>
          <w:rFonts w:ascii="Times New Roman;sans-serif" w:hAnsi="Times New Roman;sans-serif"/>
          <w:b/>
          <w:color w:val="000000"/>
          <w:sz w:val="22"/>
        </w:rPr>
      </w:pPr>
      <w:r>
        <w:rPr>
          <w:rFonts w:ascii="Times New Roman;sans-serif" w:hAnsi="Times New Roman;sans-serif"/>
          <w:b/>
          <w:color w:val="000000"/>
          <w:sz w:val="22"/>
        </w:rPr>
        <w:t>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CONSOLIDATED STATEMENTS OF CASH FLOWS</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(In thousands)</w:t>
      </w:r>
    </w:p>
    <w:tbl>
      <w:tblPr>
        <w:tblW w:w="10205" w:type="dxa"/>
        <w:jc w:val="left"/>
        <w:tblInd w:w="0" w:type="dxa"/>
        <w:tblLayout w:type="fixed"/>
        <w:tblCellMar>
          <w:top w:w="28" w:type="dxa"/>
          <w:left w:w="28" w:type="dxa"/>
          <w:bottom w:w="28" w:type="dxa"/>
          <w:right w:w="28" w:type="dxa"/>
        </w:tblCellMar>
      </w:tblPr>
      <w:tblGrid>
        <w:gridCol w:w="2119"/>
        <w:gridCol w:w="1742"/>
        <w:gridCol w:w="1755"/>
        <w:gridCol w:w="211"/>
        <w:gridCol w:w="976"/>
        <w:gridCol w:w="109"/>
        <w:gridCol w:w="109"/>
        <w:gridCol w:w="109"/>
        <w:gridCol w:w="109"/>
        <w:gridCol w:w="211"/>
        <w:gridCol w:w="976"/>
        <w:gridCol w:w="109"/>
        <w:gridCol w:w="109"/>
        <w:gridCol w:w="109"/>
        <w:gridCol w:w="109"/>
        <w:gridCol w:w="211"/>
        <w:gridCol w:w="976"/>
        <w:gridCol w:w="156"/>
      </w:tblGrid>
      <w:tr>
        <w:trPr/>
        <w:tc>
          <w:tcPr>
            <w:tcW w:w="2119" w:type="dxa"/>
            <w:tcBorders/>
            <w:vAlign w:val="center"/>
          </w:tcPr>
          <w:p>
            <w:pPr>
              <w:pStyle w:val="TableContents"/>
              <w:bidi w:val="0"/>
              <w:spacing w:before="0" w:after="283"/>
              <w:jc w:val="left"/>
              <w:rPr>
                <w:sz w:val="4"/>
                <w:szCs w:val="4"/>
              </w:rPr>
            </w:pPr>
            <w:r>
              <w:rPr>
                <w:sz w:val="4"/>
                <w:szCs w:val="4"/>
              </w:rPr>
            </w:r>
          </w:p>
        </w:tc>
        <w:tc>
          <w:tcPr>
            <w:tcW w:w="1742" w:type="dxa"/>
            <w:tcBorders/>
            <w:vAlign w:val="center"/>
          </w:tcPr>
          <w:p>
            <w:pPr>
              <w:pStyle w:val="TableContents"/>
              <w:bidi w:val="0"/>
              <w:spacing w:before="0" w:after="283"/>
              <w:jc w:val="left"/>
              <w:rPr>
                <w:sz w:val="4"/>
                <w:szCs w:val="4"/>
              </w:rPr>
            </w:pPr>
            <w:r>
              <w:rPr>
                <w:sz w:val="4"/>
                <w:szCs w:val="4"/>
              </w:rPr>
            </w:r>
          </w:p>
        </w:tc>
        <w:tc>
          <w:tcPr>
            <w:tcW w:w="17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5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5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Cash flows from operating activities</w:t>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2,545,970 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1,127,598 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1,017,841 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to cash flows provided by operating activities: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Non-cash leasing and financing adjustments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(515,488)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(337,631)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(119,969)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9,266 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Depreciation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gains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 issuance costs and original issue discount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71,452 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allowance for credit losses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102,824 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(19,554)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unconsolidated affiliate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from unconsolidated affiliate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proceeds from settlement of derivatives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201,434 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extinguishment of debt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15,622 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operating assets and liabilities: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deferred revenue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(91,026)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2,168,363 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1,919,829 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886,204 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Cash flows from investing activities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paid in connection with MGP Transactions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(4,574,536)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paid in connection with the MGM Grand/Mandalay Bay JV Interest Acquisition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(1,266,905)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leases - sales-type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(241,139)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(4,017,851)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leases - financing receivables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(1,131,996)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(296,668)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loans and securities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(959,135)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(193,733)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(33,614)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repayments of lease financing receivables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repayments of loans and receipts of deferred fees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70,448 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transaction costs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(20,697)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short-term investments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(306,532)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Maturities of short-term investments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19,973 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 of real estate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13,301 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of property and equipment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by investing activities</w:t>
            </w:r>
          </w:p>
        </w:tc>
        <w:tc>
          <w:tcPr>
            <w:tcW w:w="1187"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(2,896,236)</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(9,302,203)</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43,939 </w:t>
            </w:r>
          </w:p>
        </w:tc>
        <w:tc>
          <w:tcPr>
            <w:tcW w:w="1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222885"/>
                <wp:effectExtent l="0" t="0" r="0" b="0"/>
                <wp:wrapNone/>
                <wp:docPr id="88" name="Frame8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 - 16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 - 16</w:t>
                      </w:r>
                    </w:p>
                  </w:txbxContent>
                </v:textbox>
                <w10:wrap type="none"/>
              </v:rect>
            </w:pict>
          </mc:Fallback>
        </mc:AlternateContent>
      </w:r>
    </w:p>
    <w:p>
      <w:pPr>
        <w:pStyle w:val="TextBody"/>
        <w:bidi w:val="0"/>
        <w:spacing w:lineRule="auto" w:line="288" w:before="60" w:after="283"/>
        <w:jc w:val="left"/>
        <w:rPr/>
      </w:pPr>
      <w:hyperlink w:anchor="ib2fc48f0ddf244d9844b8de22bde2e36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60" w:after="283"/>
        <w:jc w:val="center"/>
        <w:rPr>
          <w:rFonts w:ascii="Times New Roman;sans-serif" w:hAnsi="Times New Roman;sans-serif"/>
          <w:b/>
          <w:color w:val="000000"/>
          <w:sz w:val="22"/>
        </w:rPr>
      </w:pPr>
      <w:r>
        <w:rPr>
          <w:rFonts w:ascii="Times New Roman;sans-serif" w:hAnsi="Times New Roman;sans-serif"/>
          <w:b/>
          <w:color w:val="000000"/>
          <w:sz w:val="22"/>
        </w:rPr>
        <w:t>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CONSOLIDATED STATEMENTS OF CASH FLOWS</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(In thousands)</w:t>
      </w:r>
    </w:p>
    <w:tbl>
      <w:tblPr>
        <w:tblW w:w="10205" w:type="dxa"/>
        <w:jc w:val="left"/>
        <w:tblInd w:w="0" w:type="dxa"/>
        <w:tblLayout w:type="fixed"/>
        <w:tblCellMar>
          <w:top w:w="28" w:type="dxa"/>
          <w:left w:w="28" w:type="dxa"/>
          <w:bottom w:w="28" w:type="dxa"/>
          <w:right w:w="28" w:type="dxa"/>
        </w:tblCellMar>
      </w:tblPr>
      <w:tblGrid>
        <w:gridCol w:w="2224"/>
        <w:gridCol w:w="1897"/>
        <w:gridCol w:w="1911"/>
        <w:gridCol w:w="212"/>
        <w:gridCol w:w="835"/>
        <w:gridCol w:w="109"/>
        <w:gridCol w:w="109"/>
        <w:gridCol w:w="109"/>
        <w:gridCol w:w="109"/>
        <w:gridCol w:w="212"/>
        <w:gridCol w:w="835"/>
        <w:gridCol w:w="109"/>
        <w:gridCol w:w="109"/>
        <w:gridCol w:w="109"/>
        <w:gridCol w:w="109"/>
        <w:gridCol w:w="212"/>
        <w:gridCol w:w="835"/>
        <w:gridCol w:w="160"/>
      </w:tblGrid>
      <w:tr>
        <w:trPr/>
        <w:tc>
          <w:tcPr>
            <w:tcW w:w="2224" w:type="dxa"/>
            <w:tcBorders/>
            <w:vAlign w:val="center"/>
          </w:tcPr>
          <w:p>
            <w:pPr>
              <w:pStyle w:val="TableContents"/>
              <w:bidi w:val="0"/>
              <w:spacing w:before="0" w:after="283"/>
              <w:jc w:val="left"/>
              <w:rPr>
                <w:sz w:val="4"/>
                <w:szCs w:val="4"/>
              </w:rPr>
            </w:pPr>
            <w:r>
              <w:rPr>
                <w:sz w:val="4"/>
                <w:szCs w:val="4"/>
              </w:rPr>
            </w:r>
          </w:p>
        </w:tc>
        <w:tc>
          <w:tcPr>
            <w:tcW w:w="1897" w:type="dxa"/>
            <w:tcBorders/>
            <w:vAlign w:val="center"/>
          </w:tcPr>
          <w:p>
            <w:pPr>
              <w:pStyle w:val="TableContents"/>
              <w:bidi w:val="0"/>
              <w:spacing w:before="0" w:after="283"/>
              <w:jc w:val="left"/>
              <w:rPr>
                <w:sz w:val="4"/>
                <w:szCs w:val="4"/>
              </w:rPr>
            </w:pPr>
            <w:r>
              <w:rPr>
                <w:sz w:val="4"/>
                <w:szCs w:val="4"/>
              </w:rPr>
            </w:r>
          </w:p>
        </w:tc>
        <w:tc>
          <w:tcPr>
            <w:tcW w:w="191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6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6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Cash flows from financing activities</w:t>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Contributions from Parent</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2,507,511 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3,219,202 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2,386,911 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to Parent</w:t>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(1,605,502)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(1,238,920)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(758,300)</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April 2022 Notes offering</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Revolving Credit Facility</w:t>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 of Revolving Credit Facility</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 of Term Loan B Facility</w:t>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(2,100,000)</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 of stock for tax withholding</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issuance costs</w:t>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(146,189)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(31,126)</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to non-controlling interest</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(8,307)</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financing activities</w:t>
            </w:r>
          </w:p>
        </w:tc>
        <w:tc>
          <w:tcPr>
            <w:tcW w:w="10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1,056,920 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6,819,408 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(510,822)</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exchange rate changes on cash, cash equivalents and restricted cash</w:t>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(decrease) in cash, cash equivalents and restricted cash</w:t>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328,984 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(562,966)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419,321 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beginning of period</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286,245 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end of period</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471,584 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142,600 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705,566 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Supplemental cash flow information:</w:t>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paid for interest </w:t>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762,610 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466,806 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323,219 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income taxes</w:t>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Supplemental non-cash investing and financing activity:</w:t>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payable</w:t>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439,486 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380,581 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226,309 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stock based compensation, subject to repurchase for tax withholding</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issuance costs payable</w:t>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43,005 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transaction costs payable</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change in Investments in leases - financing receivables</w:t>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276,929 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21,139 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Obtaining right-of-use assets in exchange for lease liabilities</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2"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r>
      <w:tr>
        <w:trPr/>
        <w:tc>
          <w:tcPr>
            <w:tcW w:w="6032"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r>
      <w:tr>
        <w:trPr/>
        <w:tc>
          <w:tcPr>
            <w:tcW w:w="6032"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222885"/>
                <wp:effectExtent l="0" t="0" r="0" b="0"/>
                <wp:wrapNone/>
                <wp:docPr id="89" name="Frame8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 - 17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 - 17</w:t>
                      </w:r>
                    </w:p>
                  </w:txbxContent>
                </v:textbox>
                <w10:wrap type="none"/>
              </v:rect>
            </w:pict>
          </mc:Fallback>
        </mc:AlternateContent>
      </w:r>
    </w:p>
    <w:p>
      <w:pPr>
        <w:pStyle w:val="TextBody"/>
        <w:bidi w:val="0"/>
        <w:spacing w:lineRule="auto" w:line="288" w:before="60" w:after="283"/>
        <w:jc w:val="both"/>
        <w:rPr/>
      </w:pPr>
      <w:hyperlink w:anchor="ib2fc48f0ddf244d9844b8de22bde2e36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In this Annual Report on Form 10-K, the words the “Company,” “VICI,” “we,” “our,” and “us” refer to VICI Properties Inc. and its subsidiaries, including VICI Properties L.P. (“VICI LP”), on a consolidated basis, unless otherwise stated or the context requires otherwise. </w:t>
      </w: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We refer to (i) our Consolidated Financial Statements as our “Financial Statements,” (ii) our Consolidated Balance Sheets as our “Balance Sheets,” (iii) our Consolidated Statements of Operations and Comprehensive Income as our “Statement of Operations,” and (iv) our Consolidated Statement of Cash Flows as our “Statement of Cash Flows.” References to numbered “Notes” refer to the Notes to our Consolidated Financial Statements.</w:t>
      </w:r>
    </w:p>
    <w:p>
      <w:pPr>
        <w:pStyle w:val="TextBody"/>
        <w:bidi w:val="0"/>
        <w:spacing w:lineRule="auto" w:line="288" w:before="240" w:after="283"/>
        <w:jc w:val="both"/>
        <w:rPr>
          <w:rFonts w:ascii="Times New Roman;sans-serif" w:hAnsi="Times New Roman;sans-serif"/>
          <w:b/>
          <w:color w:val="000000"/>
          <w:sz w:val="24"/>
        </w:rPr>
      </w:pPr>
      <w:r>
        <w:rPr>
          <w:rFonts w:ascii="Times New Roman;sans-serif" w:hAnsi="Times New Roman;sans-serif"/>
          <w:b/>
          <w:color w:val="000000"/>
          <w:sz w:val="24"/>
        </w:rPr>
        <w:t xml:space="preserve">Note 1 — Business and Organization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a Maryland corporation that is primarily engaged in the business of owning and acquiring gaming, hospitality and entertainment destinations, subject to long-term triple net leases. As of December 31, 2023, we own 93 experiential assets across a geographically diverse portfolio consisting of 54 gaming properties and 39 other experiential properties across the United States and Canada, including Caesars Palace Las Vegas, MGM Grand and the Venetian Resort. Our gaming and entertainment facilities are leased to leading brands that seek to drive consumer loyalty and value with guests through superior services, experiences, products and continuous innovation. VICI also owns four championship golf courses which are managed by CDN Golf Management Inc. and are located near certain of our properties.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VICI, the parent company, is a Maryland corporation and internally managed real estate investment trust (“REIT”) for U.S. federal income tax purposes. Our real property business, which represents the substantial majority of our assets, is conducted through VICI Properties OP LLC (“VICI OP”) and indirectly through VICI LP and our golf course business, VICI Golf LLC (“VICI Golf”), is conducted through a direct wholly owned taxable REIT subsidiary (“TRS”) of VICI. As a REIT, we generally will not be subject to U.S. federal income taxes on our taxable income to the extent that we annually distribute substantially all of our net taxable income to stockholders and maintain our qualification as a REIT.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4"/>
        </w:rPr>
      </w:pPr>
      <w:r>
        <w:rPr>
          <w:rFonts w:ascii="Times New Roman;sans-serif" w:hAnsi="Times New Roman;sans-serif"/>
          <w:b/>
          <w:color w:val="000000"/>
          <w:sz w:val="24"/>
        </w:rPr>
        <w:t xml:space="preserve">Note 2 — Summary of Significant Accounting Policies </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Basis of Presentation</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Financial Statements have been prepared in accordance with accounting principles generally accepted in the United States of America (“GAAP”) as set forth in the Accounting Standards Codification (“ASC”), as published by the Financial Accounting Standards Board (“FASB”), and with the applicable rules and regulations of the Securities and Exchange Commission (“SEC”). Certain prior period amounts have been reclassified to conform to the current period presentation. </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Use of Estimates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GAAP requires us to make estimates and assumptions. These estimates and assumptions affect the reported amounts of assets and liabilities and the disclosure of contingent assets and liabilities at the date of the Financial Statements and the reported amounts of revenues and expenses during the reporting periods. Actual results could differ materially from these estimates.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Principles of Consolidation and Non-controlling Interest</w:t>
      </w:r>
    </w:p>
    <w:p>
      <w:pPr>
        <w:pStyle w:val="TextBody"/>
        <w:bidi w:val="0"/>
        <w:spacing w:lineRule="auto" w:line="288" w:before="18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Financial Statements include our accounts and the accounts of VICI LP, and the subsidiaries in which we or VICI LP has a controlling interest. All intercompany account balances and transactions have been eliminated in consolidation. We consolidate all subsidiaries in which we have a controlling financial interest and variable interest entities for which we or one of our consolidated subsidiaries is the primary beneficiary. </w:t>
      </w:r>
    </w:p>
    <w:p>
      <w:pPr>
        <w:pStyle w:val="TextBody"/>
        <w:bidi w:val="0"/>
        <w:spacing w:lineRule="auto" w:line="288" w:before="180" w:after="180"/>
        <w:jc w:val="both"/>
        <w:rPr>
          <w:rFonts w:ascii="Times New Roman;sans-serif" w:hAnsi="Times New Roman;sans-serif"/>
          <w:b/>
          <w:i/>
          <w:color w:val="000000"/>
          <w:sz w:val="20"/>
        </w:rPr>
      </w:pPr>
      <w:r>
        <w:rPr>
          <w:rFonts w:ascii="Times New Roman;sans-serif" w:hAnsi="Times New Roman;sans-serif"/>
          <w:b/>
          <w:i/>
          <w:color w:val="000000"/>
          <w:sz w:val="20"/>
        </w:rPr>
        <w:t>Non-controlling Interests</w:t>
      </w:r>
    </w:p>
    <w:p>
      <w:pPr>
        <w:pStyle w:val="TextBody"/>
        <w:bidi w:val="0"/>
        <w:spacing w:lineRule="auto" w:line="288" w:before="18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present non-controlling interests and classify such interests as a component of consolidated stockholders’ equity or partners’ capital, separate from VICI stockholders’ equity and VICI LP partners’ capital. As of December 31, 2023, VICI’s non-controlling interests represent an approximately 1.2% third-party ownership of VICI OP in the form of limited liability company interests in VICI OP (“VICI OP Units”), a 20% third-party ownership of Harrah’s Joliet LandCo LLC, the entity that owns the Harrah’s Joliet facility and is the lessor under the related lease agreement with Caesars for such facility (“Joliet Lease”) and a 5.6% third-party equity ownership, in the form of Class A Units, of VICI Bowl HoldCo LLC, the entity that owns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222885"/>
                <wp:effectExtent l="0" t="0" r="0" b="0"/>
                <wp:wrapNone/>
                <wp:docPr id="90" name="Frame8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 - 18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 - 18</w:t>
                      </w:r>
                    </w:p>
                  </w:txbxContent>
                </v:textbox>
                <w10:wrap type="none"/>
              </v:rect>
            </w:pict>
          </mc:Fallback>
        </mc:AlternateContent>
      </w:r>
    </w:p>
    <w:p>
      <w:pPr>
        <w:pStyle w:val="TextBody"/>
        <w:bidi w:val="0"/>
        <w:spacing w:lineRule="auto" w:line="288" w:before="60" w:after="283"/>
        <w:jc w:val="both"/>
        <w:rPr/>
      </w:pPr>
      <w:hyperlink w:anchor="ib2fc48f0ddf244d9844b8de22bde2e36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18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Bowlero Portfolio and is the lessor under the related Bowlero Master Lease. As VICI OP is a parent entity of VICI LP, VICI LP’s non-controlling interests are that of third-party ownership of Harrah’s Joliet LandCo LLC and VICI Bowl HoldCo LLC.</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Reportable Segments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operations consist of real property and real estate lending activities, which represent substantially all of our business. The operating results of both the real property and real estate lending activities are regularly reviewed, in the aggregate, by the chief operating decision maker and considered one operating segment. Our golf operations have been determined to be both quantitatively and qualitatively insignificant to the Company’s business. Accordingly, all operations have been considered to represent one reportable segment and no separate disclosures are required.</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Cash, Cash Equivalents and Restricted Cash</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Cash consists of cash-on-hand and cash-in-bank. Highly liquid investments with an original maturity of three months or less from the date of purchase are considered cash equivalents and are carried at cost, which approximates fair value. As of December 31, 2023 and 2022, we did not have any restricted cash. </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Short-Term Investments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Investments with an original maturity of greater than three months and less than one year from the date of purchase are considered short-term investments and are stated at fair value.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may invest our excess cash in short-term investment grade commercial paper as well as discount notes issued by government-sponsored enterprises including the Federal Home Loan Mortgage Corporation and certain of the Federal Home Loan Banks. These investments generally have original maturities between 91 and 180 days and are accounted for as available for sale securities. Interest on our short-term investments is recognized as interest income in our Statement of Operations. We did not have any short-term investments as of December 31, 2023. We had $217.3 million of short-term investments as of December 31, 2022.</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Purchase Accounting</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assess all of our property acquisitions under ASC 805 “Business Combinations” (“ASC 805”) to determine if such acquisitions should be accounted for as a business combination or an asset acquisition. Under ASC 805, an acquisition does not qualify as a business combination when (i) substantially all of the fair value is concentrated in a single identifiable asset or group of similar identifiable assets or (ii) the acquisition does not include a substantive process in the form of an acquired workforce or (iii) an acquired contract that cannot be replaced without significant cost, effort or delay. Generally, and to date, all of our acquisitions have been determined to be asset acquisitions and, in accordance with ASC 805-50, all applicable transaction costs are capitalized as part of the purchase price of the acquisition.</w:t>
      </w:r>
    </w:p>
    <w:p>
      <w:pPr>
        <w:pStyle w:val="TextBody"/>
        <w:bidi w:val="0"/>
        <w:spacing w:lineRule="auto" w:line="288" w:before="180" w:after="283"/>
        <w:jc w:val="both"/>
        <w:rPr/>
      </w:pPr>
      <w:r>
        <w:rPr>
          <w:rFonts w:ascii="Times New Roman;sans-serif" w:hAnsi="Times New Roman;sans-serif"/>
          <w:b w:val="false"/>
          <w:color w:val="000000"/>
          <w:sz w:val="20"/>
        </w:rPr>
        <w:t xml:space="preserve">We allocate the purchase price to the identifiable assets acquired and liabilities assumed, as applicable, using the relative fair value. Generally, with the exception of the MGP Transactions and the MGM Grand/Mandalay Bay JV Interest Acquisition (each as defined in </w:t>
      </w:r>
      <w:hyperlink w:anchor="ib2fc48f0ddf244d9844b8de22bde2e36_148">
        <w:r>
          <w:rPr>
            <w:rStyle w:val="InternetLink"/>
            <w:rFonts w:ascii="Times New Roman;sans-serif" w:hAnsi="Times New Roman;sans-serif"/>
            <w:b w:val="false"/>
            <w:color w:val="000080"/>
            <w:sz w:val="20"/>
            <w:u w:val="single"/>
          </w:rPr>
          <w:t>Note</w:t>
        </w:r>
      </w:hyperlink>
      <w:hyperlink w:anchor="ib2fc48f0ddf244d9844b8de22bde2e36_148">
        <w:r>
          <w:rPr>
            <w:rStyle w:val="InternetLink"/>
            <w:rFonts w:ascii="Times New Roman;sans-serif" w:hAnsi="Times New Roman;sans-serif"/>
            <w:b w:val="false"/>
            <w:color w:val="000080"/>
            <w:sz w:val="20"/>
            <w:u w:val="single"/>
          </w:rPr>
          <w:t xml:space="preserve"> 3 - Real Estate Transaction</w:t>
        </w:r>
      </w:hyperlink>
      <w:r>
        <w:rPr>
          <w:rFonts w:ascii="Times New Roman;sans-serif" w:hAnsi="Times New Roman;sans-serif"/>
          <w:b w:val="false"/>
          <w:color w:val="000000"/>
          <w:sz w:val="20"/>
        </w:rPr>
        <w:t xml:space="preserve">), our acquisitions consists of properties without existing tenant leases or debt and, accordingly, the assets acquired are comprised of land, building and site improvements. Further, since all the components of our leases are classified as sales-type leases or financing receivables, as further described below, the assets acquired are transferred into the net investment in lease or financing receivable, as applicable. </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Investments in Leases - Sales-type, Net</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account for our investments in leases under ASC 842 “Leases” (“ASC 842”). Upon lease inception or lease modification, we assess lease classification to determine whether the lease should be classified as a direct financing, sales-type or operating lease. As required by ASC 842, we separately assess each lease component of the property, generally comprised of land and building, to determine the classification. If the lease component is determined to be a direct financing or sales-type lease, we record a net investment in the lease, which is equal to the sum of the lease receivable and the unguaranteed residual asset, discounted at the rate implicit in the lease. Any difference between the fair value of the asset and the net investment in the lease is considered selling profit or loss and is either recognized upon execution of the lease or deferred and recognized over the life of the lease, depending on the classification of the lease. Since we purchase properties and simultaneously enter into new leases directly with the tenants, the net investment in the lease is generally equal to the purchase price of the asset, and, due to the long-term nature of our leases, the land and building components of an investment generally have the same lease classification.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222885"/>
                <wp:effectExtent l="0" t="0" r="0" b="0"/>
                <wp:wrapNone/>
                <wp:docPr id="91" name="Frame8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 - 19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 - 19</w:t>
                      </w:r>
                    </w:p>
                  </w:txbxContent>
                </v:textbox>
                <w10:wrap type="none"/>
              </v:rect>
            </w:pict>
          </mc:Fallback>
        </mc:AlternateContent>
      </w:r>
    </w:p>
    <w:p>
      <w:pPr>
        <w:pStyle w:val="TextBody"/>
        <w:bidi w:val="0"/>
        <w:spacing w:lineRule="auto" w:line="288" w:before="60" w:after="283"/>
        <w:jc w:val="both"/>
        <w:rPr/>
      </w:pPr>
      <w:hyperlink w:anchor="ib2fc48f0ddf244d9844b8de22bde2e36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Investments in Leases - Financing Receivables, Net</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accordance with ASC 842, for transactions in which we enter into a contract to acquire an asset and lease it back to the seller under a lease classified as a sales-type lease (i.e., a sale leaseback transaction), control of the asset is not considered to have transferred to us. As a result, we do not recognize the net investment in the lease but instead recognize a financial asset in accordance with ASC 310 “Receivables” (“ASC 310”); however, the accounting for the financing receivable under ASC 310 is materially consistent with the accounting for our investments in leases - sales-type under ASC 842. </w:t>
      </w:r>
    </w:p>
    <w:p>
      <w:pPr>
        <w:pStyle w:val="TextBody"/>
        <w:bidi w:val="0"/>
        <w:spacing w:lineRule="auto" w:line="276" w:before="180" w:after="283"/>
        <w:jc w:val="both"/>
        <w:rPr>
          <w:rFonts w:ascii="Times New Roman;sans-serif" w:hAnsi="Times New Roman;sans-serif"/>
          <w:b/>
          <w:i/>
          <w:color w:val="000000"/>
          <w:sz w:val="20"/>
        </w:rPr>
      </w:pPr>
      <w:r>
        <w:rPr>
          <w:rFonts w:ascii="Times New Roman;sans-serif" w:hAnsi="Times New Roman;sans-serif"/>
          <w:b/>
          <w:i/>
          <w:color w:val="000000"/>
          <w:sz w:val="20"/>
        </w:rPr>
        <w:t>Lease Term</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assess the noncancelable lease term under ASC 842, which includes any reasonably certain renewal periods. All of our lease agreements provide for an initial term, with one or more tenant renewal options.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relation to our gaming assets and certain other irreplaceable real estate, we generally conclude that the lease term includes all of the periods covered by extension options as it is reasonably certain our tenants will renew the lease agreements. In these situations, we believe our tenants are economically compelled to renew the lease agreements due to the importance of our real estate to the operation of their business, the significant capital they have invested and are required to invest in our properties under the terms of the lease agreements and the lack of suitable replacement assets. </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Investments in Loans and Securities, net</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Investments in loans are held-for-investment and are carried at historical cost, inclusive of unamortized loan origination costs and fees and net of allowances for credit losses. Income is recognized on an effective interest basis at a constant rate of return over the life of the related loan.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classify our investments in securities on the date of acquisition of the investment as either trading, available-for-sale or held-to-maturity. We classify our debt securities as held-to-maturity, as we have the intent and ability to hold this security until maturity, the accounting of which is materially consistent with that of our Investments in loans.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Income from Leases and Lease Financing Receivables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recognize the related income from our sales-type leases and lease financing receivables on an effective interest basis at a constant rate of return over the terms of the applicable leases. As a result, the cash payments accounted for under sales-type leases and lease financing receivables will not equal income from our lease agreements. Rather, a portion of the cash rent we receive is recorded as Income from sales-type leases or Income from lease financing receivables and loans, as applicable, in our Statement of Operations and a portion is recorded as a change to Investments in leases - sales-type, net or Investments in leases - financing receivables, net, as applicable.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Initial direct costs incurred in connection with entering into investments classified as sales-type leases are included in the balance of the net investment in lease. Such amounts will be recognized as a reduction to Income from investments in leases over the life of the lease using the effective interest method. Costs that would have been incurred regardless of whether the lease was signed, such as legal fees and certain other third-party fees, are expensed as incurred to Transaction and acquisition expenses in our Statement of Operations.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Loan origination fees and costs incurred in connection with entering into investments classified as lease financing receivables are included in the balance of the net investment and such amounts will be recognized as an adjustment to Income from investments in loans and lease financing receivables over the life of the lease using the effective interest method.</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Allowance for Credit Losses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ASC 326 “Financial Instruments-Credit Losses” (“ASC 326”) requires that we measure and record current expected credit losses (“CECL”) for the majority of our investments, the scope of which includes our Investments in leases - sales-type, Investments in leases - financing receivables and Investments in loans and securities. </w:t>
      </w:r>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Investments in Leases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relation to our lease portfolio, we have elected to use a discounted cash flow model to estimate the allowance for credit losses, or CECL allowance for our Investments in leases - sales-type and Investments in leases - financing receivables, which comprise the substantial majority of our CECL allowance. This model requires us to develop cash flows which project estimated credit losses over the life of the lease and discount these cash flows at the asset’s effective interest rate. We then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222885"/>
                <wp:effectExtent l="0" t="0" r="0" b="0"/>
                <wp:wrapNone/>
                <wp:docPr id="92" name="Frame9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 - 20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 - 20</w:t>
                      </w:r>
                    </w:p>
                  </w:txbxContent>
                </v:textbox>
                <w10:wrap type="none"/>
              </v:rect>
            </w:pict>
          </mc:Fallback>
        </mc:AlternateContent>
      </w:r>
    </w:p>
    <w:p>
      <w:pPr>
        <w:pStyle w:val="TextBody"/>
        <w:bidi w:val="0"/>
        <w:spacing w:lineRule="auto" w:line="288" w:before="60" w:after="283"/>
        <w:jc w:val="both"/>
        <w:rPr/>
      </w:pPr>
      <w:hyperlink w:anchor="ib2fc48f0ddf244d9844b8de22bde2e36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record a CECL allowance equal to the difference between the amortized cost basis of the asset and the present value of the expected credit loss cash flows.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Expected losses within our cash flows are determined by estimating the probability of default (“PD”) and loss given default (“LGD”) of our tenants and their parent guarantors, as applicable, over the life of each individual lease. We have engaged a nationally recognized data analytics firm to assist us with estimating both the PD and LGD of our tenants and their parent guarantors, as applicable. The PD and LGD are estimated during a reasonable and supportable period for which we believe we are able to estimate future economic conditions (the “R&amp;S Period”) and a long-term period for which we revert to long-term historical averages (the “Long-Term Period”). The PD and LGD estimates for the R&amp;S Period are developed using the current financial condition of the tenant and parent guarantor, as applicable, and applied to a projection of economic conditions over a two-year term. The PD and LGD for the Long-Term Period are estimated using the average historical default rates and historical loss rates, respectively, of public companies over approximately the past 40 years that have similar credit profiles or characteristics to our tenants and their parent guarantors, as applicable. We are unable to use our historical data to estimate losses as we have no loss history to date. </w:t>
      </w:r>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Investments in Loans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relation to our loan portfolio, we engage a nationally recognized data analytics firm to provide loan level market data and a forward-looking commercial real estate loss forecasting tool. The credit loss model generates the PD and LGD using sub-market loan-level data and the fair value of collateral to generate net operating income and forecast the expected loss for each loan. </w:t>
      </w:r>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Unfunded Commitments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required to estimate a CECL allowance related to contractual commitments to extend credit, such as future funding commitments under a revolving credit facility, delayed draw term loan, construction loan or through commitments made to our tenants to fund the development and construction of improvements at our properties. We estimate the amount that we will fund for each contractual commitment based on (i) discussions with our borrowers and tenants, (ii) our borrowers’ and tenants’ business plans and financial condition and (iii) other relevant factors. Based on these considerations, we apply a CECL allowance to the estimated amount of credit we expect to extend. The CECL allowance for unfunded commitments is calculated using the same methodology as the allowance for the respective investments subject to the CECL model. The CECL allowance related to these future commitments is recorded as a component of Other liabilities on our Balance Sheets.</w:t>
      </w:r>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Presentation</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CECL allowance is recorded as a reduction to our net Investments in leases - sales-type, Investments in leases - financing receivables, Investments in loans and securities and Sales-type sub-leases (included in Other assets) on our Balance Sheets. We are required to update our CECL allowance on a quarterly basis with the resulting change being recorded in the Statement of Operations for the relevant period. Finally, each time we make a new investment in an asset subject to ASC 326, we are required to record an initial CECL allowance for such asset, which will result in a non-cash charge to the Statement of Operations for the relevant period.</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Write-offs of our investments in leases and loans are deducted from the allowance in the period in which they are deemed uncollectible. Recoveries of amounts previously written off are recorded when received. There were no charge-offs or recoveries for the years ended December 31, 2023, 2022 and 2021.</w:t>
      </w:r>
    </w:p>
    <w:p>
      <w:pPr>
        <w:pStyle w:val="TextBody"/>
        <w:bidi w:val="0"/>
        <w:spacing w:lineRule="auto" w:line="288" w:before="180" w:after="283"/>
        <w:jc w:val="both"/>
        <w:rPr/>
      </w:pPr>
      <w:r>
        <w:rPr>
          <w:rFonts w:ascii="Times New Roman;sans-serif" w:hAnsi="Times New Roman;sans-serif"/>
          <w:b w:val="false"/>
          <w:color w:val="000000"/>
          <w:sz w:val="20"/>
        </w:rPr>
        <w:t xml:space="preserve">Refer to </w:t>
      </w:r>
      <w:hyperlink w:anchor="ib2fc48f0ddf244d9844b8de22bde2e36_154">
        <w:r>
          <w:rPr>
            <w:rStyle w:val="InternetLink"/>
            <w:rFonts w:ascii="Times New Roman;sans-serif" w:hAnsi="Times New Roman;sans-serif"/>
            <w:b w:val="false"/>
            <w:color w:val="0000FF"/>
            <w:sz w:val="20"/>
            <w:u w:val="single"/>
          </w:rPr>
          <w:t>Note 5 - Allowance for Credit Losses</w:t>
        </w:r>
      </w:hyperlink>
      <w:r>
        <w:rPr>
          <w:color w:val="000000"/>
        </w:rPr>
        <w:t xml:space="preserve"> </w:t>
      </w:r>
      <w:r>
        <w:rPr>
          <w:rFonts w:ascii="Times New Roman;sans-serif" w:hAnsi="Times New Roman;sans-serif"/>
          <w:b w:val="false"/>
          <w:color w:val="000000"/>
          <w:sz w:val="20"/>
        </w:rPr>
        <w:t>for further information.</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Investments in Land</w:t>
      </w:r>
    </w:p>
    <w:p>
      <w:pPr>
        <w:pStyle w:val="TextBody"/>
        <w:bidi w:val="0"/>
        <w:spacing w:lineRule="auto" w:line="288" w:before="18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investments in land are held at historical cost and comprised of the following:</w:t>
      </w:r>
    </w:p>
    <w:p>
      <w:pPr>
        <w:pStyle w:val="TextBody"/>
        <w:bidi w:val="0"/>
        <w:spacing w:lineRule="auto" w:line="288" w:before="120" w:after="283"/>
        <w:ind w:left="0" w:right="0" w:hanging="360"/>
        <w:jc w:val="both"/>
        <w:rPr/>
      </w:pPr>
      <w:r>
        <w:rPr>
          <w:color w:val="000000"/>
          <w:shd w:fill="FFFFFF" w:val="clear"/>
        </w:rPr>
        <w:t>•</w:t>
      </w:r>
      <w:r>
        <w:rPr>
          <w:rFonts w:ascii="Times New Roman;sans-serif" w:hAnsi="Times New Roman;sans-serif"/>
          <w:b w:val="false"/>
          <w:i/>
          <w:color w:val="000000"/>
          <w:sz w:val="20"/>
        </w:rPr>
        <w:t>Las Vegas Land.</w:t>
      </w:r>
      <w:r>
        <w:rPr>
          <w:color w:val="000000"/>
        </w:rPr>
        <w:t xml:space="preserve"> </w:t>
      </w:r>
      <w:r>
        <w:rPr>
          <w:rFonts w:ascii="Times New Roman;sans-serif" w:hAnsi="Times New Roman;sans-serif"/>
          <w:b w:val="false"/>
          <w:color w:val="000000"/>
          <w:sz w:val="20"/>
        </w:rPr>
        <w:t>We own certain underdeveloped or undeveloped land adjacent to the Las Vegas strip</w:t>
      </w:r>
      <w:r>
        <w:rPr>
          <w:rFonts w:ascii="Times New Roman;sans-serif" w:hAnsi="Times New Roman;sans-serif"/>
          <w:b w:val="false"/>
          <w:color w:val="000000"/>
          <w:sz w:val="20"/>
          <w:shd w:fill="FFFFFF" w:val="clear"/>
        </w:rPr>
        <w:t>.</w:t>
      </w:r>
    </w:p>
    <w:p>
      <w:pPr>
        <w:pStyle w:val="TextBody"/>
        <w:bidi w:val="0"/>
        <w:spacing w:lineRule="auto" w:line="288" w:before="120" w:after="283"/>
        <w:ind w:left="0" w:right="0" w:hanging="360"/>
        <w:jc w:val="both"/>
        <w:rPr/>
      </w:pPr>
      <w:r>
        <w:rPr>
          <w:color w:val="000000"/>
          <w:shd w:fill="FFFFFF" w:val="clear"/>
        </w:rPr>
        <w:t>•</w:t>
      </w:r>
      <w:r>
        <w:rPr>
          <w:rFonts w:ascii="Times New Roman;sans-serif" w:hAnsi="Times New Roman;sans-serif"/>
          <w:b w:val="false"/>
          <w:i/>
          <w:color w:val="000000"/>
          <w:sz w:val="20"/>
          <w:shd w:fill="FFFFFF" w:val="clear"/>
        </w:rPr>
        <w:t xml:space="preserve">Vacant, Non-Operating Land. </w:t>
      </w:r>
      <w:r>
        <w:rPr>
          <w:rFonts w:ascii="Times New Roman;sans-serif" w:hAnsi="Times New Roman;sans-serif"/>
          <w:b w:val="false"/>
          <w:color w:val="000000"/>
          <w:sz w:val="20"/>
          <w:shd w:fill="FFFFFF" w:val="clear"/>
        </w:rPr>
        <w:t xml:space="preserve">We own certain vacant, non-operating land parcels located outside of Las Vegas. </w:t>
      </w:r>
    </w:p>
    <w:p>
      <w:pPr>
        <w:pStyle w:val="TextBody"/>
        <w:bidi w:val="0"/>
        <w:spacing w:lineRule="auto" w:line="288" w:before="120" w:after="283"/>
        <w:ind w:left="0" w:right="0" w:hanging="360"/>
        <w:jc w:val="both"/>
        <w:rPr/>
      </w:pPr>
      <w:r>
        <w:rPr>
          <w:color w:val="000000"/>
          <w:shd w:fill="FFFFFF" w:val="clear"/>
        </w:rPr>
        <w:t>•</w:t>
      </w:r>
      <w:r>
        <w:rPr>
          <w:rFonts w:ascii="Times New Roman;sans-serif" w:hAnsi="Times New Roman;sans-serif"/>
          <w:b w:val="false"/>
          <w:i/>
          <w:color w:val="000000"/>
          <w:sz w:val="20"/>
          <w:shd w:fill="FFFFFF" w:val="clear"/>
        </w:rPr>
        <w:t xml:space="preserve">Eastside Property. </w:t>
      </w:r>
      <w:r>
        <w:rPr>
          <w:rFonts w:ascii="Times New Roman;sans-serif" w:hAnsi="Times New Roman;sans-serif"/>
          <w:b w:val="false"/>
          <w:color w:val="000000"/>
          <w:sz w:val="20"/>
          <w:shd w:fill="FFFFFF" w:val="clear"/>
        </w:rPr>
        <w:t xml:space="preserve">In 2017, we sold 18.4 acres of property located in Las Vegas, Nevada, east of Harrah’s Las Vegas, known as the Eastside Property, to Caesars Entertainment, Inc. (together with, as the context requires, its subsidiaries, “Caesars”) for a sales price of $73.6 million. It was determined that the transaction did not meet the requirements of a completed sale for accounting purposes due to a put-call option on the land parcels and the Caesars Forum Convention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222885"/>
                <wp:effectExtent l="0" t="0" r="0" b="0"/>
                <wp:wrapNone/>
                <wp:docPr id="93" name="Frame9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 - 21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 - 21</w:t>
                      </w:r>
                    </w:p>
                  </w:txbxContent>
                </v:textbox>
                <w10:wrap type="none"/>
              </v:rect>
            </w:pict>
          </mc:Fallback>
        </mc:AlternateContent>
      </w:r>
    </w:p>
    <w:p>
      <w:pPr>
        <w:pStyle w:val="TextBody"/>
        <w:bidi w:val="0"/>
        <w:spacing w:lineRule="auto" w:line="288" w:before="60" w:after="283"/>
        <w:jc w:val="both"/>
        <w:rPr/>
      </w:pPr>
      <w:hyperlink w:anchor="ib2fc48f0ddf244d9844b8de22bde2e36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12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Center. The amount of $73.6 million is presented as land with a corresponding amount of $73.6 million recorded in Other liabilities in our Balance Sheets.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Property and Equipment Used in Operations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Property and equipment used in operations is included within Other assets on our Balance Sheets and represents assets primarily related to VICI Golf, our golf operations. We assign lives to our assets based on our standard policy, which is established by management as representative of the useful life of each category of asset.</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Additions to property used in operations are stated at cost. We capitalize the costs of improvements that extend the life of the asset and expense maintenance and repair costs as incurred. Gains or losses on the dispositions of property and equipment are recognized in the period of disposal.</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 is calculated using the straight-line method over the shorter of the estimated useful life of the asset or the related lease as follows:</w:t>
      </w:r>
    </w:p>
    <w:tbl>
      <w:tblPr>
        <w:tblW w:w="3688" w:type="dxa"/>
        <w:jc w:val="center"/>
        <w:tblInd w:w="0" w:type="dxa"/>
        <w:tblLayout w:type="fixed"/>
        <w:tblCellMar>
          <w:top w:w="28" w:type="dxa"/>
          <w:left w:w="28" w:type="dxa"/>
          <w:bottom w:w="28" w:type="dxa"/>
          <w:right w:w="28" w:type="dxa"/>
        </w:tblCellMar>
      </w:tblPr>
      <w:tblGrid>
        <w:gridCol w:w="977"/>
        <w:gridCol w:w="859"/>
        <w:gridCol w:w="863"/>
        <w:gridCol w:w="289"/>
        <w:gridCol w:w="289"/>
        <w:gridCol w:w="411"/>
      </w:tblGrid>
      <w:tr>
        <w:trPr/>
        <w:tc>
          <w:tcPr>
            <w:tcW w:w="977"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Depreciable land improvements</w:t>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2-50 years</w:t>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 and improvements</w:t>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5-25 years</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equipment</w:t>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2-10 years</w:t>
            </w:r>
          </w:p>
        </w:tc>
      </w:tr>
    </w:tbl>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Impairment</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assess our investments in land and property and equipment used in operations for impairment under ASC 360 “Property, Plant and Equipment” (“ASC 360”) on a quarterly basis or whenever certain events or changes in circumstances indicate a possible impairment of the carrying value of the asset. Events or circumstances that may occur include changes in management’s intended holding period or potential sale to a third party, significant changes in real estate market conditions or tenant financial difficulties resulting in non-payment of the lease.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Impairments are measured as the amount by which the current book value of the asset exceeds the estimated fair value of the asset. With respect to estimated expected future cash flows for determining whether an asset is impaired, assets are grouped at the lowest level of identifiable cash flows.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Investment in Unconsolidated Affiliate</w:t>
      </w:r>
    </w:p>
    <w:p>
      <w:pPr>
        <w:pStyle w:val="TextBody"/>
        <w:bidi w:val="0"/>
        <w:spacing w:lineRule="auto" w:line="288" w:before="180" w:after="283"/>
        <w:jc w:val="both"/>
        <w:rPr/>
      </w:pPr>
      <w:r>
        <w:rPr>
          <w:rFonts w:ascii="Times New Roman;sans-serif" w:hAnsi="Times New Roman;sans-serif"/>
          <w:b w:val="false"/>
          <w:color w:val="000000"/>
          <w:sz w:val="20"/>
        </w:rPr>
        <w:t>Our equity method investment as of December 31, 2022, represented our 50.1% ownership interest in the joint venture that holds the real estate assets of MGM Grand Las Vegas and Mandalay Ba</w:t>
      </w:r>
      <w:r>
        <w:rPr>
          <w:rFonts w:ascii="Times New Roman;sans-serif" w:hAnsi="Times New Roman;sans-serif"/>
          <w:b w:val="false"/>
          <w:i/>
          <w:color w:val="000000"/>
          <w:sz w:val="20"/>
          <w:shd w:fill="FFFFFF" w:val="clear"/>
        </w:rPr>
        <w:t>y (“</w:t>
      </w:r>
      <w:r>
        <w:rPr>
          <w:rFonts w:ascii="Times New Roman;sans-serif" w:hAnsi="Times New Roman;sans-serif"/>
          <w:b w:val="false"/>
          <w:color w:val="000000"/>
          <w:sz w:val="20"/>
        </w:rPr>
        <w:t xml:space="preserve">MGM Grand/Mandalay Bay JV”), which was acquired in the MGP Transactions and, as a result, was recorded at relative fair value. The difference in basis between our share of the carrying value of the MGM Grand/Mandalay Bay JV and the relative fair value upon acquisition was amortized into Income from unconsolidated affiliate over the estimated useful life of the respective underlying real estate assets, the remaining lease term of the MGM Grand/Mandalay Bay JV Lease, or the remaining term of the assumed debt, as applicable. On January 9, 2023, we acquired the remaining 49.9% interest from Blackstone Real Estate Income Trust, Inc. (“BREIT”) for cash consideration of approximately $1.3 billion and, accordingly, consolidated the operations of the MGM Grand/Mandalay Bay JV starting in the first quarter of 2023. Refer to </w:t>
      </w:r>
      <w:hyperlink w:anchor="ib2fc48f0ddf244d9844b8de22bde2e36_148">
        <w:r>
          <w:rPr>
            <w:rStyle w:val="InternetLink"/>
            <w:rFonts w:ascii="Times New Roman;sans-serif" w:hAnsi="Times New Roman;sans-serif"/>
            <w:b w:val="false"/>
            <w:color w:val="0000FF"/>
            <w:sz w:val="20"/>
            <w:u w:val="single"/>
          </w:rPr>
          <w:t>Note 3 - Real Estate Transactions</w:t>
        </w:r>
      </w:hyperlink>
      <w:r>
        <w:rPr>
          <w:color w:val="000000"/>
        </w:rPr>
        <w:t xml:space="preserve"> </w:t>
      </w:r>
      <w:r>
        <w:rPr>
          <w:rFonts w:ascii="Times New Roman;sans-serif" w:hAnsi="Times New Roman;sans-serif"/>
          <w:b w:val="false"/>
          <w:color w:val="000000"/>
          <w:sz w:val="20"/>
        </w:rPr>
        <w:t>for further details.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Foreign Currency Translation and Remeasurement</w:t>
      </w:r>
    </w:p>
    <w:p>
      <w:pPr>
        <w:pStyle w:val="TextBody"/>
        <w:bidi w:val="0"/>
        <w:spacing w:lineRule="auto" w:line="288" w:before="180" w:after="283"/>
        <w:jc w:val="both"/>
        <w:rPr/>
      </w:pPr>
      <w:r>
        <w:rPr>
          <w:rFonts w:ascii="Times New Roman;sans-serif" w:hAnsi="Times New Roman;sans-serif"/>
          <w:b w:val="false"/>
          <w:color w:val="000000"/>
          <w:sz w:val="20"/>
        </w:rPr>
        <w:t xml:space="preserve">Our investments in the PURE Portfolio, Century Canadian Portfolio and the Cabot Highlands Loan (each as defined in </w:t>
      </w:r>
      <w:hyperlink w:anchor="ib2fc48f0ddf244d9844b8de22bde2e36_148">
        <w:r>
          <w:rPr>
            <w:rStyle w:val="InternetLink"/>
            <w:rFonts w:ascii="Times New Roman;sans-serif" w:hAnsi="Times New Roman;sans-serif"/>
            <w:b w:val="false"/>
            <w:color w:val="0000FF"/>
            <w:sz w:val="20"/>
            <w:u w:val="single"/>
          </w:rPr>
          <w:t>Note 3 - Real Estate Transactions</w:t>
        </w:r>
      </w:hyperlink>
      <w:r>
        <w:rPr>
          <w:rFonts w:ascii="Times New Roman;sans-serif" w:hAnsi="Times New Roman;sans-serif"/>
          <w:b w:val="false"/>
          <w:color w:val="000000"/>
          <w:sz w:val="20"/>
        </w:rPr>
        <w:t>) are denominated in foreign currencies, and accordingly, we translate the financial statements of the subsidiaries that own the PURE Portfolio, Century Canadian Portfolio and Cabot Highlands Loan into U.S. Dollars (“USD” or “US$”) when we consolidate their financial results and position. Generally, assets and liabilities are translated at the exchange rate in effect at the date of the Balance Sheets and the resulting translation adjustments are included in Accumulated other comprehensive income in the Balance Sheets. Certain balance sheet items, primarily equity and capital-related accounts, are reflected at the historical exchange rate. Income Statement accounts are translated using the average exchange rate for the period.</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and certain of our consolidated subsidiaries have intercompany and third-party debt that is denominated in foreign currencies, which is not our and our consolidated subsidiaries functional currency of USD. When the debt and related operating receivables and/or payables are remeasured to the functional currency of the entity, a gain or loss can result. The resulting adjustment is reflected in Other gains, net in the Statement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222885"/>
                <wp:effectExtent l="0" t="0" r="0" b="0"/>
                <wp:wrapNone/>
                <wp:docPr id="94" name="Frame9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 - 22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 - 22</w:t>
                      </w:r>
                    </w:p>
                  </w:txbxContent>
                </v:textbox>
                <w10:wrap type="none"/>
              </v:rect>
            </w:pict>
          </mc:Fallback>
        </mc:AlternateContent>
      </w:r>
    </w:p>
    <w:p>
      <w:pPr>
        <w:pStyle w:val="TextBody"/>
        <w:bidi w:val="0"/>
        <w:spacing w:lineRule="auto" w:line="288" w:before="60" w:after="283"/>
        <w:jc w:val="both"/>
        <w:rPr/>
      </w:pPr>
      <w:hyperlink w:anchor="ib2fc48f0ddf244d9844b8de22bde2e36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Other Income and Other Expenses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Other income primarily represents sub-lease income related to certain ground and use leases. Under our lease agreements, the tenants are required to pay all costs associated with such ground and use leases and provides for their direct payment to the landlord. This income and the related expense are recorded on a gross basis in our Statement of Operations as required under GAAP as we are the primary obligor under the ground and use leases.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Fair Value Measurements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measure the fair value of financial instruments based on assumptions that market participants would use in pricing the asset or liability. As a basis for considering market participant assumptions in fair value measurements, a fair value hierarchy distinguishes between market participant assumptions based on market data obtained from sources independent of the reporting entity and the reporting entity’s own assumptions about market participant assumptions. In accordance with the fair value hierarchy, Level 1 assets/liabilities are valued based on quoted prices for identical instruments in active markets, Level 2 assets/liabilities are valued based on quoted prices in active markets for similar instruments, on quoted prices in less active or inactive markets or on other “observable” market inputs, and Level 3 assets/liabilities are valued based significantly on “unobservable” market inputs.</w:t>
      </w:r>
    </w:p>
    <w:p>
      <w:pPr>
        <w:pStyle w:val="TextBody"/>
        <w:bidi w:val="0"/>
        <w:spacing w:lineRule="auto" w:line="288" w:before="180" w:after="283"/>
        <w:jc w:val="both"/>
        <w:rPr/>
      </w:pPr>
      <w:r>
        <w:rPr>
          <w:rFonts w:ascii="Times New Roman;sans-serif" w:hAnsi="Times New Roman;sans-serif"/>
          <w:b w:val="false"/>
          <w:color w:val="000000"/>
          <w:sz w:val="20"/>
        </w:rPr>
        <w:t xml:space="preserve">Refer to </w:t>
      </w:r>
      <w:hyperlink w:anchor="ib2fc48f0ddf244d9844b8de22bde2e36_169">
        <w:r>
          <w:rPr>
            <w:rStyle w:val="InternetLink"/>
            <w:rFonts w:ascii="Times New Roman;sans-serif" w:hAnsi="Times New Roman;sans-serif"/>
            <w:b w:val="false"/>
            <w:color w:val="0000FF"/>
            <w:sz w:val="20"/>
            <w:u w:val="single"/>
          </w:rPr>
          <w:t>Note 9 - Fair Value</w:t>
        </w:r>
      </w:hyperlink>
      <w:r>
        <w:rPr>
          <w:color w:val="000000"/>
        </w:rPr>
        <w:t xml:space="preserve"> </w:t>
      </w:r>
      <w:r>
        <w:rPr>
          <w:rFonts w:ascii="Times New Roman;sans-serif" w:hAnsi="Times New Roman;sans-serif"/>
          <w:b w:val="false"/>
          <w:color w:val="000000"/>
          <w:sz w:val="20"/>
        </w:rPr>
        <w:t xml:space="preserve">for further information. </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Derivative Financial Instruments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record our derivative financial instruments as either Other assets or Other liabilities on our Balance Sheets at fair value.</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accounting for changes in the fair value of derivatives depends on the intended use of the derivative, whether we elected to designate a derivative in a hedging relationship and apply hedge accounting and whether the hedging relationship has satisfied the criteria necessary to apply hedge accounting. Derivatives designated and qualifying as a hedge of the exposure to variability in expected future cash flows are considered cash flow hedges. We formally document our hedge relationships and designation at the contract’s inception. This documentation includes the identification of the hedging instruments and the hedged items, its risk management objectives, strategy for undertaking the hedge transaction and our evaluation of the effectiveness of its hedged transaction.</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 quarterly basis, we also assess whether the derivative we designated in each hedging relationship is expected to be, and has been, highly effective in offsetting changes in the value or cash flows of the hedged transactions. If it is determined that a derivative is not highly effective at hedging the designated exposure, hedge accounting is discontinued and the changes in fair value of the instrument are included in Net income prospectively. If the hedge relationship is terminated, then the value of the derivative previously recorded in Accumulated other comprehensive income (loss) is recognized in earnings when the hedged transactions affect earnings. Changes in the fair value of our derivative instruments that qualify as hedges are reported as a component of Accumulated other comprehensive income (loss) in our Balance Sheets with a corresponding change in Unrealized gain (loss) in cash flows hedges within Other comprehensive income on our Statement of Operations.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use derivative instruments to mitigate the effects of interest rate volatility, whether from variable rate debt or future forecasted transactions, which could unfavorably impact our future earnings and forecasted cash flows. We do not use derivative instruments for speculative or trading purposes.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Golf Revenues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VICI Golf and Caesars are party to a golf course use agreement (the “Golf Course Use Agreement”), whereby certain subsidiaries of Caesars are granted certain priority rights and privileges with respect to access and use of certain golf course properties. For the year ended December 31, 2023, payments under the Golf Course Use Agreement were comprised of a $11.6 million annual membership fee, $3.7 million of use fees and approximately $1.6 million of minimum rounds fees. The annual membership fee, use fees and minimum rounds fees are subject to an annual escalator beginning at the times provided under the Golf Course Use Agreement. Revenue from the Golf Course Use Agreement is recognized in accordance with ASC 606, “Revenue From Contracts With Customers” and recognized ratably over the performance period.</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Additional revenues from golf course operations, food and beverage and merchandise sales are recognized at the time of sale or when the service is provided and are reported net of sales tax. Golf memberships sold to individuals are not refundable and are deferred and recognized within golf revenue in the Statements of Operations over the expected life of an active membership, which is typically one year or less.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222885"/>
                <wp:effectExtent l="0" t="0" r="0" b="0"/>
                <wp:wrapNone/>
                <wp:docPr id="95" name="Frame9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 - 23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 - 23</w:t>
                      </w:r>
                    </w:p>
                  </w:txbxContent>
                </v:textbox>
                <w10:wrap type="none"/>
              </v:rect>
            </w:pict>
          </mc:Fallback>
        </mc:AlternateContent>
      </w:r>
    </w:p>
    <w:p>
      <w:pPr>
        <w:pStyle w:val="TextBody"/>
        <w:bidi w:val="0"/>
        <w:spacing w:lineRule="auto" w:line="288" w:before="60" w:after="283"/>
        <w:jc w:val="both"/>
        <w:rPr/>
      </w:pPr>
      <w:hyperlink w:anchor="ib2fc48f0ddf244d9844b8de22bde2e36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Income Taxes-REIT Qualification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conduct our operations as a REIT for U.S. federal income tax purposes. To qualify as a REIT, we must meet certain organizational and operational requirements, including a requirement to distribute at least 90% of our annual REIT taxable income to stockholders, determined without regard to the dividends paid deduction and excluding any net capital gains. As a REIT, we generally will not be subject to federal income tax on income that we pay as distributions to our stockholders. If we fail to qualify as a REIT in any taxable year, we will be subject to U.S. federal income tax on our taxable income at regular corporate income tax rates (including any alternative minimum tax or excise tax applicable to non-REIT corporations), and distributions paid to our stockholders would not be deductible by us in computing taxable income. Additionally, any resulting corporate liability created if we fail to qualify as a REIT could be substantial and could materially and adversely affect our net income and net cash available for distribution to stockholders. Unless we were entitled to relief under certain provisions of the Internal Revenue Code of 1986, as amended (the “Code”), we also would be disqualified from re-electing to be taxed as a REIT for the four taxable years following the year in which we failed to qualify to be taxed as a REIT.</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operations of VICI Golf (represented by the four golf course businesses), which are held in a TRS and certain of our other subsidiaries that operate in various states and municipalities within North America and the United Kingdom, are subject to various local, state and/or federal income taxes. Accordingly, we provide for a provision for income taxes in relation to these jurisdictions, which includes current and deferred portions. We use the asset and liability method to provide for income taxes, which requires that our income tax expense reflect the expected future tax consequences of temporary differences between the carrying amounts of assets or liabilities for financial reporting versus income tax purposes.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recognize any interest and penalties, as incurred, in general and administrative expenses in our Statement of Operations. </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Debt Issuance Costs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Debt issuance costs are deferred and amortized to interest expense over the contractual term of the underlying indebtedness. We present unamortized deferred financing costs as a direct deduction from the carrying amount of the associated debt liability.</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Transaction and Acquisition Expenses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Transaction and acquisition-related expenses that are not capitalizable under GAAP, including most leasing costs under ASC 842, are expensed in the period they occur. Transaction and acquisition expenses also include dead deal costs. </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Stock-Based Compensation</w:t>
      </w:r>
    </w:p>
    <w:p>
      <w:pPr>
        <w:pStyle w:val="TextBody"/>
        <w:bidi w:val="0"/>
        <w:spacing w:lineRule="auto" w:line="288" w:before="180" w:after="283"/>
        <w:jc w:val="both"/>
        <w:rPr/>
      </w:pPr>
      <w:r>
        <w:rPr>
          <w:rFonts w:ascii="Times New Roman;sans-serif" w:hAnsi="Times New Roman;sans-serif"/>
          <w:b w:val="false"/>
          <w:color w:val="000000"/>
          <w:sz w:val="20"/>
        </w:rPr>
        <w:t xml:space="preserve">We account for stock-based compensation under ASC 718, </w:t>
      </w:r>
      <w:r>
        <w:rPr>
          <w:rFonts w:ascii="Times New Roman;sans-serif" w:hAnsi="Times New Roman;sans-serif"/>
          <w:b w:val="false"/>
          <w:i/>
          <w:color w:val="000000"/>
          <w:sz w:val="20"/>
        </w:rPr>
        <w:t>Compensation - Stock Compensation</w:t>
      </w:r>
      <w:r>
        <w:rPr>
          <w:color w:val="000000"/>
        </w:rPr>
        <w:t xml:space="preserve"> </w:t>
      </w:r>
      <w:r>
        <w:rPr>
          <w:rFonts w:ascii="Times New Roman;sans-serif" w:hAnsi="Times New Roman;sans-serif"/>
          <w:b w:val="false"/>
          <w:color w:val="000000"/>
          <w:sz w:val="20"/>
        </w:rPr>
        <w:t xml:space="preserve">(“ASC 718”), which requires us to expense the cost of employee services received in exchange for an award of equity instruments based on the grant-date fair value of the award. This expense is recognized ratably over the requisite service period following the date of grant. For non-vested share awards that vest over a predetermined time period, we use the 10-day volume weighted average price using the 10 trading days ending on the grant date. For non-vested share awards that vest based on market conditions, we use a Monte Carlo simulation (risk-neutral approach) to determine the value of each tranche.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unrecognized compensation relating to awards under our stock incentive plan will be amortized to general and administrative expense over the awards’ remaining vesting periods. Vesting periods for award of equity instruments range from zero to three years.</w:t>
      </w:r>
    </w:p>
    <w:p>
      <w:pPr>
        <w:pStyle w:val="TextBody"/>
        <w:bidi w:val="0"/>
        <w:spacing w:lineRule="auto" w:line="288" w:before="180" w:after="283"/>
        <w:jc w:val="left"/>
        <w:rPr/>
      </w:pPr>
      <w:r>
        <w:rPr>
          <w:rFonts w:ascii="Times New Roman;sans-serif" w:hAnsi="Times New Roman;sans-serif"/>
          <w:b w:val="false"/>
          <w:color w:val="000000"/>
          <w:sz w:val="20"/>
        </w:rPr>
        <w:t xml:space="preserve">See </w:t>
      </w:r>
      <w:hyperlink w:anchor="ib2fc48f0ddf244d9844b8de22bde2e36_181">
        <w:r>
          <w:rPr>
            <w:rStyle w:val="InternetLink"/>
            <w:rFonts w:ascii="Times New Roman;sans-serif" w:hAnsi="Times New Roman;sans-serif"/>
            <w:b w:val="false"/>
            <w:color w:val="0000FF"/>
            <w:sz w:val="20"/>
            <w:u w:val="single"/>
          </w:rPr>
          <w:t>Note 13—Stock-Based Compensation</w:t>
        </w:r>
      </w:hyperlink>
      <w:r>
        <w:rPr>
          <w:color w:val="000000"/>
        </w:rPr>
        <w:t xml:space="preserve"> </w:t>
      </w:r>
      <w:r>
        <w:rPr>
          <w:rFonts w:ascii="Times New Roman;sans-serif" w:hAnsi="Times New Roman;sans-serif"/>
          <w:b w:val="false"/>
          <w:color w:val="000000"/>
          <w:sz w:val="20"/>
        </w:rPr>
        <w:t>for further information related to the stock-based compensation.</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Earnings Per Share and Earnings Per Unit</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Earnings per share (”EPS”) or Earnings per unit (“EPU”) is calculated in accordance with ASC 260, “Earnings Per Share”. Basic EPS or EPU is computed by dividing net income applicable to common stockholders or unit holders, as the case may be, by the weighted-average number of shares of common stock or units, as the case may be, outstanding during the period. Diluted EPS or EPU reflects the additional dilution for all potentially dilutive securities including those from our stock incentive plan. </w:t>
      </w:r>
    </w:p>
    <w:p>
      <w:pPr>
        <w:pStyle w:val="TextBody"/>
        <w:bidi w:val="0"/>
        <w:spacing w:lineRule="auto" w:line="288" w:before="120" w:after="283"/>
        <w:jc w:val="both"/>
        <w:rPr/>
      </w:pPr>
      <w:r>
        <w:rPr>
          <w:rFonts w:ascii="Times New Roman;sans-serif" w:hAnsi="Times New Roman;sans-serif"/>
          <w:b w:val="false"/>
          <w:color w:val="000000"/>
          <w:sz w:val="20"/>
        </w:rPr>
        <w:t xml:space="preserve">See </w:t>
      </w:r>
      <w:hyperlink w:anchor="ib2fc48f0ddf244d9844b8de22bde2e36_178">
        <w:r>
          <w:rPr>
            <w:rStyle w:val="InternetLink"/>
            <w:rFonts w:ascii="Times New Roman;sans-serif" w:hAnsi="Times New Roman;sans-serif"/>
            <w:b w:val="false"/>
            <w:color w:val="0000FF"/>
            <w:sz w:val="20"/>
            <w:u w:val="single"/>
          </w:rPr>
          <w:t>Note 12—Earnings Per Share and Earnings Per Unit</w:t>
        </w:r>
      </w:hyperlink>
      <w:r>
        <w:rPr>
          <w:color w:val="000000"/>
        </w:rPr>
        <w:t xml:space="preserve"> </w:t>
      </w:r>
      <w:r>
        <w:rPr>
          <w:rFonts w:ascii="Times New Roman;sans-serif" w:hAnsi="Times New Roman;sans-serif"/>
          <w:b w:val="false"/>
          <w:color w:val="000000"/>
          <w:sz w:val="20"/>
        </w:rPr>
        <w:t>for the detailed EPS and EPU calculations.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222885"/>
                <wp:effectExtent l="0" t="0" r="0" b="0"/>
                <wp:wrapNone/>
                <wp:docPr id="96" name="Frame9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 - 24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 - 24</w:t>
                      </w:r>
                    </w:p>
                  </w:txbxContent>
                </v:textbox>
                <w10:wrap type="none"/>
              </v:rect>
            </w:pict>
          </mc:Fallback>
        </mc:AlternateContent>
      </w:r>
    </w:p>
    <w:p>
      <w:pPr>
        <w:pStyle w:val="TextBody"/>
        <w:bidi w:val="0"/>
        <w:spacing w:lineRule="auto" w:line="288" w:before="60" w:after="283"/>
        <w:jc w:val="both"/>
        <w:rPr/>
      </w:pPr>
      <w:hyperlink w:anchor="ib2fc48f0ddf244d9844b8de22bde2e36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Underwriting Commissions and Offering Costs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Underwriting commissions and offering costs incurred in connection with common stock offerings are reflected as a reduction of additional paid-in capital. Costs incurred that are not directly associated with the completion of a common stock offering are expensed when incurred.</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Concentrations of Credit Risk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Caesars and MGM Resorts International (together with, as the context requires, its subsidiaries, “MGM”) are the guarantors of all the lease payment obligations of the tenants under the applicable leases of the properties that they each respectively lease from us. Revenue from Caesars, which includes revenue from the Caesars leases and other agreements, represented 37%, 46%, and 85% of our lease revenues for the years ended December 31, 2023, 2022 and 2021, respectively. Revenue from MGM, which comprises revenue from the MGM leases, represented 39%, 34% and 0% of our lease revenues for the years ended December 31, 2023, 2022 and 2021, respectively. Additionally, our properties on the Las Vegas Strip generated approximately 49%, 45%, and 32% of our lease revenues for the years ended December 31, 2023, 2022 and 2021, respectively. Except as described above, we do not believe there are any other significant concentrations of credit risk. </w:t>
      </w:r>
    </w:p>
    <w:p>
      <w:pPr>
        <w:pStyle w:val="TextBody"/>
        <w:bidi w:val="0"/>
        <w:spacing w:lineRule="auto" w:line="288" w:before="180" w:after="283"/>
        <w:jc w:val="both"/>
        <w:rPr/>
      </w:pPr>
      <w:r>
        <w:rPr>
          <w:rFonts w:ascii="Times New Roman;sans-serif" w:hAnsi="Times New Roman;sans-serif"/>
          <w:b w:val="false"/>
          <w:color w:val="000000"/>
          <w:sz w:val="20"/>
        </w:rPr>
        <w:t xml:space="preserve">Caesars and MGM are publicly traded companies that are subject to the informational filing requirements of the Securities Exchange Act of 1934, as amended, and are required to file periodic reports on Form 10-K and Form 10-Q and current reports on Form 8-K with the SEC. Caesars’ and MGM’s SEC filings are available to the public from the SEC’s web site at </w:t>
      </w:r>
      <w:r>
        <w:rPr>
          <w:rFonts w:ascii="Times New Roman;sans-serif" w:hAnsi="Times New Roman;sans-serif"/>
          <w:b w:val="false"/>
          <w:color w:val="000000"/>
          <w:sz w:val="20"/>
          <w:u w:val="single"/>
        </w:rPr>
        <w:t>www.sec.gov</w:t>
      </w:r>
      <w:r>
        <w:rPr>
          <w:rFonts w:ascii="Times New Roman;sans-serif" w:hAnsi="Times New Roman;sans-serif"/>
          <w:b w:val="false"/>
          <w:color w:val="000000"/>
          <w:sz w:val="20"/>
        </w:rPr>
        <w:t>. We make no representation as to the accuracy or completeness of the information regarding Caesars and MGM that is available through the SEC’s website or otherwise made available by Caesars, MGM or any third party, and none of such information is incorporated by reference in this Annual Report on Form 10-K.</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Recent Account Pronouncements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2023, the FASB issued ASU 2023-09, Income Taxes (Topic 740): Improvements to Income Tax Disclosures (“ASU 2023-09”). ASU 2023-09 requires entities to disclose additional information with respect to the effective tax rate reconciliation and to disclose the disaggregation by jurisdiction of income tax expense and income taxes paid. ASU 2023-09 is effective for fiscal years beginning after December 15, 2024, with early adoption permitted. We are currently evaluating the impact of ASU 2023-09 on our Financial Statements.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2023, FASB issued ASU 2023-07 Segment Reporting (Topic 280): Improvements to Reportable Segment Disclosures, which provides for additional disclosures as they relate to a company’s segments. Additional requirements per the update include disclosures for significant segment expenses, measures of profit or loss used by the Chief Operating Decision Maker and how these measures are used to allocate resources and assess segment performance. The amendments in this ASU will also apply to entities with a single reportable segment and is effective for all public entities for fiscal years beginning after December 15, 2023. We are currently evaluating the impact of ASU 2023-07 on our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4"/>
        </w:rPr>
      </w:pPr>
      <w:r>
        <w:rPr>
          <w:rFonts w:ascii="Times New Roman;sans-serif" w:hAnsi="Times New Roman;sans-serif"/>
          <w:b/>
          <w:color w:val="000000"/>
          <w:sz w:val="24"/>
        </w:rPr>
        <w:t>Note 3 — Real Estate Transactions</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2023 Transactions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significant activities in 2023, in reverse chronological order, are as follows:</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Property Acquisitions</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Chelsea Piers Transaction</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18, 2023, we acquired the leasehold interest associated with Chelsea Piers from Chelsea Piers L.P. in a sale-leaseback transaction (the “Chelsea Piers Transaction”) for a purchase price of $342.9 million. We funded the transaction through cash on hand and the full repayment and termination of the $71.5 million outstanding Chelsea Piers loan. Simultaneous with the closing of the Chelsea Piers Transaction, we entered into a triple-net lease agreement with Chelsea Piers L.P. and North River Operating Company L.P. (the “Chelsea Piers Lease”). The Chelsea Piers Lease has an initial total annual rent of $24.0 million and an initial term of 32 years, with a 10-year extension option that the tenant under the Chelsea Piers Lease is obligated to extend provided all conditions are met. Annual rent under the Chelsea Piers Lease escalates at 1.25% commencing in lease year 3 and 1.50% from lease year 4 until the end of the term. The tenant’s obligations under the lease are guaranteed by certain subsidiaries of the tenant under the Chelsea Piers Lease.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222885"/>
                <wp:effectExtent l="0" t="0" r="0" b="0"/>
                <wp:wrapNone/>
                <wp:docPr id="97" name="Frame9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 - 25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 - 25</w:t>
                      </w:r>
                    </w:p>
                  </w:txbxContent>
                </v:textbox>
                <w10:wrap type="none"/>
              </v:rect>
            </w:pict>
          </mc:Fallback>
        </mc:AlternateContent>
      </w:r>
    </w:p>
    <w:p>
      <w:pPr>
        <w:pStyle w:val="TextBody"/>
        <w:bidi w:val="0"/>
        <w:spacing w:lineRule="auto" w:line="288" w:before="60" w:after="283"/>
        <w:jc w:val="both"/>
        <w:rPr/>
      </w:pPr>
      <w:hyperlink w:anchor="ib2fc48f0ddf244d9844b8de22bde2e36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determined that the Chelsea Piers Transaction should be accounted for as an asset acquisition under ASC 805-50 and further, that the Chelsea Piers Lease meet the definition of a sales-type lease. Since we purchased and leased the asset back to the seller under a sale leaseback transaction, control is not considered to have transferred to us under GAAP. Accordingly, the Chelsea Piers Lease is accounted for as Investments in leases – financing receivables on our Balance Sheets.</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Bowlero Transaction</w:t>
      </w:r>
    </w:p>
    <w:p>
      <w:pPr>
        <w:pStyle w:val="TextBody"/>
        <w:bidi w:val="0"/>
        <w:spacing w:lineRule="auto" w:line="288" w:before="180" w:after="283"/>
        <w:jc w:val="both"/>
        <w:rPr/>
      </w:pPr>
      <w:r>
        <w:rPr>
          <w:rFonts w:ascii="Times New Roman;sans-serif" w:hAnsi="Times New Roman;sans-serif"/>
          <w:b w:val="false"/>
          <w:color w:val="000000"/>
          <w:sz w:val="20"/>
        </w:rPr>
        <w:t xml:space="preserve">On October 19, 2023, we entered the family entertainment sector by acquiring the real estate assets of 38 bowling entertainment centers (the “Bowlero Portfolio”) from Bowlero in a sale-leaseback transaction for an aggregate purchase price of $432.9 million (the “Bowlero Transaction”). We financed the Bowlero Transaction through a combination of units in a newly formed VICI subsidiary issued to Bowlero, cash on hand, and a portion of proceeds from the settlement of the remaining shares under the January 2023 Forward Sale Agreements (as defined in </w:t>
      </w:r>
      <w:hyperlink w:anchor="ib2fc48f0ddf244d9844b8de22bde2e36_175">
        <w:r>
          <w:rPr>
            <w:rStyle w:val="InternetLink"/>
            <w:rFonts w:ascii="Times New Roman;sans-serif" w:hAnsi="Times New Roman;sans-serif"/>
            <w:b w:val="false"/>
            <w:color w:val="0000FF"/>
            <w:sz w:val="20"/>
            <w:u w:val="single"/>
          </w:rPr>
          <w:t>Note 11 - Stockholders’ Equity</w:t>
        </w:r>
      </w:hyperlink>
      <w:r>
        <w:rPr>
          <w:rFonts w:ascii="Times New Roman;sans-serif" w:hAnsi="Times New Roman;sans-serif"/>
          <w:b w:val="false"/>
          <w:color w:val="000000"/>
          <w:sz w:val="20"/>
        </w:rPr>
        <w:t>). Simultaneous with the closing of the Bowlero Transaction, we entered into a triple-net master lease agreement with Bowlero (the “Bowlero Master Lease”). The Bowlero Master Lease has an initial total annual rent of $31.6 million and an initial term of 25 years, with six 5-year tenant renewal options. Rent under the Bowlero Master Lease will escalate at the greater of 2.0% or CPI (subject to a 2.5% ceiling). The tenant’s obligations under the lease are guaranteed by Bowlero Corp. Additionally, the Bowlero Master Lease contains a right of first offer provision with respect to real estate assets of any current or future Bowlero properties in the event that Bowlero elects to enter into a sale-leaseback transaction for such properties during the first eight years of the initial term of the Bowlero Master Lease.</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determined that the Bowlero Transaction should be accounted for as an asset acquisition under ASC 805-50 and further, that the land and building components of the Bowlero Master Lease meet the definition of a sales-type lease. Since we purchased and leased the assets back to the seller under a sale leaseback transaction, control is not considered to have transferred to us under GAAP. Accordingly, the Bowlero Master Lease is accounted for as Investments in leases – financing receivables on our Balance Sheets.</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Century Canadian Portfolio Transaction</w:t>
      </w:r>
    </w:p>
    <w:p>
      <w:pPr>
        <w:pStyle w:val="TextBody"/>
        <w:bidi w:val="0"/>
        <w:spacing w:lineRule="auto" w:line="288" w:before="180" w:after="283"/>
        <w:jc w:val="both"/>
        <w:rPr/>
      </w:pPr>
      <w:r>
        <w:rPr>
          <w:rFonts w:ascii="Times New Roman;sans-serif" w:hAnsi="Times New Roman;sans-serif"/>
          <w:b w:val="false"/>
          <w:color w:val="000000"/>
          <w:sz w:val="20"/>
        </w:rPr>
        <w:t xml:space="preserve">On September 6, 2023, we closed on the acquisition of the Century Casino &amp; Hotel Edmonton, Century Casino St. Albert located in Edmonton, Alberta, Century Mile Racetrack and Casino and Century Downs Racetrack and Casino all of which are located in Alberta, Canada (the “Century Canadian Portfolio”) from Century Casinos, Inc. (together with, as the context requires, its subsidiaries,“Century Casinos”) for an aggregate purchase price of C$221.7 million (approximately US$162.5 million based on the exchange rate at the time of the acquisition) (the “Century Canadian Portfolio Transaction”). We financed the Century Canadian Portfolio Transaction with a combination of cash on hand, proceeds from the partial settlement of forward equity sale agreements and a C$75.0 million (approximately US$55.0 million based on the exchange rate at the time of the acquisition) draw under our Revolving Credit Facility (as defined in </w:t>
      </w:r>
      <w:hyperlink w:anchor="ib2fc48f0ddf244d9844b8de22bde2e36_163">
        <w:r>
          <w:rPr>
            <w:rStyle w:val="InternetLink"/>
            <w:rFonts w:ascii="Times New Roman;sans-serif" w:hAnsi="Times New Roman;sans-serif"/>
            <w:b w:val="false"/>
            <w:color w:val="0000FF"/>
            <w:sz w:val="20"/>
            <w:u w:val="single"/>
          </w:rPr>
          <w:t>Note 7 - Debt</w:t>
        </w:r>
      </w:hyperlink>
      <w:r>
        <w:rPr>
          <w:rFonts w:ascii="Times New Roman;sans-serif" w:hAnsi="Times New Roman;sans-serif"/>
          <w:b w:val="false"/>
          <w:color w:val="000000"/>
          <w:sz w:val="20"/>
        </w:rPr>
        <w:t xml:space="preserve">). Simultaneous with the closing of the transaction, the Century Canadian Portfolio was added to the existing triple-net master lease agreement between us and Century Casinos (“Century Master Lease”) and annual rent increased by C$17.3 million (approximately US$12.7 million based on the exchange rate at the time of the acquisition). Additionally, the term of the Century Master Lease was extended such that, upon closing of the transaction, the lease has a full 15-year initial base lease term, with three 5-year tenant renewal options. Century Casinos previously exercised one 5-year tenant renewal option. The tenants’ obligations under the Century Master Lease continue to be guaranteed by Century Casinos, Inc.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determined that the Century Canadian Portfolio component of the Century Master Lease meets the definition of a separate contract under ASC 842. In accordance with this guidance, we are required to separately assess the lease classification apart from the other assets in the Century Master Lease. Accordingly, we determined that the Century Canadian Portfolio Transaction should be accounted for as an asset acquisition under ASC 805-50 and further, that the land and building components of the Century Canadian Portfolio under the Century Master Lease meet the definition of a sales-type lease. Since we purchased and leased the assets back to the seller under a sale leaseback transaction, control is not considered to have transferred to us under GAAP. Accordingly, the Century Canadian Portfolio under the Century Master Lease is accounted for as Investments in leases – financing receivables on our Balance Sheets.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222885"/>
                <wp:effectExtent l="0" t="0" r="0" b="0"/>
                <wp:wrapNone/>
                <wp:docPr id="98" name="Frame9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 - 26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 - 26</w:t>
                      </w:r>
                    </w:p>
                  </w:txbxContent>
                </v:textbox>
                <w10:wrap type="none"/>
              </v:rect>
            </w:pict>
          </mc:Fallback>
        </mc:AlternateContent>
      </w:r>
    </w:p>
    <w:p>
      <w:pPr>
        <w:pStyle w:val="TextBody"/>
        <w:bidi w:val="0"/>
        <w:spacing w:lineRule="auto" w:line="288" w:before="60" w:after="283"/>
        <w:jc w:val="both"/>
        <w:rPr/>
      </w:pPr>
      <w:hyperlink w:anchor="ib2fc48f0ddf244d9844b8de22bde2e36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Rocky Gap Casino Transaction</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July 25, 2023, we closed on the previously announced acquisition of the leasehold interest in the land and buildings associated with Rocky Gap Casino Resort, located in Flintstone, Maryland (“Rocky Gap Casino”) with Century Casinos, from Golden Entertainment, Inc. for an aggregate purchase price of $260.0 million (the “Rocky Gap Casino Transaction”). Pursuant to the transaction agreements, we acquired the leasehold interest in the land and buildings associated with the Rocky Gap Casino for approximately $203.9 million and Century Casinos acquired the operating assets of the property for approximately $56.1 million. Simultaneous with the closing of the transaction, the Century Master Lease was amended to include Rocky Gap Casino, and annual rent under the Century Master Lease increased by $15.5 million. Additionally, the term of the Century Master Lease was extended such that, upon closing of the transaction, the lease had a full 15-year initial base lease term remaining. Century Casinos previously exercised one 5-year tenant renewal option and three additional 5-year tenant renewal options are remaining. The tenants’ obligations under the Century Master Lease continue to be guaranteed by Century Casinos, Inc.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determined that the Rocky Gap Casino component of the Century Master Lease meets the definition of a separate contract under ASC 842. In accordance with this guidance, we are required to separately assess the lease classification apart from the other assets in the Century Maser Lease. We determined that the Rocky Gap Casino Transaction should be accounted for as an asset acquisition under ASC 805-50 and further, that the land and building components of Rocky Gap Casino under the Century Master Lease meet the definition of a sales-type lease and accordingly is accounted for as Investments in leases – sales-type on our Balance Sheets.</w:t>
      </w:r>
    </w:p>
    <w:p>
      <w:pPr>
        <w:pStyle w:val="TextBody"/>
        <w:bidi w:val="0"/>
        <w:spacing w:lineRule="auto" w:line="268" w:before="180" w:after="283"/>
        <w:jc w:val="left"/>
        <w:rPr>
          <w:rFonts w:ascii="Times New Roman;sans-serif" w:hAnsi="Times New Roman;sans-serif"/>
          <w:b/>
          <w:i/>
          <w:color w:val="231F20"/>
          <w:sz w:val="20"/>
        </w:rPr>
      </w:pPr>
      <w:r>
        <w:rPr>
          <w:rFonts w:ascii="Times New Roman;sans-serif" w:hAnsi="Times New Roman;sans-serif"/>
          <w:b/>
          <w:i/>
          <w:color w:val="231F20"/>
          <w:sz w:val="20"/>
        </w:rPr>
        <w:t>MGM Grand/Mandalay Bay JV Interest Acquisition</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January 9, 2023, we closed on the previously announced acquisition of the remaining 49.9% interest in the MGM Grand/Mandalay Bay JV from BREIT for cash consideration of $1,261.9 million (the “MGM Grand/Mandalay Bay JV Interest Acquisition”). We also assumed BREIT’s $1,497.0 million pro rata share of an aggregate $3.0 billion of property-level debt, which matures in 2032 and bears interest at a fixed rate of 3.558% per annum through March 2030. The cash consideration was funded through a combination of cash on hand and proceeds from the settlement of certain forward sale agreements. The lease agreement for MGM Grand Las Vegas and Mandalay Bay (“MGM Grand/Mandalay Bay Lease”) currently has an annual rent of $309.9 million, all of which we are entitled to following the closing of the MGM Grand/Mandalay Bay JV Interest Acquisition. The MGM Grand/Mandalay Bay Lease has a remaining initial lease term of approximately 27 years (expiring in 2050), with two ten-year tenant renewal options. Rent under the MGM Grand/Mandalay Bay Lease escalates annually at 2.0% through 2035 (year 15 of the initial lease term) and thereafter at the greater of 2.0% or the Consumer Price Index (“CPI”) (subject to a 3.0% ceiling). As of December 31, 2022, the MGM Grand/Mandalay Bay JV was accounted for as an equity method investment under the voting interest model within Investment in unconsolidated affiliate on our Balance Sheets.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Simultaneously with closing of the MGM Grand/Mandalay Bay JV Interest Acquisition, as a result of acquiring full ownership, we consolidated the joint venture and determined that the consolidation should be accounted for as an asset acquisition under ASC 805-50. In application of the asset acquisition guidance, we retained the prior cost basis of our 50.1% interest, which we previously acquired in connection with the MGP Transactions (as defined below), and combined such basis to the purchase price of the MGM Grand/Mandalay Bay JV Interest Acquisition.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our net assets acquired upon consolidation of the MGM Grand/Mandalay Bay JV:</w:t>
      </w:r>
    </w:p>
    <w:tbl>
      <w:tblPr>
        <w:tblW w:w="9032" w:type="dxa"/>
        <w:jc w:val="left"/>
        <w:tblInd w:w="0" w:type="dxa"/>
        <w:tblLayout w:type="fixed"/>
        <w:tblCellMar>
          <w:top w:w="28" w:type="dxa"/>
          <w:left w:w="28" w:type="dxa"/>
          <w:bottom w:w="28" w:type="dxa"/>
          <w:right w:w="28" w:type="dxa"/>
        </w:tblCellMar>
      </w:tblPr>
      <w:tblGrid>
        <w:gridCol w:w="2663"/>
        <w:gridCol w:w="2344"/>
        <w:gridCol w:w="2357"/>
        <w:gridCol w:w="109"/>
        <w:gridCol w:w="109"/>
        <w:gridCol w:w="109"/>
        <w:gridCol w:w="211"/>
        <w:gridCol w:w="976"/>
        <w:gridCol w:w="154"/>
      </w:tblGrid>
      <w:tr>
        <w:trPr/>
        <w:tc>
          <w:tcPr>
            <w:tcW w:w="2663" w:type="dxa"/>
            <w:tcBorders/>
            <w:vAlign w:val="center"/>
          </w:tcPr>
          <w:p>
            <w:pPr>
              <w:pStyle w:val="TableContents"/>
              <w:bidi w:val="0"/>
              <w:spacing w:before="0" w:after="283"/>
              <w:jc w:val="left"/>
              <w:rPr>
                <w:sz w:val="4"/>
                <w:szCs w:val="4"/>
              </w:rPr>
            </w:pPr>
            <w:r>
              <w:rPr>
                <w:sz w:val="4"/>
                <w:szCs w:val="4"/>
              </w:rPr>
            </w:r>
          </w:p>
        </w:tc>
        <w:tc>
          <w:tcPr>
            <w:tcW w:w="2344" w:type="dxa"/>
            <w:tcBorders/>
            <w:vAlign w:val="center"/>
          </w:tcPr>
          <w:p>
            <w:pPr>
              <w:pStyle w:val="TableContents"/>
              <w:bidi w:val="0"/>
              <w:spacing w:before="0" w:after="283"/>
              <w:jc w:val="left"/>
              <w:rPr>
                <w:sz w:val="4"/>
                <w:szCs w:val="4"/>
              </w:rPr>
            </w:pPr>
            <w:r>
              <w:rPr>
                <w:sz w:val="4"/>
                <w:szCs w:val="4"/>
              </w:rPr>
            </w:r>
          </w:p>
        </w:tc>
        <w:tc>
          <w:tcPr>
            <w:tcW w:w="2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r>
      <w:tr>
        <w:trPr/>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Carrying value of prior 50.1% interest acquired in connection with the MGP Transactions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1,458,782 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Consideration paid for MGM Grand/Mandalay Bay JV Interest Acquisition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1,261,882 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net assets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2,735,294 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222885"/>
                <wp:effectExtent l="0" t="0" r="0" b="0"/>
                <wp:wrapNone/>
                <wp:docPr id="99" name="Frame9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 - 27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 - 27</w:t>
                      </w:r>
                    </w:p>
                  </w:txbxContent>
                </v:textbox>
                <w10:wrap type="none"/>
              </v:rect>
            </w:pict>
          </mc:Fallback>
        </mc:AlternateContent>
      </w:r>
    </w:p>
    <w:p>
      <w:pPr>
        <w:pStyle w:val="TextBody"/>
        <w:bidi w:val="0"/>
        <w:spacing w:lineRule="auto" w:line="288" w:before="60" w:after="283"/>
        <w:jc w:val="both"/>
        <w:rPr/>
      </w:pPr>
      <w:hyperlink w:anchor="ib2fc48f0ddf244d9844b8de22bde2e36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Under ASC 805-50, we allocated the net assets acquired by major categories of assets acquired and liabilities assumed using relative fair value. The following is a summary of the allocated relative fair values of the assets acquired and liabilities assumed in the consolidation of the MGM Grand/Mandalay Bay JV:</w:t>
      </w:r>
    </w:p>
    <w:tbl>
      <w:tblPr>
        <w:tblW w:w="5193" w:type="dxa"/>
        <w:jc w:val="left"/>
        <w:tblInd w:w="0" w:type="dxa"/>
        <w:tblLayout w:type="fixed"/>
        <w:tblCellMar>
          <w:top w:w="28" w:type="dxa"/>
          <w:left w:w="28" w:type="dxa"/>
          <w:bottom w:w="28" w:type="dxa"/>
          <w:right w:w="28" w:type="dxa"/>
        </w:tblCellMar>
      </w:tblPr>
      <w:tblGrid>
        <w:gridCol w:w="1277"/>
        <w:gridCol w:w="1123"/>
        <w:gridCol w:w="1125"/>
        <w:gridCol w:w="109"/>
        <w:gridCol w:w="109"/>
        <w:gridCol w:w="109"/>
        <w:gridCol w:w="211"/>
        <w:gridCol w:w="976"/>
        <w:gridCol w:w="154"/>
      </w:tblGrid>
      <w:tr>
        <w:trPr/>
        <w:tc>
          <w:tcPr>
            <w:tcW w:w="1277"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leases – sales-type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5,494,351 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Cash and cash equivalents </w:t>
            </w:r>
            <w:r>
              <w:rPr>
                <w:rFonts w:ascii="Times New Roman;sans-serif" w:hAnsi="Times New Roman;sans-serif"/>
                <w:b w:val="false"/>
                <w:i/>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Debt, net </w:t>
            </w:r>
            <w:r>
              <w:rPr>
                <w:rFonts w:ascii="Times New Roman;sans-serif" w:hAnsi="Times New Roman;sans-serif"/>
                <w:b w:val="false"/>
                <w:i/>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(2,747,877)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Accrued expenses and deferred revenue </w:t>
            </w:r>
            <w:r>
              <w:rPr>
                <w:rFonts w:ascii="Times New Roman;sans-serif" w:hAnsi="Times New Roman;sans-serif"/>
                <w:b w:val="false"/>
                <w:i/>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(20,787)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net assets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2,735,294 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____________________</w:t>
      </w:r>
    </w:p>
    <w:p>
      <w:pPr>
        <w:pStyle w:val="TextBody"/>
        <w:bidi w:val="0"/>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(1) Amount represents their current carrying value, which is equal to fair value</w:t>
      </w:r>
    </w:p>
    <w:p>
      <w:pPr>
        <w:pStyle w:val="TextBody"/>
        <w:bidi w:val="0"/>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(2) Amount represents the fair value of the $3.0 billion principal amount of CMBS debt as of January 9, 2023, which was estimated as a $252.1 million discount to principal value. The fair value of the debt was estimated by modeling the contractual cash flows and discounting them back to the present value using an estimated market yield. Additionally, we considered current market rates and conditions by evaluating similar borrowing agreements with comparable loan-to-value ratios and credit profiles. The inputs used in determining the fair value measurement are considered Level 3 of the fair value hierarchy.</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Concurrent with the closing of the MGM Grand/Mandalay Bay JV Interest Acquisition and consolidation of the MGM Grand/Mandalay Bay Lease, we assessed the lease classification of the MGM Grand/Mandalay Bay Lease and determined that it met the definition of a sales-type lease. Accordingly, the relative fair value of the MGM Grand/Mandalay Bay Lease of $5.5 billion was recorded as an Investment in leases – sales-type on our Balance Sheets, net of an initial allowance for estimated credit losses in the amount of $210.0 million.</w:t>
      </w:r>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PURE Canadian Gaming Transaction</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January 6, 2023, we acquired the real estate assets of PURE Casino Edmonton, PURE Casino Yellowhead, PURE Casino Calgary, and PURE Casino Lethbridge, all of which are located in Alberta, Canada (the “PURE Portfolio”), from PURE Canadian Gaming, Corp. (“PURE Canadian Gaming”) for an aggregate purchase price in cash of approximately C$271.9 million (approximately US$200.8 million based on the exchange rate at the time of the acquisition) (the “PURE Canadian Gaming Transaction”). We financed the PURE Canadian Gaming Transaction with a combination of cash on hand and a C$140.0 million (approximately US$103.4 million based on the exchange rate at the time of the acquisition) draw under our Revolving Credit Facility. Simultaneous with the acquisition, we entered into a triple-net master lease agreement for the PURE Portfolio (“PURE Master Lease”). The PURE Master Lease has an initial total annual rent of approximately C$21.8 million (approximately US$16.1 million based on the exchange rate at the time of the acquisition), an initial term of 25 years, with four 5-year tenant renewal options, escalation of 1.25% per annum in lease years two and three (and thereafter at the greater of 1.5% and the Canadian Consumer Price Index, capped at 2.5%) and minimum capital expenditure requirements of 1.0% of annual net revenue (excluding gaming equipment). The tenant’s obligations under the PURE Master Lease are guaranteed by PURE Canadian Gaming Corp.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determined that the PURE Canadian Gaming Transaction should be accounted for as an asset acquisition under ASC 805-50 and further, that the land and building components of the PURE Master Lease meet the definition of a sales-type lease. Since we purchased and leased the assets back to the seller under a sale leaseback transaction, control is not considered to have transferred to us under GAAP. Accordingly, the PURE Master Lease is accounted for as Investments in leases – financing receivables on our Balance Sheets.</w:t>
      </w: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Leasing Activity</w:t>
      </w:r>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Gold Strike Severance Lease</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15, 2023, in connection with the closing of MGM’s sale of the operations of Gold Strike Casino Resort, located in Tunica, Mississippi (“Gold Strike”), we entered into a lease agreement with Cherokee Nation Businesses, L.L.C. (“CNB”) related to the land and real estate assets of Gold Strike (“CNE Gold Strike Lease”), and entered into an amendment to the lease agreement for the properties leased to MGM, excluding the MGM Grand and Mandalay Bay properties (“MGM Master Lease”) in order to account for MGM’s divestiture of the operations of Gold Strike and to reduce the annual base rent by $40.0 million. The CNE Gold Strike Lease has initial annual base rent of $40.0 million with other economic terms substantially similar to the MGM Master Lease, including a base term of 25 years with three 10-year tenant renewal options, escalation of 2.0% per annum (with escalation of the greater of 2.0% and CPI, capped at 3.0%, beginning in lease year 11) and minimum capital expenditure requirements of 1.0% of annual net revenue. The tenant’s obligations under the CNE Gold Strike Lease are guaranteed by CNB.</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222885"/>
                <wp:effectExtent l="0" t="0" r="0" b="0"/>
                <wp:wrapNone/>
                <wp:docPr id="100" name="Frame9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 - 28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 - 28</w:t>
                      </w:r>
                    </w:p>
                  </w:txbxContent>
                </v:textbox>
                <w10:wrap type="none"/>
              </v:rect>
            </w:pict>
          </mc:Fallback>
        </mc:AlternateContent>
      </w:r>
    </w:p>
    <w:p>
      <w:pPr>
        <w:pStyle w:val="TextBody"/>
        <w:bidi w:val="0"/>
        <w:spacing w:lineRule="auto" w:line="288" w:before="60" w:after="283"/>
        <w:jc w:val="both"/>
        <w:rPr/>
      </w:pPr>
      <w:hyperlink w:anchor="ib2fc48f0ddf244d9844b8de22bde2e36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Real Estate Debt Investments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our 2023 real estate debt investment activity: </w:t>
      </w:r>
    </w:p>
    <w:tbl>
      <w:tblPr>
        <w:tblW w:w="10205" w:type="dxa"/>
        <w:jc w:val="left"/>
        <w:tblInd w:w="0" w:type="dxa"/>
        <w:tblLayout w:type="fixed"/>
        <w:tblCellMar>
          <w:top w:w="28" w:type="dxa"/>
          <w:left w:w="28" w:type="dxa"/>
          <w:bottom w:w="28" w:type="dxa"/>
          <w:right w:w="28" w:type="dxa"/>
        </w:tblCellMar>
      </w:tblPr>
      <w:tblGrid>
        <w:gridCol w:w="871"/>
        <w:gridCol w:w="681"/>
        <w:gridCol w:w="681"/>
        <w:gridCol w:w="109"/>
        <w:gridCol w:w="109"/>
        <w:gridCol w:w="109"/>
        <w:gridCol w:w="326"/>
        <w:gridCol w:w="1279"/>
        <w:gridCol w:w="168"/>
        <w:gridCol w:w="109"/>
        <w:gridCol w:w="109"/>
        <w:gridCol w:w="109"/>
        <w:gridCol w:w="109"/>
        <w:gridCol w:w="109"/>
        <w:gridCol w:w="555"/>
        <w:gridCol w:w="539"/>
        <w:gridCol w:w="541"/>
        <w:gridCol w:w="109"/>
        <w:gridCol w:w="109"/>
        <w:gridCol w:w="109"/>
        <w:gridCol w:w="983"/>
        <w:gridCol w:w="983"/>
        <w:gridCol w:w="1399"/>
      </w:tblGrid>
      <w:tr>
        <w:trPr/>
        <w:tc>
          <w:tcPr>
            <w:tcW w:w="871"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r>
      <w:tr>
        <w:trPr/>
        <w:tc>
          <w:tcPr>
            <w:tcW w:w="22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Investment 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Maximum Investment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Investment 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Collateral</w:t>
            </w:r>
          </w:p>
        </w:tc>
      </w:tr>
      <w:tr>
        <w:trPr/>
        <w:tc>
          <w:tcPr>
            <w:tcW w:w="22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Kalahari Virginia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212,200 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Mezzanine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907-key indoor waterpark resort in Thornburg, VA under development</w:t>
            </w:r>
          </w:p>
        </w:tc>
      </w:tr>
      <w:tr>
        <w:trPr/>
        <w:tc>
          <w:tcPr>
            <w:tcW w:w="22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Canyon Ranch Preferred Equity Investment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Preferred Equity Investment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interests in controlling entity of Canyon Ranch</w:t>
            </w:r>
          </w:p>
        </w:tc>
      </w:tr>
      <w:tr>
        <w:trPr/>
        <w:tc>
          <w:tcPr>
            <w:tcW w:w="22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Canyon Ranch Lenox and Tucson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140,135 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Secured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Canyon Ranch Tucson and Canyon Ranch Lenox</w:t>
            </w:r>
          </w:p>
        </w:tc>
      </w:tr>
      <w:tr>
        <w:trPr/>
        <w:tc>
          <w:tcPr>
            <w:tcW w:w="22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Cabot Saint Lucia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Secured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Luxury golf resort in Saint Lucia, Virgin Islands</w:t>
            </w:r>
          </w:p>
        </w:tc>
      </w:tr>
      <w:tr>
        <w:trPr/>
        <w:tc>
          <w:tcPr>
            <w:tcW w:w="22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Hard Rock Ottawa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85,000 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Secured Note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Hard Rock Ottawa Hotel &amp; Casino</w:t>
            </w:r>
          </w:p>
        </w:tc>
      </w:tr>
      <w:tr>
        <w:trPr/>
        <w:tc>
          <w:tcPr>
            <w:tcW w:w="22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Cabot Highlands Loan</w:t>
            </w:r>
            <w:r>
              <w:rPr>
                <w:color w:val="000000"/>
              </w:rPr>
              <w:t xml:space="preserve"> </w:t>
            </w:r>
            <w:r>
              <w:rPr>
                <w:rFonts w:ascii="Times New Roman;sans-serif" w:hAnsi="Times New Roman;sans-serif"/>
                <w:b w:val="false"/>
                <w:i/>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10,938 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Secured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Luxury golf resort in the Scottish Highlands</w:t>
            </w:r>
          </w:p>
        </w:tc>
      </w:tr>
      <w:tr>
        <w:trPr/>
        <w:tc>
          <w:tcPr>
            <w:tcW w:w="22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698,273 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____________________</w:t>
      </w:r>
    </w:p>
    <w:p>
      <w:pPr>
        <w:pStyle w:val="TextBody"/>
        <w:bidi w:val="0"/>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(1) Amount represents USD equivalent to £9.0 million based on the exchange rate at the time of closing.</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Significant 2022 Transactions</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MGP Transactions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April 29, 2022, we closed on the acquisition of MGM Growth Properties LLC (“MGP”) in a series of transactions governed by the certain Master Transaction Agreement between us, MGP, MGM Growth Properties Operating Partnership LP (“MGP OP”), VICI LP, REIT Merger Sub (as defined therein), VICI OP, and MGM entered into on August 4, 2021 (“MGP Master Transaction Agreement”), pursuant to which we acquired MGP for total consideration of $11.6 billion, plus the assumption of approximately $5.7 billion principal amount of debt, inclusive of a 50.1% share of the MGM Grand/Mandalay Bay JV CMBS debt, at the time (“MGP Transactions”). Upon closing, the MGP Transactions added $1,012.2 million of annualized rent to our portfolio from 15 Class A entertainment casino resort properties spread across nine regions and comprising 36,000 hotel rooms, 3.6 million square feet of meeting and convention space and hundreds of food, beverage and entertainment venues. Under the terms of the MGP Master Transaction Agreement, each outstanding MGP Class A common share was converted into 1.366 (the “Exchange Ratio”) shares of VICI common stock. The fixed Exchange Ratio represented an agreed upon price of $43.00 per share of MGP Class A common shares based on VICI’s trailing 5-day volume weighted average price of $31.47 as of July 30, 2021. MGM received $43.00 per unit in cash for the redemption of the majority of its MGP OP units that it held for total cash consideration of approximately $4.404 billion and also acquired approximately 12.2 million units in VICI OP. The MGP Class B share that was held by MGM was cancelled and ceased to exist simultaneous with closing.</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number of MGP Class A common shares converted to shares of VICI common stock was determined as follows:</w:t>
      </w:r>
    </w:p>
    <w:tbl>
      <w:tblPr>
        <w:tblW w:w="7160" w:type="dxa"/>
        <w:jc w:val="left"/>
        <w:tblInd w:w="0" w:type="dxa"/>
        <w:tblLayout w:type="fixed"/>
        <w:tblCellMar>
          <w:top w:w="28" w:type="dxa"/>
          <w:left w:w="28" w:type="dxa"/>
          <w:bottom w:w="28" w:type="dxa"/>
          <w:right w:w="28" w:type="dxa"/>
        </w:tblCellMar>
      </w:tblPr>
      <w:tblGrid>
        <w:gridCol w:w="2108"/>
        <w:gridCol w:w="1853"/>
        <w:gridCol w:w="1859"/>
        <w:gridCol w:w="593"/>
        <w:gridCol w:w="593"/>
        <w:gridCol w:w="154"/>
      </w:tblGrid>
      <w:tr>
        <w:trPr/>
        <w:tc>
          <w:tcPr>
            <w:tcW w:w="2108" w:type="dxa"/>
            <w:tcBorders/>
            <w:vAlign w:val="center"/>
          </w:tcPr>
          <w:p>
            <w:pPr>
              <w:pStyle w:val="TableContents"/>
              <w:bidi w:val="0"/>
              <w:spacing w:before="0" w:after="283"/>
              <w:jc w:val="left"/>
              <w:rPr>
                <w:sz w:val="4"/>
                <w:szCs w:val="4"/>
              </w:rPr>
            </w:pPr>
            <w:r>
              <w:rPr>
                <w:sz w:val="4"/>
                <w:szCs w:val="4"/>
              </w:rPr>
            </w:r>
          </w:p>
        </w:tc>
        <w:tc>
          <w:tcPr>
            <w:tcW w:w="1853" w:type="dxa"/>
            <w:tcBorders/>
            <w:vAlign w:val="center"/>
          </w:tcPr>
          <w:p>
            <w:pPr>
              <w:pStyle w:val="TableContents"/>
              <w:bidi w:val="0"/>
              <w:spacing w:before="0" w:after="283"/>
              <w:jc w:val="left"/>
              <w:rPr>
                <w:sz w:val="4"/>
                <w:szCs w:val="4"/>
              </w:rPr>
            </w:pPr>
            <w:r>
              <w:rPr>
                <w:sz w:val="4"/>
                <w:szCs w:val="4"/>
              </w:rPr>
            </w:r>
          </w:p>
        </w:tc>
        <w:tc>
          <w:tcPr>
            <w:tcW w:w="185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MGP Class A common shares outstanding as of April 29, 2022</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156,757,773 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Exchange Ratio</w:t>
            </w:r>
          </w:p>
        </w:tc>
        <w:tc>
          <w:tcPr>
            <w:tcW w:w="1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1.366</w:t>
            </w:r>
          </w:p>
        </w:tc>
      </w:tr>
      <w:tr>
        <w:trPr/>
        <w:tc>
          <w:tcPr>
            <w:tcW w:w="58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VICI common stock issued </w:t>
            </w:r>
            <w:r>
              <w:rPr>
                <w:rFonts w:ascii="Times New Roman;sans-serif" w:hAnsi="Times New Roman;sans-serif"/>
                <w:b w:val="false"/>
                <w:i/>
                <w:color w:val="000000"/>
                <w:sz w:val="13"/>
              </w:rPr>
              <w:t>(1)</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214,131,064 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VICI common stock issued for MGP stock-based compensation awards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421,468 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VICI common stock issued</w:t>
            </w:r>
          </w:p>
        </w:tc>
        <w:tc>
          <w:tcPr>
            <w:tcW w:w="11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214,552,532 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____________________</w:t>
      </w:r>
    </w:p>
    <w:p>
      <w:pPr>
        <w:pStyle w:val="TextBody"/>
        <w:bidi w:val="0"/>
        <w:spacing w:lineRule="auto" w:line="276" w:before="0" w:after="0"/>
        <w:jc w:val="left"/>
        <w:rPr>
          <w:rFonts w:ascii="Times New Roman;sans-serif" w:hAnsi="Times New Roman;sans-serif"/>
          <w:b w:val="false"/>
          <w:i/>
          <w:color w:val="000000"/>
          <w:sz w:val="16"/>
        </w:rPr>
      </w:pPr>
      <w:r>
        <w:rPr>
          <w:rFonts w:ascii="Times New Roman;sans-serif" w:hAnsi="Times New Roman;sans-serif"/>
          <w:b w:val="false"/>
          <w:i/>
          <w:color w:val="000000"/>
          <w:sz w:val="16"/>
        </w:rPr>
        <w:t>(1) Amount excludes the cash paid in lieu of approximately 54 fractional MGP Class A common shares.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Simultaneous with the closing of the MGP Transactions on April 29, 2022, we entered into the MGM Master Lease. The MGM Master Lease has an initial term of 25 years, with three 10-year tenant renewal options and had an initial total annual rent of $860.0 million. Rent under the MGM Master Lease escalates at a rate of 2.0% per annum for the first 10 years and thereafter at the greater of 2.0% per annum or the increase in CPI, subject to a 3.0% cap. The total annual rent under the MGM Master Lease was reduced by $90.0 million upon the close of MGM’s sale of the operations of the Mirage to an affiliate of Seminole Hard Rock International LLC (“Hard Rock”) and entrance into a lease with Hard Rock for the Mirage property on December 19, 2022, and further reduced by $40.0 million upon the close of MGM’s sale of the operations of Gold Strike on February 15, 2023.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222885"/>
                <wp:effectExtent l="0" t="0" r="0" b="0"/>
                <wp:wrapNone/>
                <wp:docPr id="101" name="Frame9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 - 29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 - 29</w:t>
                      </w:r>
                    </w:p>
                  </w:txbxContent>
                </v:textbox>
                <w10:wrap type="none"/>
              </v:rect>
            </w:pict>
          </mc:Fallback>
        </mc:AlternateContent>
      </w:r>
    </w:p>
    <w:p>
      <w:pPr>
        <w:pStyle w:val="TextBody"/>
        <w:bidi w:val="0"/>
        <w:spacing w:lineRule="auto" w:line="288" w:before="60" w:after="283"/>
        <w:jc w:val="both"/>
        <w:rPr/>
      </w:pPr>
      <w:hyperlink w:anchor="ib2fc48f0ddf244d9844b8de22bde2e36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we retained a 50.1% ownership stake in the MGM Grand/Mandalay Bay JV, which owns the real estate assets of MGM Grand Las Vegas and Mandalay Bay. At the time of acquisition, the MGM Grand/Mandalay Bay Lease provided for total annual base rent of approximately $303.8 million, and had an initial term of thirty years with two 10-year tenant renewal options. Rent under the MGM Grand/Mandalay Bay Lease escalates at a rate of 2.0% per annum for the first 15 years and thereafter at the greater of 2.0% per annum or CPI, subject to a 3.0% cap. On January 9, 2023, we closed on the MGM Grand/Mandalay Bay JV Interest Acquisition and accordingly own 100% of the interest in the MGM Grand/Mandalay Bay JV, and assumed the full $3.0 billion of CMBS debt held by the joint venture.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assessed the MGP Transactions in accordance with ASC 805, and determined that the acquisition of MGP did not meet the definition of a business as substantially all the assets were concentrated in a group of similarly identifiable acquired assets, and did not include a substantive process in the form of an acquired workforce. Accordingly, the MGP Transactions were accounted for as an asset acquisition under ASC 805-50 and we determined the consideration transferred under the MGP Transactions was $11.6 billion, comprised of the following:</w:t>
      </w:r>
    </w:p>
    <w:tbl>
      <w:tblPr>
        <w:tblW w:w="10205" w:type="dxa"/>
        <w:jc w:val="left"/>
        <w:tblInd w:w="0" w:type="dxa"/>
        <w:tblLayout w:type="fixed"/>
        <w:tblCellMar>
          <w:top w:w="28" w:type="dxa"/>
          <w:left w:w="28" w:type="dxa"/>
          <w:bottom w:w="28" w:type="dxa"/>
          <w:right w:w="28" w:type="dxa"/>
        </w:tblCellMar>
      </w:tblPr>
      <w:tblGrid>
        <w:gridCol w:w="3051"/>
        <w:gridCol w:w="2674"/>
        <w:gridCol w:w="2706"/>
        <w:gridCol w:w="109"/>
        <w:gridCol w:w="109"/>
        <w:gridCol w:w="109"/>
        <w:gridCol w:w="211"/>
        <w:gridCol w:w="1081"/>
        <w:gridCol w:w="155"/>
      </w:tblGrid>
      <w:tr>
        <w:trPr/>
        <w:tc>
          <w:tcPr>
            <w:tcW w:w="3051" w:type="dxa"/>
            <w:tcBorders/>
            <w:vAlign w:val="center"/>
          </w:tcPr>
          <w:p>
            <w:pPr>
              <w:pStyle w:val="TableContents"/>
              <w:bidi w:val="0"/>
              <w:spacing w:before="0" w:after="283"/>
              <w:jc w:val="left"/>
              <w:rPr>
                <w:sz w:val="4"/>
                <w:szCs w:val="4"/>
              </w:rPr>
            </w:pPr>
            <w:r>
              <w:rPr>
                <w:sz w:val="4"/>
                <w:szCs w:val="4"/>
              </w:rPr>
            </w:r>
          </w:p>
        </w:tc>
        <w:tc>
          <w:tcPr>
            <w:tcW w:w="2674" w:type="dxa"/>
            <w:tcBorders/>
            <w:vAlign w:val="center"/>
          </w:tcPr>
          <w:p>
            <w:pPr>
              <w:pStyle w:val="TableContents"/>
              <w:bidi w:val="0"/>
              <w:spacing w:before="0" w:after="283"/>
              <w:jc w:val="left"/>
              <w:rPr>
                <w:sz w:val="4"/>
                <w:szCs w:val="4"/>
              </w:rPr>
            </w:pPr>
            <w:r>
              <w:rPr>
                <w:sz w:val="4"/>
                <w:szCs w:val="4"/>
              </w:rPr>
            </w:r>
          </w:p>
        </w:tc>
        <w:tc>
          <w:tcPr>
            <w:tcW w:w="2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84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r>
      <w:tr>
        <w:trPr/>
        <w:tc>
          <w:tcPr>
            <w:tcW w:w="84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REIT merger consideration </w:t>
            </w:r>
            <w:r>
              <w:rPr>
                <w:rFonts w:ascii="Times New Roman;sans-serif" w:hAnsi="Times New Roman;sans-serif"/>
                <w:b w:val="false"/>
                <w:i/>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6,568,480 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Redemption payment to MGM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4,404,000 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VICI OP Units retained by MGM </w:t>
            </w:r>
            <w:r>
              <w:rPr>
                <w:rFonts w:ascii="Times New Roman;sans-serif" w:hAnsi="Times New Roman;sans-serif"/>
                <w:b w:val="false"/>
                <w:i/>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374,769 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Repayment of MGP revolving credit facility </w:t>
            </w:r>
            <w:r>
              <w:rPr>
                <w:rFonts w:ascii="Times New Roman;sans-serif" w:hAnsi="Times New Roman;sans-serif"/>
                <w:b w:val="false"/>
                <w:i/>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Transactions costs </w:t>
            </w:r>
            <w:r>
              <w:rPr>
                <w:rFonts w:ascii="Times New Roman;sans-serif" w:hAnsi="Times New Roman;sans-serif"/>
                <w:b w:val="false"/>
                <w:i/>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119,741 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consideration transferred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11,556,990 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Assumption of MGP unsecured notes, at principal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4,200,000 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Assumption of our proportionate share of the MGM Grand/Mandalay Bay JV CMBS debt, at principal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1,503,000 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purchase price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17,259,990 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____________________</w:t>
      </w:r>
    </w:p>
    <w:p>
      <w:pPr>
        <w:pStyle w:val="TextBody"/>
        <w:bidi w:val="0"/>
        <w:spacing w:lineRule="auto" w:line="276"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(1) Amount represents the dollar value of 214,375,990 shares of VICI common stock, multiplied by the VICI stock price at the time of closing of $30.64 per share, which were issued in exchange for the MGP Class A common shares outstanding immediately prior to the MGP Transactions and certain of the MGP stock-based compensation awards, converted to shares of VICI common stock.</w:t>
      </w:r>
    </w:p>
    <w:p>
      <w:pPr>
        <w:pStyle w:val="TextBody"/>
        <w:bidi w:val="0"/>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(2) Amount represents 12,231,373 VICI OP Units retained by MGM as non-controlling interest in VICI OP, multiplied by the VICI stock price at the time of closing of $30.64 per share.</w:t>
      </w:r>
    </w:p>
    <w:p>
      <w:pPr>
        <w:pStyle w:val="TextBody"/>
        <w:bidi w:val="0"/>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 xml:space="preserve">(3) Represents the total amount outstanding under MGP’s revolving credit facility as of April 29, 2022. In connection with the MGP Transactions, such amount was repaid in full and the related credit agreement was terminated. </w:t>
      </w:r>
    </w:p>
    <w:p>
      <w:pPr>
        <w:pStyle w:val="TextBody"/>
        <w:bidi w:val="0"/>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(4) In accordance with ASC 805-50, all direct and incremental costs related to the MGP Transactions, primarily related to success-based fees and third-party advisory fees, were included in the consideration transferred.</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Under ASC 805-50, we allocated the purchase price by major categories of assets acquired and liabilities assumed using relative fair value. The following is a summary of the allocated relative fair values of the assets acquired and liabilities assumed in the MGP Transactions valued as of April 29, 2022:</w:t>
      </w:r>
    </w:p>
    <w:tbl>
      <w:tblPr>
        <w:tblW w:w="5943" w:type="dxa"/>
        <w:jc w:val="left"/>
        <w:tblInd w:w="0" w:type="dxa"/>
        <w:tblLayout w:type="fixed"/>
        <w:tblCellMar>
          <w:top w:w="28" w:type="dxa"/>
          <w:left w:w="28" w:type="dxa"/>
          <w:bottom w:w="28" w:type="dxa"/>
          <w:right w:w="28" w:type="dxa"/>
        </w:tblCellMar>
      </w:tblPr>
      <w:tblGrid>
        <w:gridCol w:w="1511"/>
        <w:gridCol w:w="1328"/>
        <w:gridCol w:w="1331"/>
        <w:gridCol w:w="109"/>
        <w:gridCol w:w="109"/>
        <w:gridCol w:w="109"/>
        <w:gridCol w:w="211"/>
        <w:gridCol w:w="1081"/>
        <w:gridCol w:w="154"/>
      </w:tblGrid>
      <w:tr>
        <w:trPr/>
        <w:tc>
          <w:tcPr>
            <w:tcW w:w="1511"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Investments in leases – financing receivables </w:t>
            </w:r>
            <w:r>
              <w:rPr>
                <w:rFonts w:ascii="Times New Roman;sans-serif" w:hAnsi="Times New Roman;sans-serif"/>
                <w:b w:val="false"/>
                <w:i/>
                <w:color w:val="000000"/>
                <w:sz w:val="13"/>
              </w:rPr>
              <w:t>(1)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14,245,868 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Investment in unconsolidated affiliate </w:t>
            </w:r>
            <w:r>
              <w:rPr>
                <w:rFonts w:ascii="Times New Roman;sans-serif" w:hAnsi="Times New Roman;sans-serif"/>
                <w:b w:val="false"/>
                <w:i/>
                <w:color w:val="000000"/>
                <w:sz w:val="13"/>
              </w:rPr>
              <w:t>(2)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1,465,814 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Cash and cash equivalents </w:t>
            </w:r>
            <w:r>
              <w:rPr>
                <w:rFonts w:ascii="Times New Roman;sans-serif" w:hAnsi="Times New Roman;sans-serif"/>
                <w:b w:val="false"/>
                <w:i/>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Other assets </w:t>
            </w:r>
            <w:r>
              <w:rPr>
                <w:rFonts w:ascii="Times New Roman;sans-serif" w:hAnsi="Times New Roman;sans-serif"/>
                <w:b w:val="false"/>
                <w:i/>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338,212 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Debt, net </w:t>
            </w:r>
            <w:r>
              <w:rPr>
                <w:rFonts w:ascii="Times New Roman;sans-serif" w:hAnsi="Times New Roman;sans-serif"/>
                <w:b w:val="false"/>
                <w:i/>
                <w:color w:val="000000"/>
                <w:sz w:val="13"/>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(4,106,082)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Accrued expenses and deferred revenue </w:t>
            </w:r>
            <w:r>
              <w:rPr>
                <w:rFonts w:ascii="Times New Roman;sans-serif" w:hAnsi="Times New Roman;sans-serif"/>
                <w:b w:val="false"/>
                <w:i/>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(79,482)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Other liabilities </w:t>
            </w:r>
            <w:r>
              <w:rPr>
                <w:rFonts w:ascii="Times New Roman;sans-serif" w:hAnsi="Times New Roman;sans-serif"/>
                <w:b w:val="false"/>
                <w:i/>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(332,727)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net assets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11,556,990 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____________________</w:t>
      </w:r>
    </w:p>
    <w:p>
      <w:pPr>
        <w:pStyle w:val="TextBody"/>
        <w:bidi w:val="0"/>
        <w:spacing w:lineRule="auto" w:line="288" w:before="0" w:after="0"/>
        <w:jc w:val="both"/>
        <w:rPr/>
      </w:pPr>
      <w:r>
        <w:rPr>
          <w:rFonts w:ascii="Times New Roman;sans-serif" w:hAnsi="Times New Roman;sans-serif"/>
          <w:b w:val="false"/>
          <w:i/>
          <w:color w:val="000000"/>
          <w:sz w:val="16"/>
        </w:rPr>
        <w:t xml:space="preserve">(1) We valued the real estate portfolio at relative fair value using rent multiples taking into consideration a variety of factors, including (i) asset quality and location, (ii) property and lease-level operating performance and (iii) supply and demand dynamics of each property’s respective market. The multiples used ranged from 15.0x </w:t>
      </w:r>
      <w:r>
        <w:rPr>
          <w:color w:val="000000"/>
        </w:rPr>
        <w:t xml:space="preserve">– </w:t>
      </w:r>
      <w:r>
        <w:rPr>
          <w:rFonts w:ascii="Times New Roman;sans-serif" w:hAnsi="Times New Roman;sans-serif"/>
          <w:b w:val="false"/>
          <w:i/>
          <w:color w:val="000000"/>
          <w:sz w:val="16"/>
        </w:rPr>
        <w:t xml:space="preserve">18.5x with a weighted average rent multiple of 16.7x, as determined using relative fair value. </w:t>
      </w:r>
    </w:p>
    <w:p>
      <w:pPr>
        <w:pStyle w:val="TextBody"/>
        <w:bidi w:val="0"/>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(2) The fair value of these assets is based on significant “unobservable” market inputs and, as such, these fair value measurements are considered Level 3 of the fair value hierarchy.</w:t>
      </w:r>
    </w:p>
    <w:p>
      <w:pPr>
        <w:pStyle w:val="TextBody"/>
        <w:bidi w:val="0"/>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(3) We value the Investment in unconsolidated affiliate at relative fair based on our percentage ownership of the net assets of the MGM Grand/Mandalay Bay JV.</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222885"/>
                <wp:effectExtent l="0" t="0" r="0" b="0"/>
                <wp:wrapNone/>
                <wp:docPr id="102" name="Frame10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 - 30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 - 30</w:t>
                      </w:r>
                    </w:p>
                  </w:txbxContent>
                </v:textbox>
                <w10:wrap type="none"/>
              </v:rect>
            </w:pict>
          </mc:Fallback>
        </mc:AlternateContent>
      </w:r>
    </w:p>
    <w:p>
      <w:pPr>
        <w:pStyle w:val="TextBody"/>
        <w:bidi w:val="0"/>
        <w:spacing w:lineRule="auto" w:line="288" w:before="60" w:after="283"/>
        <w:jc w:val="both"/>
        <w:rPr/>
      </w:pPr>
      <w:hyperlink w:anchor="ib2fc48f0ddf244d9844b8de22bde2e36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(4) Amounts represent their current carrying value which is equal to fair value. The Other assets and Other liabilities amounts include the gross presentation of certain MGP ground leases which we assumed in connection with the MGP Transactions.</w:t>
      </w:r>
    </w:p>
    <w:p>
      <w:pPr>
        <w:pStyle w:val="TextBody"/>
        <w:bidi w:val="0"/>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(5) Amount represents the fair value of debt as of April 29, 2022, which was estimated as a $93.9 million discount to the notional value. The fair value of our debt instruments was estimated using quoted prices for identical or similar liabilities in markets that are not active and, as such, these fair value measurements are considered Level 2 of the fair value hierarchy.</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Concurrent with the closing of the MGP Transactions and entry into the MGM Master Lease, we assessed the lease classification of the MGM Master Lease and determined that it met the definition of a sales-type lease. Further, since MGM controlled and consolidated MGP prior to the MGP Transactions, the lease was assessed under the sale-leaseback guidance and determined to be a failed sale-leaseback under which the lease is accounted for as a financing receivable under ASC 310.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relation to the MGM Grand/Mandalay Bay JV, we determined that such investment should be accounted for as an equity method investment and, accordingly, recorded the relative fair value as an Investment in unconsolidated affiliate on our Balance Sheets. The requirement to record our investment in the MGM Grand/Mandalay Bay JV at relative fair value under ASC 805 resulted in a difference in our acquired basis from that of the underlying records, or historical cost basis, of the MGM Grand/Mandalay Bay JV. Accordingly, we compared our proportionate share of the historical cost basis of the MGM Grand/Mandalay Bay JV as of April 29, 2022 to our proportionate share of the relative fair value, the difference of which was amortized through Income from unconsolidated affiliate over the life of the related asset or liability. On January 9, 2023, we acquired the remaining 49.9% interest in the MGM Grand/Mandalay Bay JV from BREIT and consolidated the operations of the joint venture. Refer to “MGM Grand/Mandalay Bay JV Interest Acquisition” above for further details.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4"/>
        </w:rPr>
      </w:pPr>
      <w:r>
        <w:rPr>
          <w:rFonts w:ascii="Times New Roman;sans-serif" w:hAnsi="Times New Roman;sans-serif"/>
          <w:b/>
          <w:color w:val="000000"/>
          <w:sz w:val="24"/>
        </w:rPr>
        <w:t xml:space="preserve">Note 4 — Real Estate Portfolio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our real estate portfolio consisted of the following:</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Investments in leases - sales-type, representing our investment in 26 casino assets leased on a triple-net basis to our tenants under ten separate lease agreements;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Investments in leases - financing receivables, representing our investment in 28 casino assets and 39 other experiential properties leased on a triple-net basis to our tenants under ten separate lease agreements;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Investments in loans and securities, representing our fourteen debt investments in senior secured and mezzanine loans, preferred equity and senior secured notes;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Land, representing our investment in certain underdeveloped or undeveloped land adjacent to the Las Vegas strip and non-operating, vacant land parcels.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the balances of our real estate portfolio as of December 31, 2023 and 2022:</w:t>
      </w:r>
    </w:p>
    <w:tbl>
      <w:tblPr>
        <w:tblW w:w="7736" w:type="dxa"/>
        <w:jc w:val="left"/>
        <w:tblInd w:w="0" w:type="dxa"/>
        <w:tblLayout w:type="fixed"/>
        <w:tblCellMar>
          <w:top w:w="28" w:type="dxa"/>
          <w:left w:w="28" w:type="dxa"/>
          <w:bottom w:w="28" w:type="dxa"/>
          <w:right w:w="28" w:type="dxa"/>
        </w:tblCellMar>
      </w:tblPr>
      <w:tblGrid>
        <w:gridCol w:w="1549"/>
        <w:gridCol w:w="1361"/>
        <w:gridCol w:w="1365"/>
        <w:gridCol w:w="232"/>
        <w:gridCol w:w="1192"/>
        <w:gridCol w:w="120"/>
        <w:gridCol w:w="109"/>
        <w:gridCol w:w="109"/>
        <w:gridCol w:w="109"/>
        <w:gridCol w:w="232"/>
        <w:gridCol w:w="1189"/>
        <w:gridCol w:w="169"/>
      </w:tblGrid>
      <w:tr>
        <w:trPr/>
        <w:tc>
          <w:tcPr>
            <w:tcW w:w="1549"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w:t>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4275"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4275"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4275"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4275"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4275"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4275"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Investments in leases - sales-type, net </w:t>
            </w:r>
            <w:r>
              <w:rPr>
                <w:rFonts w:ascii="Times New Roman;sans-serif" w:hAnsi="Times New Roman;sans-serif"/>
                <w:b w:val="false"/>
                <w:i/>
                <w:color w:val="000000"/>
                <w:sz w:val="13"/>
              </w:rPr>
              <w:t>(1)</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23,015,931 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17,172,325 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Investments in leases - financing receivables, net </w:t>
            </w:r>
            <w:r>
              <w:rPr>
                <w:rFonts w:ascii="Times New Roman;sans-serif" w:hAnsi="Times New Roman;sans-serif"/>
                <w:b w:val="false"/>
                <w:i/>
                <w:color w:val="000000"/>
                <w:sz w:val="13"/>
              </w:rPr>
              <w:t>(1)</w:t>
            </w:r>
          </w:p>
        </w:tc>
        <w:tc>
          <w:tcPr>
            <w:tcW w:w="1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18,211,102 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16,740,770 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investments in leases, net</w:t>
            </w:r>
          </w:p>
        </w:tc>
        <w:tc>
          <w:tcPr>
            <w:tcW w:w="14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41,227,033 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33,913,095 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loans and securities, net</w:t>
            </w:r>
          </w:p>
        </w:tc>
        <w:tc>
          <w:tcPr>
            <w:tcW w:w="1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1,144,177 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685,793 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Investment in unconsolidated affiliate </w:t>
            </w:r>
            <w:r>
              <w:rPr>
                <w:rFonts w:ascii="Times New Roman;sans-serif" w:hAnsi="Times New Roman;sans-serif"/>
                <w:b w:val="false"/>
                <w:i/>
                <w:color w:val="000000"/>
                <w:sz w:val="13"/>
              </w:rPr>
              <w:t>(2)</w:t>
            </w:r>
          </w:p>
        </w:tc>
        <w:tc>
          <w:tcPr>
            <w:tcW w:w="1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1,460,775 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w:t>
            </w:r>
          </w:p>
        </w:tc>
        <w:tc>
          <w:tcPr>
            <w:tcW w:w="1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150,727 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153,560 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real estate portfolio</w:t>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42,521,937 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36,213,223 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w:t>
      </w:r>
    </w:p>
    <w:p>
      <w:pPr>
        <w:pStyle w:val="TextBody"/>
        <w:bidi w:val="0"/>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 xml:space="preserve">(1) At lease inception (or upon modification), we determine the estimated residual values of the leased property (not guaranteed) under the respective lease agreements, which has a material impact on the determination of the rate implicit in the lease and the lease classification. As of December 31, 2023 and 2022, the estimated residual values of the leased properties under our lease agreements were $15.9 billion and $11.5 billion, respectively. </w:t>
      </w:r>
    </w:p>
    <w:p>
      <w:pPr>
        <w:pStyle w:val="TextBody"/>
        <w:bidi w:val="0"/>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(2) Represents our 50.1% investment in the MGM Grand/Mandalay Bay JV prior to the MGM Grand/Mandalay Bay JV Interest Acquisition on January 9, 2023, which was accounted for as an equity method investment.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14605" cy="14605"/>
                <wp:effectExtent l="0" t="0" r="0" b="0"/>
                <wp:wrapNone/>
                <wp:docPr id="103" name="Frame101"/>
                <a:graphic xmlns:a="http://schemas.openxmlformats.org/drawingml/2006/main">
                  <a:graphicData uri="http://schemas.microsoft.com/office/word/2010/wordprocessingShape">
                    <wps:wsp>
                      <wps:cNvSpPr txBox="1"/>
                      <wps:spPr>
                        <a:xfrm>
                          <a:off x="0" y="0"/>
                          <a:ext cx="14605" cy="1460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 - 31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 - 31</w:t>
                      </w:r>
                    </w:p>
                  </w:txbxContent>
                </v:textbox>
                <w10:wrap type="none"/>
              </v:rect>
            </w:pict>
          </mc:Fallback>
        </mc:AlternateContent>
      </w:r>
    </w:p>
    <w:p>
      <w:pPr>
        <w:pStyle w:val="TextBody"/>
        <w:bidi w:val="0"/>
        <w:spacing w:lineRule="auto" w:line="288" w:before="60" w:after="283"/>
        <w:jc w:val="both"/>
        <w:rPr/>
      </w:pPr>
      <w:hyperlink w:anchor="ib2fc48f0ddf244d9844b8de22bde2e36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Investments in Leases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details the components of our income from sales-type leases and lease financing receivables:</w:t>
      </w:r>
    </w:p>
    <w:tbl>
      <w:tblPr>
        <w:tblW w:w="9567" w:type="dxa"/>
        <w:jc w:val="center"/>
        <w:tblInd w:w="0" w:type="dxa"/>
        <w:tblLayout w:type="fixed"/>
        <w:tblCellMar>
          <w:top w:w="28" w:type="dxa"/>
          <w:left w:w="28" w:type="dxa"/>
          <w:bottom w:w="28" w:type="dxa"/>
          <w:right w:w="28" w:type="dxa"/>
        </w:tblCellMar>
      </w:tblPr>
      <w:tblGrid>
        <w:gridCol w:w="1805"/>
        <w:gridCol w:w="1585"/>
        <w:gridCol w:w="1590"/>
        <w:gridCol w:w="211"/>
        <w:gridCol w:w="976"/>
        <w:gridCol w:w="109"/>
        <w:gridCol w:w="109"/>
        <w:gridCol w:w="109"/>
        <w:gridCol w:w="109"/>
        <w:gridCol w:w="211"/>
        <w:gridCol w:w="976"/>
        <w:gridCol w:w="109"/>
        <w:gridCol w:w="109"/>
        <w:gridCol w:w="109"/>
        <w:gridCol w:w="109"/>
        <w:gridCol w:w="211"/>
        <w:gridCol w:w="976"/>
        <w:gridCol w:w="154"/>
      </w:tblGrid>
      <w:tr>
        <w:trPr/>
        <w:tc>
          <w:tcPr>
            <w:tcW w:w="1805"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c>
          <w:tcPr>
            <w:tcW w:w="15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sales-type leases - fixed rent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1,892,534 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1,436,945 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1,161,655 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Income from sales-type leases - contingent rent </w:t>
            </w:r>
            <w:r>
              <w:rPr>
                <w:rFonts w:ascii="Times New Roman;sans-serif" w:hAnsi="Times New Roman;sans-serif"/>
                <w:b w:val="false"/>
                <w:i/>
                <w:color w:val="000000"/>
                <w:sz w:val="13"/>
              </w:rPr>
              <w:t>(1)</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lease financing receivables - fixed rent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1,430,246 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995,383 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243,008 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Income from lease financing receivables - contingent rent </w:t>
            </w:r>
            <w:r>
              <w:rPr>
                <w:rFonts w:ascii="Times New Roman;sans-serif" w:hAnsi="Times New Roman;sans-serif"/>
                <w:b w:val="false"/>
                <w:i/>
                <w:color w:val="000000"/>
                <w:sz w:val="13"/>
              </w:rPr>
              <w:t>(1)</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revenue</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3,420,933 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2,461,301 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1,410,980 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Non-cash adjustment </w:t>
            </w:r>
            <w:r>
              <w:rPr>
                <w:rFonts w:ascii="Times New Roman;sans-serif" w:hAnsi="Times New Roman;sans-serif"/>
                <w:b w:val="false"/>
                <w:i/>
                <w:color w:val="000000"/>
                <w:sz w:val="13"/>
              </w:rPr>
              <w:t>(2)</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(515,556)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(337,631)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(119,790)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contractual lease revenue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2,905,377 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2,123,670 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1,291,190 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w:t>
      </w:r>
    </w:p>
    <w:p>
      <w:pPr>
        <w:pStyle w:val="TextBody"/>
        <w:bidi w:val="0"/>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(1) At lease inception (or upon modification), we determine the minimum lease payments under ASC 842, which exclude amounts determined to be contingent rent. Contingent rent is generally amounts in excess of specified floors or the variable rent portion of our leases. The minimum lease payments are recognized on an effective interest basis at a constant rate of return over the life of the lease and the contingent rent portion of the lease payments are recognized as earned, both in accordance with ASC 842.</w:t>
      </w:r>
    </w:p>
    <w:p>
      <w:pPr>
        <w:pStyle w:val="TextBody"/>
        <w:bidi w:val="0"/>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 xml:space="preserve">(2) Amounts represent the non-cash adjustment to the minimum lease payments from sales-type leases and lease financing receivables in order to recognize income on an effective interest basis at a constant rate of return over the term of the leases. </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 December 31, 2023, minimum lease payments owed to us for each of the five succeeding years and thereafter under sales-type leases and our leases accounted for as financing receivables, are as follows:</w:t>
      </w:r>
    </w:p>
    <w:tbl>
      <w:tblPr>
        <w:tblW w:w="8912" w:type="dxa"/>
        <w:jc w:val="left"/>
        <w:tblInd w:w="0" w:type="dxa"/>
        <w:tblLayout w:type="fixed"/>
        <w:tblCellMar>
          <w:top w:w="28" w:type="dxa"/>
          <w:left w:w="28" w:type="dxa"/>
          <w:bottom w:w="28" w:type="dxa"/>
          <w:right w:w="28" w:type="dxa"/>
        </w:tblCellMar>
      </w:tblPr>
      <w:tblGrid>
        <w:gridCol w:w="1076"/>
        <w:gridCol w:w="946"/>
        <w:gridCol w:w="948"/>
        <w:gridCol w:w="109"/>
        <w:gridCol w:w="109"/>
        <w:gridCol w:w="109"/>
        <w:gridCol w:w="211"/>
        <w:gridCol w:w="1081"/>
        <w:gridCol w:w="109"/>
        <w:gridCol w:w="109"/>
        <w:gridCol w:w="109"/>
        <w:gridCol w:w="109"/>
        <w:gridCol w:w="302"/>
        <w:gridCol w:w="1551"/>
        <w:gridCol w:w="156"/>
        <w:gridCol w:w="109"/>
        <w:gridCol w:w="109"/>
        <w:gridCol w:w="109"/>
        <w:gridCol w:w="211"/>
        <w:gridCol w:w="1186"/>
        <w:gridCol w:w="154"/>
      </w:tblGrid>
      <w:tr>
        <w:trPr/>
        <w:tc>
          <w:tcPr>
            <w:tcW w:w="107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55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5" w:type="dxa"/>
            <w:gridSpan w:val="15"/>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 xml:space="preserve">Minimum Lease Payments </w:t>
            </w:r>
            <w:r>
              <w:rPr>
                <w:rFonts w:ascii="Times New Roman;sans-serif" w:hAnsi="Times New Roman;sans-serif"/>
                <w:b/>
                <w:i/>
                <w:color w:val="000000"/>
                <w:sz w:val="13"/>
              </w:rPr>
              <w:t>(1) (2)</w:t>
            </w:r>
          </w:p>
        </w:tc>
      </w:tr>
      <w:tr>
        <w:trPr/>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Investments in Leases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Sales-Type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Financing Receivables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cMar>
              <w:top w:w="0" w:type="dxa"/>
              <w:left w:w="0" w:type="dxa"/>
              <w:bottom w:w="0" w:type="dxa"/>
              <w:right w:w="0" w:type="dxa"/>
            </w:tcMar>
            <w:vAlign w:val="center"/>
          </w:tcPr>
          <w:p>
            <w:pPr>
              <w:pStyle w:val="TableContents"/>
              <w:bidi w:val="0"/>
              <w:spacing w:lineRule="auto" w:line="240" w:before="60" w:after="283"/>
              <w:jc w:val="center"/>
              <w:rPr>
                <w:rFonts w:ascii="Times New Roman;sans-serif" w:hAnsi="Times New Roman;sans-serif"/>
                <w:b/>
                <w:color w:val="000000"/>
                <w:sz w:val="18"/>
              </w:rPr>
            </w:pPr>
            <w:r>
              <w:rPr>
                <w:rFonts w:ascii="Times New Roman;sans-serif" w:hAnsi="Times New Roman;sans-serif"/>
                <w:b/>
                <w:color w:val="000000"/>
                <w:sz w:val="18"/>
              </w:rPr>
              <w:t xml:space="preserve">Total </w:t>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1,682,826 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1,233,178 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2,916,004 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1,712,651 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1,255,549 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2,968,200 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1,738,942 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1,278,819 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3,017,761 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1,766,012 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1,302,657 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3,068,669 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1,794,287 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1,327,211 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3,121,498 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77,503,679 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89,787,503 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167,291,182 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86,198,397 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96,184,917 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182,383,314 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 xml:space="preserve">Weighted Average Lease Term </w:t>
            </w:r>
            <w:r>
              <w:rPr>
                <w:rFonts w:ascii="Times New Roman;sans-serif" w:hAnsi="Times New Roman;sans-serif"/>
                <w:b/>
                <w:i/>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 years</w:t>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w:t>
      </w:r>
    </w:p>
    <w:p>
      <w:pPr>
        <w:pStyle w:val="TextBody"/>
        <w:bidi w:val="0"/>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(1) Minimum lease payments do not include contingent rent, as discussed below, that may be received under our lease agreements.</w:t>
      </w:r>
    </w:p>
    <w:p>
      <w:pPr>
        <w:pStyle w:val="TextBody"/>
        <w:bidi w:val="0"/>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 xml:space="preserve">(2) The minimum lease payments and weighted average remaining lease term includes the non-cancelable lease term and any tenant renewal options that we determined were reasonably assured, consistent with our conclusions under ASC 842 and ASC 310.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222885"/>
                <wp:effectExtent l="0" t="0" r="0" b="0"/>
                <wp:wrapNone/>
                <wp:docPr id="104" name="Frame10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 - 32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 - 32</w:t>
                      </w:r>
                    </w:p>
                  </w:txbxContent>
                </v:textbox>
                <w10:wrap type="none"/>
              </v:rect>
            </w:pict>
          </mc:Fallback>
        </mc:AlternateContent>
      </w:r>
    </w:p>
    <w:p>
      <w:pPr>
        <w:pStyle w:val="TextBody"/>
        <w:bidi w:val="0"/>
        <w:spacing w:lineRule="auto" w:line="288" w:before="60" w:after="283"/>
        <w:jc w:val="both"/>
        <w:rPr/>
      </w:pPr>
      <w:hyperlink w:anchor="ib2fc48f0ddf244d9844b8de22bde2e36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Lease Provisions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we owned 93 assets leased under 20 separate lease agreements with our tenants, certain of which are master lease agreements governing multiple properties and certain of which are for single assets. Our lease agreements are generally long-term in nature with initial terms ranging from 15 to 32 years and are structured with several tenant renewal options extending the term of the lease for another 5 to 30 years. All of our lease agreements provide for annual base rent escalations, which may be fixed or variable over the life of the lease. The rent escalation provisions range from providing for a flat annual increase of 1% to 2% to an annual increase of 1% in the earlier years and the greater of 2% or CPI in the later years, which may be subject to a maximum CPI-based cap with respect to each annual rent increase. Additionally, certain of our lease agreements provide for a variable rent component in which a portion of the annual rent, generally 20%, are subject to adjustment based on the revenues of the underlying asset in specified periods.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the material lease provisions of our leases with Caesars and MGM, our two most significant tenants:</w:t>
      </w:r>
    </w:p>
    <w:tbl>
      <w:tblPr>
        <w:tblW w:w="10205" w:type="dxa"/>
        <w:jc w:val="left"/>
        <w:tblInd w:w="0" w:type="dxa"/>
        <w:tblLayout w:type="fixed"/>
        <w:tblCellMar>
          <w:top w:w="28" w:type="dxa"/>
          <w:left w:w="28" w:type="dxa"/>
          <w:bottom w:w="28" w:type="dxa"/>
          <w:right w:w="28" w:type="dxa"/>
        </w:tblCellMar>
      </w:tblPr>
      <w:tblGrid>
        <w:gridCol w:w="653"/>
        <w:gridCol w:w="433"/>
        <w:gridCol w:w="435"/>
        <w:gridCol w:w="109"/>
        <w:gridCol w:w="109"/>
        <w:gridCol w:w="109"/>
        <w:gridCol w:w="774"/>
        <w:gridCol w:w="591"/>
        <w:gridCol w:w="595"/>
        <w:gridCol w:w="109"/>
        <w:gridCol w:w="109"/>
        <w:gridCol w:w="109"/>
        <w:gridCol w:w="620"/>
        <w:gridCol w:w="540"/>
        <w:gridCol w:w="542"/>
        <w:gridCol w:w="109"/>
        <w:gridCol w:w="109"/>
        <w:gridCol w:w="109"/>
        <w:gridCol w:w="654"/>
        <w:gridCol w:w="528"/>
        <w:gridCol w:w="530"/>
        <w:gridCol w:w="109"/>
        <w:gridCol w:w="109"/>
        <w:gridCol w:w="109"/>
        <w:gridCol w:w="582"/>
        <w:gridCol w:w="582"/>
        <w:gridCol w:w="838"/>
      </w:tblGrid>
      <w:tr>
        <w:trPr/>
        <w:tc>
          <w:tcPr>
            <w:tcW w:w="65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r>
      <w:tr>
        <w:trPr/>
        <w:tc>
          <w:tcPr>
            <w:tcW w:w="15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MGM Master Lease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Caesars Regional Master Lease and Joliet Lease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Caesars Las Vegas </w:t>
              <w:br/>
              <w:t>Master Lease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MGM Grand/Mandalay Bay Lease</w:t>
            </w:r>
          </w:p>
        </w:tc>
      </w:tr>
      <w:tr>
        <w:trPr/>
        <w:tc>
          <w:tcPr>
            <w:tcW w:w="15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Lease Provision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5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Initial term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25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18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18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30 years</w:t>
            </w:r>
          </w:p>
        </w:tc>
      </w:tr>
      <w:tr>
        <w:trPr/>
        <w:tc>
          <w:tcPr>
            <w:tcW w:w="15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Initial term maturity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4/30/2047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7/31/2035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7/31/2035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2/28/2050</w:t>
            </w:r>
          </w:p>
        </w:tc>
      </w:tr>
      <w:tr>
        <w:trPr/>
        <w:tc>
          <w:tcPr>
            <w:tcW w:w="15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Renewal terms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Three, 10-year terms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Four, 5-year terms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Four, 5-year terms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Two, 10-year terms</w:t>
            </w:r>
          </w:p>
        </w:tc>
      </w:tr>
      <w:tr>
        <w:trPr/>
        <w:tc>
          <w:tcPr>
            <w:tcW w:w="15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lease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5/1/23-4/30/24 (Lease Year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11/1/23 - 10/31/24 (Lease Year 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11/1/23 - 10/31/24 (Lease Year 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3/1/23 - 2/29/24 (Lease Year 4)</w:t>
            </w:r>
          </w:p>
        </w:tc>
      </w:tr>
      <w:tr>
        <w:trPr/>
        <w:tc>
          <w:tcPr>
            <w:tcW w:w="15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annual 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$744,600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$728,407 </w:t>
            </w:r>
            <w:r>
              <w:rPr>
                <w:rFonts w:ascii="Times New Roman;sans-serif" w:hAnsi="Times New Roman;sans-serif"/>
                <w:b w:val="false"/>
                <w:i/>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$469,219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$309,873 </w:t>
            </w:r>
          </w:p>
        </w:tc>
      </w:tr>
      <w:tr>
        <w:trPr/>
        <w:tc>
          <w:tcPr>
            <w:tcW w:w="15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Annual escalator </w:t>
            </w:r>
            <w:r>
              <w:rPr>
                <w:rFonts w:ascii="Times New Roman;sans-serif" w:hAnsi="Times New Roman;sans-serif"/>
                <w:b w:val="false"/>
                <w:i/>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Lease years 2-10 -</w:t>
            </w:r>
            <w:r>
              <w:rPr>
                <w:color w:val="000000"/>
              </w:rPr>
              <w:t xml:space="preserve"> </w:t>
            </w:r>
            <w:r>
              <w:rPr>
                <w:rFonts w:ascii="Times New Roman;sans-serif" w:hAnsi="Times New Roman;sans-serif"/>
                <w:b w:val="false"/>
                <w:color w:val="000000"/>
                <w:sz w:val="20"/>
              </w:rPr>
              <w:t>2%</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Lease years 11-end of term - &gt;2% / change in CPI (capped at 3%)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Lease years 2-5 - 1.5%</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Lease years 6-end of term - &gt;2.0% / change in CPI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&gt; 2% / change in CPI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Lease years 2-15 -</w:t>
            </w:r>
            <w:r>
              <w:rPr>
                <w:color w:val="000000"/>
              </w:rPr>
              <w:t xml:space="preserve"> </w:t>
            </w:r>
            <w:r>
              <w:rPr>
                <w:rFonts w:ascii="Times New Roman;sans-serif" w:hAnsi="Times New Roman;sans-serif"/>
                <w:b w:val="false"/>
                <w:color w:val="000000"/>
                <w:sz w:val="20"/>
              </w:rPr>
              <w:t>2%</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Lease years 16-end of term - &gt;2% / change in CPI (capped at 3%)</w:t>
            </w:r>
          </w:p>
        </w:tc>
      </w:tr>
      <w:tr>
        <w:trPr/>
        <w:tc>
          <w:tcPr>
            <w:tcW w:w="15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Variable rent adjustment </w:t>
            </w:r>
            <w:r>
              <w:rPr>
                <w:rFonts w:ascii="Times New Roman;sans-serif" w:hAnsi="Times New Roman;sans-serif"/>
                <w:b w:val="false"/>
                <w:i/>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Year 8</w:t>
            </w:r>
            <w:r>
              <w:rPr>
                <w:rFonts w:ascii="Times New Roman;sans-serif" w:hAnsi="Times New Roman;sans-serif"/>
                <w:b w:val="false"/>
                <w:color w:val="000000"/>
                <w:sz w:val="20"/>
              </w:rPr>
              <w:t>: 70% base rent / 30% variable rent</w:t>
            </w:r>
          </w:p>
          <w:p>
            <w:pPr>
              <w:pStyle w:val="TableContents"/>
              <w:bidi w:val="0"/>
              <w:spacing w:lineRule="auto" w:line="240" w:before="0" w:after="0"/>
              <w:jc w:val="left"/>
              <w:rPr/>
            </w:pPr>
            <w:r>
              <w:rPr>
                <w:rFonts w:ascii="Times New Roman;sans-serif" w:hAnsi="Times New Roman;sans-serif"/>
                <w:b/>
                <w:color w:val="000000"/>
                <w:sz w:val="20"/>
              </w:rPr>
              <w:t>Years 11 &amp; 16</w:t>
            </w:r>
            <w:r>
              <w:rPr>
                <w:rFonts w:ascii="Times New Roman;sans-serif" w:hAnsi="Times New Roman;sans-serif"/>
                <w:b w:val="false"/>
                <w:color w:val="000000"/>
                <w:sz w:val="20"/>
              </w:rPr>
              <w:t>: 80% base rent / 20% variable 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Years 8, 11 &amp; 16</w:t>
            </w:r>
            <w:r>
              <w:rPr>
                <w:rFonts w:ascii="Times New Roman;sans-serif" w:hAnsi="Times New Roman;sans-serif"/>
                <w:b w:val="false"/>
                <w:color w:val="000000"/>
                <w:sz w:val="20"/>
              </w:rPr>
              <w:t>: 80% base rent / 20% variable 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tc>
      </w:tr>
      <w:tr>
        <w:trPr/>
        <w:tc>
          <w:tcPr>
            <w:tcW w:w="15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rent adjustment calculation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4% of revenue increase/decrease:</w:t>
            </w:r>
          </w:p>
          <w:p>
            <w:pPr>
              <w:pStyle w:val="TableContents"/>
              <w:bidi w:val="0"/>
              <w:spacing w:lineRule="auto" w:line="240" w:before="0" w:after="0"/>
              <w:jc w:val="left"/>
              <w:rPr/>
            </w:pPr>
            <w:r>
              <w:rPr>
                <w:rFonts w:ascii="Times New Roman;sans-serif" w:hAnsi="Times New Roman;sans-serif"/>
                <w:b/>
                <w:color w:val="000000"/>
                <w:sz w:val="20"/>
              </w:rPr>
              <w:t>Year 8</w:t>
            </w:r>
            <w:r>
              <w:rPr>
                <w:rFonts w:ascii="Times New Roman;sans-serif" w:hAnsi="Times New Roman;sans-serif"/>
                <w:b w:val="false"/>
                <w:color w:val="000000"/>
                <w:sz w:val="20"/>
              </w:rPr>
              <w:t>: Avg. of years 5-7 less avg. of years 0-2</w:t>
            </w:r>
          </w:p>
          <w:p>
            <w:pPr>
              <w:pStyle w:val="TableContents"/>
              <w:bidi w:val="0"/>
              <w:spacing w:lineRule="auto" w:line="240" w:before="0" w:after="0"/>
              <w:jc w:val="left"/>
              <w:rPr/>
            </w:pPr>
            <w:r>
              <w:rPr>
                <w:rFonts w:ascii="Times New Roman;sans-serif" w:hAnsi="Times New Roman;sans-serif"/>
                <w:b/>
                <w:color w:val="000000"/>
                <w:sz w:val="20"/>
              </w:rPr>
              <w:t>Year 11</w:t>
            </w:r>
            <w:r>
              <w:rPr>
                <w:rFonts w:ascii="Times New Roman;sans-serif" w:hAnsi="Times New Roman;sans-serif"/>
                <w:b w:val="false"/>
                <w:color w:val="000000"/>
                <w:sz w:val="20"/>
              </w:rPr>
              <w:t>: Avg. of years 8-10 less avg. of years 5-7</w:t>
            </w:r>
          </w:p>
          <w:p>
            <w:pPr>
              <w:pStyle w:val="TableContents"/>
              <w:bidi w:val="0"/>
              <w:spacing w:lineRule="auto" w:line="240" w:before="0" w:after="0"/>
              <w:jc w:val="left"/>
              <w:rPr/>
            </w:pPr>
            <w:r>
              <w:rPr>
                <w:rFonts w:ascii="Times New Roman;sans-serif" w:hAnsi="Times New Roman;sans-serif"/>
                <w:b/>
                <w:color w:val="000000"/>
                <w:sz w:val="20"/>
              </w:rPr>
              <w:t>Year 16</w:t>
            </w:r>
            <w:r>
              <w:rPr>
                <w:rFonts w:ascii="Times New Roman;sans-serif" w:hAnsi="Times New Roman;sans-serif"/>
                <w:b w:val="false"/>
                <w:color w:val="000000"/>
                <w:sz w:val="20"/>
              </w:rPr>
              <w:t>: Avg. of years 13-15 less avg. of years 8-10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4% of revenue increase/decrease:</w:t>
            </w:r>
          </w:p>
          <w:p>
            <w:pPr>
              <w:pStyle w:val="TableContents"/>
              <w:bidi w:val="0"/>
              <w:spacing w:lineRule="auto" w:line="240" w:before="0" w:after="0"/>
              <w:jc w:val="left"/>
              <w:rPr/>
            </w:pPr>
            <w:r>
              <w:rPr>
                <w:rFonts w:ascii="Times New Roman;sans-serif" w:hAnsi="Times New Roman;sans-serif"/>
                <w:b/>
                <w:color w:val="000000"/>
                <w:sz w:val="20"/>
              </w:rPr>
              <w:t>Year 8</w:t>
            </w:r>
            <w:r>
              <w:rPr>
                <w:rFonts w:ascii="Times New Roman;sans-serif" w:hAnsi="Times New Roman;sans-serif"/>
                <w:b w:val="false"/>
                <w:color w:val="000000"/>
                <w:sz w:val="20"/>
              </w:rPr>
              <w:t>: Avg. of years 5-7 less avg. of years 0-2</w:t>
            </w:r>
          </w:p>
          <w:p>
            <w:pPr>
              <w:pStyle w:val="TableContents"/>
              <w:bidi w:val="0"/>
              <w:spacing w:lineRule="auto" w:line="240" w:before="0" w:after="0"/>
              <w:jc w:val="left"/>
              <w:rPr/>
            </w:pPr>
            <w:r>
              <w:rPr>
                <w:rFonts w:ascii="Times New Roman;sans-serif" w:hAnsi="Times New Roman;sans-serif"/>
                <w:b/>
                <w:color w:val="000000"/>
                <w:sz w:val="20"/>
              </w:rPr>
              <w:t>Year 11</w:t>
            </w:r>
            <w:r>
              <w:rPr>
                <w:rFonts w:ascii="Times New Roman;sans-serif" w:hAnsi="Times New Roman;sans-serif"/>
                <w:b w:val="false"/>
                <w:color w:val="000000"/>
                <w:sz w:val="20"/>
              </w:rPr>
              <w:t>: Avg. of years 8-10 less avg. of years 5-7</w:t>
            </w:r>
          </w:p>
          <w:p>
            <w:pPr>
              <w:pStyle w:val="TableContents"/>
              <w:bidi w:val="0"/>
              <w:spacing w:lineRule="auto" w:line="240" w:before="0" w:after="0"/>
              <w:jc w:val="left"/>
              <w:rPr/>
            </w:pPr>
            <w:r>
              <w:rPr>
                <w:rFonts w:ascii="Times New Roman;sans-serif" w:hAnsi="Times New Roman;sans-serif"/>
                <w:b/>
                <w:color w:val="000000"/>
                <w:sz w:val="20"/>
              </w:rPr>
              <w:t>Year 16</w:t>
            </w:r>
            <w:r>
              <w:rPr>
                <w:rFonts w:ascii="Times New Roman;sans-serif" w:hAnsi="Times New Roman;sans-serif"/>
                <w:b w:val="false"/>
                <w:color w:val="000000"/>
                <w:sz w:val="20"/>
              </w:rPr>
              <w:t>: Avg. of years 13-15 less avg. of years 8-10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____________________</w:t>
      </w:r>
    </w:p>
    <w:p>
      <w:pPr>
        <w:pStyle w:val="TextBody"/>
        <w:bidi w:val="0"/>
        <w:spacing w:lineRule="auto" w:line="256"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 xml:space="preserve">(1) Current annual rent with respect to the Joliet Lease is presented prior to accounting for the non-controlling interest, or rent payable, to the 20% third-party ownership of Harrah’s Joliet LandCo LLC. After adjusting for the 20% non-controlling interest, combined current annual rent under the Caesars Regional Master Lease and Joliet Lease is $719.0 million. </w:t>
      </w:r>
    </w:p>
    <w:p>
      <w:pPr>
        <w:pStyle w:val="TextBody"/>
        <w:bidi w:val="0"/>
        <w:spacing w:lineRule="auto" w:line="256"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(2) Any amounts representing rents in excess of the CPI floors specified above are considered contingent rent in accordance with GAAP.</w:t>
      </w:r>
    </w:p>
    <w:p>
      <w:pPr>
        <w:pStyle w:val="TextBody"/>
        <w:bidi w:val="0"/>
        <w:spacing w:lineRule="auto" w:line="256"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(3) Variable rent is not subject to the escalator.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222885"/>
                <wp:effectExtent l="0" t="0" r="0" b="0"/>
                <wp:wrapNone/>
                <wp:docPr id="105" name="Frame10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 - 33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 - 33</w:t>
                      </w:r>
                    </w:p>
                  </w:txbxContent>
                </v:textbox>
                <w10:wrap type="none"/>
              </v:rect>
            </w:pict>
          </mc:Fallback>
        </mc:AlternateContent>
      </w:r>
    </w:p>
    <w:p>
      <w:pPr>
        <w:pStyle w:val="TextBody"/>
        <w:bidi w:val="0"/>
        <w:spacing w:lineRule="auto" w:line="288" w:before="60" w:after="283"/>
        <w:jc w:val="both"/>
        <w:rPr/>
      </w:pPr>
      <w:hyperlink w:anchor="ib2fc48f0ddf244d9844b8de22bde2e36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Capital Expenditure Requirements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manage our residual asset risk through protective covenants in our lease agreements, which require the tenant to, among other things, hold specific insurance coverage, engage in ongoing maintenance of the property and invest in capital improvements. With respect to the capital improvements, the lease agreements specify certain minimum amounts that our tenants must spend on capital expenditures that constitute installation, restoration and repair or other improvements of items with respect to the leased properties. The following table summarizes the capital expenditure requirements of our gaming tenants under their respective lease agreements:</w:t>
      </w:r>
    </w:p>
    <w:tbl>
      <w:tblPr>
        <w:tblW w:w="10205" w:type="dxa"/>
        <w:jc w:val="left"/>
        <w:tblInd w:w="0" w:type="dxa"/>
        <w:tblLayout w:type="fixed"/>
        <w:tblCellMar>
          <w:top w:w="28" w:type="dxa"/>
          <w:left w:w="28" w:type="dxa"/>
          <w:bottom w:w="28" w:type="dxa"/>
          <w:right w:w="28" w:type="dxa"/>
        </w:tblCellMar>
      </w:tblPr>
      <w:tblGrid>
        <w:gridCol w:w="505"/>
        <w:gridCol w:w="445"/>
        <w:gridCol w:w="447"/>
        <w:gridCol w:w="109"/>
        <w:gridCol w:w="109"/>
        <w:gridCol w:w="109"/>
        <w:gridCol w:w="489"/>
        <w:gridCol w:w="453"/>
        <w:gridCol w:w="455"/>
        <w:gridCol w:w="109"/>
        <w:gridCol w:w="109"/>
        <w:gridCol w:w="109"/>
        <w:gridCol w:w="447"/>
        <w:gridCol w:w="363"/>
        <w:gridCol w:w="364"/>
        <w:gridCol w:w="109"/>
        <w:gridCol w:w="109"/>
        <w:gridCol w:w="109"/>
        <w:gridCol w:w="624"/>
        <w:gridCol w:w="624"/>
        <w:gridCol w:w="626"/>
        <w:gridCol w:w="109"/>
        <w:gridCol w:w="109"/>
        <w:gridCol w:w="109"/>
        <w:gridCol w:w="589"/>
        <w:gridCol w:w="492"/>
        <w:gridCol w:w="494"/>
        <w:gridCol w:w="109"/>
        <w:gridCol w:w="109"/>
        <w:gridCol w:w="109"/>
        <w:gridCol w:w="394"/>
        <w:gridCol w:w="309"/>
        <w:gridCol w:w="450"/>
      </w:tblGrid>
      <w:tr>
        <w:trPr/>
        <w:tc>
          <w:tcPr>
            <w:tcW w:w="505"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r>
      <w:tr>
        <w:trPr/>
        <w:tc>
          <w:tcPr>
            <w:tcW w:w="13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Provision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Caesars Regional Master Lease and Joliet Lease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Caesars Las Vegas Master Lease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MGM Grand/Mandalay Bay Lease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Venetian Lease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All Other Gaming Leases </w:t>
            </w:r>
            <w:r>
              <w:rPr>
                <w:rFonts w:ascii="Times New Roman;sans-serif" w:hAnsi="Times New Roman;sans-serif"/>
                <w:b/>
                <w:i/>
                <w:color w:val="000000"/>
                <w:sz w:val="12"/>
              </w:rPr>
              <w:t>(1)</w:t>
            </w:r>
          </w:p>
        </w:tc>
      </w:tr>
      <w:tr>
        <w:trPr/>
        <w:tc>
          <w:tcPr>
            <w:tcW w:w="139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Yearly minimum expenditure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 xml:space="preserve">1% of net revenues </w:t>
            </w:r>
            <w:r>
              <w:rPr>
                <w:rFonts w:ascii="Times New Roman;sans-serif" w:hAnsi="Times New Roman;sans-serif"/>
                <w:b w:val="false"/>
                <w:i/>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 xml:space="preserve">1% of net revenues </w:t>
            </w:r>
            <w:r>
              <w:rPr>
                <w:rFonts w:ascii="Times New Roman;sans-serif" w:hAnsi="Times New Roman;sans-serif"/>
                <w:b w:val="false"/>
                <w:i/>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 of net revenues based on 5-year rolling test, 1.5% monthly reserves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 of net revenues based on rolling three-year basis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 of net revenues</w:t>
            </w:r>
          </w:p>
        </w:tc>
      </w:tr>
      <w:tr>
        <w:trPr/>
        <w:tc>
          <w:tcPr>
            <w:tcW w:w="13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Rolling three-year minimum</w:t>
            </w:r>
            <w:r>
              <w:rPr>
                <w:color w:val="000000"/>
              </w:rPr>
              <w:t xml:space="preserve"> </w:t>
            </w:r>
            <w:r>
              <w:rPr>
                <w:rFonts w:ascii="Times New Roman;sans-serif" w:hAnsi="Times New Roman;sans-serif"/>
                <w:b w:val="false"/>
                <w:i/>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$286 million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$84 million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w:t>
      </w:r>
    </w:p>
    <w:p>
      <w:pPr>
        <w:pStyle w:val="TextBody"/>
        <w:bidi w:val="0"/>
        <w:spacing w:lineRule="auto" w:line="288" w:before="60" w:after="283"/>
        <w:jc w:val="both"/>
        <w:rPr>
          <w:rFonts w:ascii="Times New Roman;sans-serif" w:hAnsi="Times New Roman;sans-serif"/>
          <w:b w:val="false"/>
          <w:i/>
          <w:color w:val="000000"/>
          <w:sz w:val="16"/>
        </w:rPr>
      </w:pPr>
      <w:r>
        <w:rPr>
          <w:rFonts w:ascii="Times New Roman;sans-serif" w:hAnsi="Times New Roman;sans-serif"/>
          <w:b w:val="false"/>
          <w:i/>
          <w:color w:val="000000"/>
          <w:sz w:val="16"/>
        </w:rPr>
        <w:t>(1) Represents the tenants under our other gaming lease agreements not specifically outlined in the table, as specified in their respective lease agreements.</w:t>
      </w:r>
    </w:p>
    <w:p>
      <w:pPr>
        <w:pStyle w:val="TextBody"/>
        <w:bidi w:val="0"/>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(2) The leases with Caesars require a $107.5 million floor on annual capital expenditures for Caesars Palace Las Vegas, Joliet and the Caesars Regional Master Lease properties in the aggregate. Additionally, annual building &amp; improvement capital improvements must be equal to or greater than 1% of prior year net revenues.</w:t>
      </w:r>
    </w:p>
    <w:p>
      <w:pPr>
        <w:pStyle w:val="TextBody"/>
        <w:bidi w:val="0"/>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 xml:space="preserve">(3) Certain tenants under our leases with Caesars, as applicable, are required to spend $380.3 million on capital expenditures (excluding gaming equipment) over a rolling three-year period, with $286.0 million allocated to the regional assets, $84.0 million allocated to Caesars Palace Las Vegas and the remaining balance of $10.3 million to facilities (other than the Harrah’s Las Vegas Facility) covered by any Caesars Lease in such proportion as such tenants may elect. Additionally, the tenants under the Caesars Regional Master Lease and Joliet Lease are required to expend a minimum of $531.9 million on capital expenditures (including gaming equipment) across certain of its affiliates and other assets, together with the $380.3 million requirement. </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Investments in Loans and Securities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our investments in loans and securities as of December 31, 2023 and 2022:</w:t>
      </w:r>
    </w:p>
    <w:tbl>
      <w:tblPr>
        <w:tblW w:w="10205" w:type="dxa"/>
        <w:jc w:val="left"/>
        <w:tblInd w:w="0" w:type="dxa"/>
        <w:tblLayout w:type="fixed"/>
        <w:tblCellMar>
          <w:top w:w="28" w:type="dxa"/>
          <w:left w:w="28" w:type="dxa"/>
          <w:bottom w:w="28" w:type="dxa"/>
          <w:right w:w="28" w:type="dxa"/>
        </w:tblCellMar>
      </w:tblPr>
      <w:tblGrid>
        <w:gridCol w:w="665"/>
        <w:gridCol w:w="462"/>
        <w:gridCol w:w="461"/>
        <w:gridCol w:w="109"/>
        <w:gridCol w:w="109"/>
        <w:gridCol w:w="109"/>
        <w:gridCol w:w="216"/>
        <w:gridCol w:w="1003"/>
        <w:gridCol w:w="112"/>
        <w:gridCol w:w="109"/>
        <w:gridCol w:w="109"/>
        <w:gridCol w:w="109"/>
        <w:gridCol w:w="219"/>
        <w:gridCol w:w="1014"/>
        <w:gridCol w:w="113"/>
        <w:gridCol w:w="109"/>
        <w:gridCol w:w="109"/>
        <w:gridCol w:w="109"/>
        <w:gridCol w:w="289"/>
        <w:gridCol w:w="1132"/>
        <w:gridCol w:w="150"/>
        <w:gridCol w:w="109"/>
        <w:gridCol w:w="109"/>
        <w:gridCol w:w="109"/>
        <w:gridCol w:w="475"/>
        <w:gridCol w:w="294"/>
        <w:gridCol w:w="736"/>
        <w:gridCol w:w="109"/>
        <w:gridCol w:w="109"/>
        <w:gridCol w:w="109"/>
        <w:gridCol w:w="357"/>
        <w:gridCol w:w="357"/>
        <w:gridCol w:w="515"/>
      </w:tblGrid>
      <w:tr>
        <w:trPr/>
        <w:tc>
          <w:tcPr>
            <w:tcW w:w="665"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r>
      <w:tr>
        <w:trPr/>
        <w:tc>
          <w:tcPr>
            <w:tcW w:w="15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 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0" w:type="dxa"/>
            <w:gridSpan w:val="27"/>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15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Investment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Principal Balance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Carrying Value </w:t>
            </w:r>
            <w:r>
              <w:rPr>
                <w:rFonts w:ascii="Times New Roman;sans-serif" w:hAnsi="Times New Roman;sans-serif"/>
                <w:b/>
                <w:i/>
                <w:color w:val="000000"/>
                <w:sz w:val="12"/>
              </w:rPr>
              <w:t>(1)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Future Funding Commitments </w:t>
            </w:r>
            <w:r>
              <w:rPr>
                <w:rFonts w:ascii="Times New Roman;sans-serif" w:hAnsi="Times New Roman;sans-serif"/>
                <w:b/>
                <w:color w:val="000000"/>
                <w:sz w:val="12"/>
              </w:rPr>
              <w:t>(2)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Weighted Average Interest Rate </w:t>
            </w:r>
            <w:r>
              <w:rPr>
                <w:rFonts w:ascii="Times New Roman;sans-serif" w:hAnsi="Times New Roman;sans-serif"/>
                <w:b/>
                <w:i/>
                <w:color w:val="000000"/>
                <w:sz w:val="12"/>
              </w:rPr>
              <w:t>(3)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Weighted Average Term </w:t>
            </w:r>
            <w:r>
              <w:rPr>
                <w:rFonts w:ascii="Times New Roman;sans-serif" w:hAnsi="Times New Roman;sans-serif"/>
                <w:b/>
                <w:i/>
                <w:color w:val="000000"/>
                <w:sz w:val="12"/>
              </w:rPr>
              <w:t>(4)</w:t>
            </w:r>
          </w:p>
        </w:tc>
      </w:tr>
      <w:tr>
        <w:trPr/>
        <w:tc>
          <w:tcPr>
            <w:tcW w:w="158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Senior Secured Notes</w:t>
            </w:r>
            <w:r>
              <w:rPr>
                <w:color w:val="000000"/>
              </w:rPr>
              <w:t xml:space="preserve"> </w:t>
            </w:r>
            <w:r>
              <w:rPr>
                <w:rFonts w:ascii="Times New Roman;sans-serif" w:hAnsi="Times New Roman;sans-serif"/>
                <w:b w:val="false"/>
                <w:color w:val="000000"/>
                <w:sz w:val="13"/>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85,000 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73,818 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11.00 </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years</w:t>
            </w:r>
          </w:p>
        </w:tc>
      </w:tr>
      <w:tr>
        <w:trPr/>
        <w:tc>
          <w:tcPr>
            <w:tcW w:w="15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Senior Secured Loans</w:t>
            </w:r>
            <w:r>
              <w:rPr>
                <w:color w:val="000000"/>
              </w:rPr>
              <w:t xml:space="preserve"> </w:t>
            </w:r>
            <w:r>
              <w:rPr>
                <w:rFonts w:ascii="Times New Roman;sans-serif" w:hAnsi="Times New Roman;sans-serif"/>
                <w:b w:val="false"/>
                <w:color w:val="000000"/>
                <w:sz w:val="13"/>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392,250 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386,274 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476,395 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years</w:t>
            </w:r>
          </w:p>
        </w:tc>
      </w:tr>
      <w:tr>
        <w:trPr/>
        <w:tc>
          <w:tcPr>
            <w:tcW w:w="15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Mezzanine Loans and Preferred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698,861 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684,085 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278,848 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years</w:t>
            </w:r>
          </w:p>
        </w:tc>
      </w:tr>
      <w:tr>
        <w:trPr/>
        <w:tc>
          <w:tcPr>
            <w:tcW w:w="15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r>
      <w:tr>
        <w:trPr/>
        <w:tc>
          <w:tcPr>
            <w:tcW w:w="15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r>
      <w:tr>
        <w:trPr/>
        <w:tc>
          <w:tcPr>
            <w:tcW w:w="15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r>
      <w:tr>
        <w:trPr/>
        <w:tc>
          <w:tcPr>
            <w:tcW w:w="15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1,176,111 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1,144,177 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755,243 </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years</w:t>
            </w:r>
          </w:p>
        </w:tc>
      </w:tr>
    </w:tbl>
    <w:tbl>
      <w:tblPr>
        <w:tblW w:w="10205" w:type="dxa"/>
        <w:jc w:val="left"/>
        <w:tblInd w:w="0" w:type="dxa"/>
        <w:tblLayout w:type="fixed"/>
        <w:tblCellMar>
          <w:top w:w="28" w:type="dxa"/>
          <w:left w:w="28" w:type="dxa"/>
          <w:bottom w:w="28" w:type="dxa"/>
          <w:right w:w="28" w:type="dxa"/>
        </w:tblCellMar>
      </w:tblPr>
      <w:tblGrid>
        <w:gridCol w:w="560"/>
        <w:gridCol w:w="389"/>
        <w:gridCol w:w="389"/>
        <w:gridCol w:w="109"/>
        <w:gridCol w:w="109"/>
        <w:gridCol w:w="109"/>
        <w:gridCol w:w="231"/>
        <w:gridCol w:w="905"/>
        <w:gridCol w:w="119"/>
        <w:gridCol w:w="109"/>
        <w:gridCol w:w="109"/>
        <w:gridCol w:w="109"/>
        <w:gridCol w:w="235"/>
        <w:gridCol w:w="921"/>
        <w:gridCol w:w="121"/>
        <w:gridCol w:w="109"/>
        <w:gridCol w:w="109"/>
        <w:gridCol w:w="109"/>
        <w:gridCol w:w="294"/>
        <w:gridCol w:w="1362"/>
        <w:gridCol w:w="151"/>
        <w:gridCol w:w="109"/>
        <w:gridCol w:w="109"/>
        <w:gridCol w:w="109"/>
        <w:gridCol w:w="350"/>
        <w:gridCol w:w="329"/>
        <w:gridCol w:w="824"/>
        <w:gridCol w:w="109"/>
        <w:gridCol w:w="109"/>
        <w:gridCol w:w="109"/>
        <w:gridCol w:w="404"/>
        <w:gridCol w:w="404"/>
        <w:gridCol w:w="582"/>
      </w:tblGrid>
      <w:tr>
        <w:trPr/>
        <w:tc>
          <w:tcPr>
            <w:tcW w:w="560"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r>
      <w:tr>
        <w:trPr/>
        <w:tc>
          <w:tcPr>
            <w:tcW w:w="13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 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0" w:type="dxa"/>
            <w:gridSpan w:val="27"/>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13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Investment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Principal Balance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Carrying Value </w:t>
            </w:r>
            <w:r>
              <w:rPr>
                <w:rFonts w:ascii="Times New Roman;sans-serif" w:hAnsi="Times New Roman;sans-serif"/>
                <w:b/>
                <w:i/>
                <w:color w:val="000000"/>
                <w:sz w:val="12"/>
              </w:rPr>
              <w:t>(1)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Future Funding Commitments </w:t>
            </w:r>
            <w:r>
              <w:rPr>
                <w:rFonts w:ascii="Times New Roman;sans-serif" w:hAnsi="Times New Roman;sans-serif"/>
                <w:b/>
                <w:i/>
                <w:color w:val="000000"/>
                <w:sz w:val="12"/>
              </w:rPr>
              <w:t>(2)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 Interest Rate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Weighted Average Term </w:t>
            </w:r>
            <w:r>
              <w:rPr>
                <w:rFonts w:ascii="Times New Roman;sans-serif" w:hAnsi="Times New Roman;sans-serif"/>
                <w:b/>
                <w:i/>
                <w:color w:val="000000"/>
                <w:sz w:val="12"/>
              </w:rPr>
              <w:t>(3)</w:t>
            </w:r>
          </w:p>
        </w:tc>
      </w:tr>
      <w:tr>
        <w:trPr/>
        <w:tc>
          <w:tcPr>
            <w:tcW w:w="133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Secured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495,901 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492,895 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584,049 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8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years</w:t>
            </w:r>
          </w:p>
        </w:tc>
      </w:tr>
      <w:tr>
        <w:trPr/>
        <w:tc>
          <w:tcPr>
            <w:tcW w:w="13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Mezzanine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196,597 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192,898 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514,882 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8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years</w:t>
            </w:r>
          </w:p>
        </w:tc>
      </w:tr>
      <w:tr>
        <w:trPr/>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r>
      <w:tr>
        <w:trPr/>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r>
      <w:tr>
        <w:trPr/>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r>
      <w:tr>
        <w:trPr/>
        <w:tc>
          <w:tcPr>
            <w:tcW w:w="13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692,498 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685,793 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1,098,931 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8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years</w:t>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w:t>
      </w:r>
    </w:p>
    <w:p>
      <w:pPr>
        <w:pStyle w:val="TextBody"/>
        <w:bidi w:val="0"/>
        <w:spacing w:lineRule="auto" w:line="276"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(1) Carrying value includes unamortized loan origination costs and are net of allowance for credit losses.</w:t>
      </w:r>
    </w:p>
    <w:p>
      <w:pPr>
        <w:pStyle w:val="TextBody"/>
        <w:bidi w:val="0"/>
        <w:spacing w:lineRule="auto" w:line="276"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(2) Our future funding commitments are subject to our borrowers' compliance with the financial covenants and other applicable provisions of each respective loan agreement.</w:t>
      </w:r>
    </w:p>
    <w:p>
      <w:pPr>
        <w:pStyle w:val="TextBody"/>
        <w:bidi w:val="0"/>
        <w:spacing w:lineRule="auto" w:line="276"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 xml:space="preserve">(3) The weighted average interest rate is based on current outstanding principal balance and SOFR, as applicable for floating rate loans, as of December 31, 2023. </w:t>
      </w:r>
    </w:p>
    <w:p>
      <w:pPr>
        <w:pStyle w:val="TextBody"/>
        <w:bidi w:val="0"/>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(4) Assumes all extension options are exercised; however, our loans may be repaid, subject to certain conditions, prior to such date.</w:t>
      </w:r>
    </w:p>
    <w:p>
      <w:pPr>
        <w:pStyle w:val="TextBody"/>
        <w:bidi w:val="0"/>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 xml:space="preserve">(5) Represents our investment in the Hard Rock Ottawa Notes, which are accounted for as held-to-maturity securities. </w:t>
      </w:r>
    </w:p>
    <w:p>
      <w:pPr>
        <w:pStyle w:val="TextBody"/>
        <w:bidi w:val="0"/>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(6) On May 1, 2023, the Caesars Forum Convention Center mortgage loan, representing $400.0 million in principal balance of our senior secured loans, was repaid in full.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222885"/>
                <wp:effectExtent l="0" t="0" r="0" b="0"/>
                <wp:wrapNone/>
                <wp:docPr id="106" name="Frame10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 - 34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 - 34</w:t>
                      </w:r>
                    </w:p>
                  </w:txbxContent>
                </v:textbox>
                <w10:wrap type="none"/>
              </v:rect>
            </w:pict>
          </mc:Fallback>
        </mc:AlternateContent>
      </w:r>
    </w:p>
    <w:p>
      <w:pPr>
        <w:pStyle w:val="TextBody"/>
        <w:bidi w:val="0"/>
        <w:spacing w:lineRule="auto" w:line="288" w:before="60" w:after="283"/>
        <w:jc w:val="both"/>
        <w:rPr/>
      </w:pPr>
      <w:hyperlink w:anchor="ib2fc48f0ddf244d9844b8de22bde2e36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240" w:after="283"/>
        <w:jc w:val="both"/>
        <w:rPr>
          <w:rFonts w:ascii="Times New Roman;sans-serif" w:hAnsi="Times New Roman;sans-serif"/>
          <w:b/>
          <w:color w:val="000000"/>
          <w:sz w:val="24"/>
        </w:rPr>
      </w:pPr>
      <w:r>
        <w:rPr>
          <w:rFonts w:ascii="Times New Roman;sans-serif" w:hAnsi="Times New Roman;sans-serif"/>
          <w:b/>
          <w:color w:val="000000"/>
          <w:sz w:val="24"/>
        </w:rPr>
        <w:t xml:space="preserve">Note 5 — Allowance for Credit Losses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Under ASC 326, we are required to estimate and record non-cash credit losses related to our historical and any future investments in sales-type leases, lease financing receivables, loans and securities classified as held-to-maturity. The following tables detail the allowance for credit losses as of December 31, 2023 and December 31, 2022:</w:t>
      </w:r>
    </w:p>
    <w:tbl>
      <w:tblPr>
        <w:tblW w:w="10205" w:type="dxa"/>
        <w:jc w:val="center"/>
        <w:tblInd w:w="0" w:type="dxa"/>
        <w:tblLayout w:type="fixed"/>
        <w:tblCellMar>
          <w:top w:w="28" w:type="dxa"/>
          <w:left w:w="28" w:type="dxa"/>
          <w:bottom w:w="28" w:type="dxa"/>
          <w:right w:w="28" w:type="dxa"/>
        </w:tblCellMar>
      </w:tblPr>
      <w:tblGrid>
        <w:gridCol w:w="1029"/>
        <w:gridCol w:w="894"/>
        <w:gridCol w:w="857"/>
        <w:gridCol w:w="211"/>
        <w:gridCol w:w="1081"/>
        <w:gridCol w:w="109"/>
        <w:gridCol w:w="109"/>
        <w:gridCol w:w="109"/>
        <w:gridCol w:w="109"/>
        <w:gridCol w:w="211"/>
        <w:gridCol w:w="1029"/>
        <w:gridCol w:w="109"/>
        <w:gridCol w:w="109"/>
        <w:gridCol w:w="109"/>
        <w:gridCol w:w="109"/>
        <w:gridCol w:w="211"/>
        <w:gridCol w:w="1081"/>
        <w:gridCol w:w="109"/>
        <w:gridCol w:w="109"/>
        <w:gridCol w:w="109"/>
        <w:gridCol w:w="109"/>
        <w:gridCol w:w="501"/>
        <w:gridCol w:w="458"/>
        <w:gridCol w:w="1334"/>
      </w:tblGrid>
      <w:tr>
        <w:trPr/>
        <w:tc>
          <w:tcPr>
            <w:tcW w:w="1029"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r>
      <w:tr>
        <w:trPr/>
        <w:tc>
          <w:tcPr>
            <w:tcW w:w="2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27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 In thousands)</w:t>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Allowance </w:t>
            </w:r>
            <w:r>
              <w:rPr>
                <w:rFonts w:ascii="Times New Roman;sans-serif" w:hAnsi="Times New Roman;sans-serif"/>
                <w:b/>
                <w:i/>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 Investment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Allowance as a % of Amortized Cost</w:t>
            </w:r>
          </w:p>
        </w:tc>
      </w:tr>
      <w:tr>
        <w:trPr/>
        <w:tc>
          <w:tcPr>
            <w:tcW w:w="2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leases - sales-type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23,717,060 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(701,129)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23,015,931 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2.96 </w:t>
            </w:r>
          </w:p>
        </w:tc>
        <w:tc>
          <w:tcPr>
            <w:tcW w:w="1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leases - financing receivables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18,914,734 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(703,632)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18,211,102 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3.72 </w:t>
            </w:r>
          </w:p>
        </w:tc>
        <w:tc>
          <w:tcPr>
            <w:tcW w:w="13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loans and securities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1,173,949 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1,144,177 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2.54 </w:t>
            </w:r>
          </w:p>
        </w:tc>
        <w:tc>
          <w:tcPr>
            <w:tcW w:w="13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 - sales-type sub-leases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2.16 </w:t>
            </w:r>
          </w:p>
        </w:tc>
        <w:tc>
          <w:tcPr>
            <w:tcW w:w="13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44,671,795 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(1,453,255)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43,218,540 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3.25 </w:t>
            </w:r>
          </w:p>
        </w:tc>
        <w:tc>
          <w:tcPr>
            <w:tcW w:w="13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tbl>
      <w:tblPr>
        <w:tblW w:w="10205" w:type="dxa"/>
        <w:jc w:val="center"/>
        <w:tblInd w:w="0" w:type="dxa"/>
        <w:tblLayout w:type="fixed"/>
        <w:tblCellMar>
          <w:top w:w="28" w:type="dxa"/>
          <w:left w:w="28" w:type="dxa"/>
          <w:bottom w:w="28" w:type="dxa"/>
          <w:right w:w="28" w:type="dxa"/>
        </w:tblCellMar>
      </w:tblPr>
      <w:tblGrid>
        <w:gridCol w:w="1029"/>
        <w:gridCol w:w="894"/>
        <w:gridCol w:w="857"/>
        <w:gridCol w:w="211"/>
        <w:gridCol w:w="1081"/>
        <w:gridCol w:w="109"/>
        <w:gridCol w:w="109"/>
        <w:gridCol w:w="109"/>
        <w:gridCol w:w="109"/>
        <w:gridCol w:w="211"/>
        <w:gridCol w:w="1029"/>
        <w:gridCol w:w="109"/>
        <w:gridCol w:w="109"/>
        <w:gridCol w:w="109"/>
        <w:gridCol w:w="109"/>
        <w:gridCol w:w="211"/>
        <w:gridCol w:w="1081"/>
        <w:gridCol w:w="109"/>
        <w:gridCol w:w="109"/>
        <w:gridCol w:w="109"/>
        <w:gridCol w:w="109"/>
        <w:gridCol w:w="501"/>
        <w:gridCol w:w="458"/>
        <w:gridCol w:w="1334"/>
      </w:tblGrid>
      <w:tr>
        <w:trPr/>
        <w:tc>
          <w:tcPr>
            <w:tcW w:w="1029"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r>
      <w:tr>
        <w:trPr/>
        <w:tc>
          <w:tcPr>
            <w:tcW w:w="2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27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 In thousands)</w:t>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Allowance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 Investment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Allowance as a % of Amortized Cost</w:t>
            </w:r>
          </w:p>
        </w:tc>
      </w:tr>
      <w:tr>
        <w:trPr/>
        <w:tc>
          <w:tcPr>
            <w:tcW w:w="2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leases - sales-type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17,742,712 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(570,387)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17,172,325 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3.21 </w:t>
            </w:r>
          </w:p>
        </w:tc>
        <w:tc>
          <w:tcPr>
            <w:tcW w:w="1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leases - financing receivables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17,467,477 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(726,707)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16,740,770 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4.16 </w:t>
            </w:r>
          </w:p>
        </w:tc>
        <w:tc>
          <w:tcPr>
            <w:tcW w:w="13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loans and securities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692,658 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685,793 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0.99 </w:t>
            </w:r>
          </w:p>
        </w:tc>
        <w:tc>
          <w:tcPr>
            <w:tcW w:w="13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 - sales-type sub-leases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2.52 </w:t>
            </w:r>
          </w:p>
        </w:tc>
        <w:tc>
          <w:tcPr>
            <w:tcW w:w="13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36,687,106 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(1,323,709)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35,363,397 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3.61 </w:t>
            </w:r>
          </w:p>
        </w:tc>
        <w:tc>
          <w:tcPr>
            <w:tcW w:w="13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____________________</w:t>
      </w:r>
    </w:p>
    <w:p>
      <w:pPr>
        <w:pStyle w:val="TextBody"/>
        <w:bidi w:val="0"/>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 xml:space="preserve">(1) The total allowance excludes the CECL allowance for unfunded commitments of our loans and for unfunded commitments made to our tenants to fund the development and construction of improvements at our properties. As of December 31, 2023 and December 31, 2022, such allowance is $19.1 million and $45.1 million, respectively, and is recorded in Other liabilities.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chart reflects the roll-forward of the allowance for credit losses on our real estate portfolio for the years ended December 31, 2023, 2022 and 2021:</w:t>
      </w:r>
    </w:p>
    <w:tbl>
      <w:tblPr>
        <w:tblW w:w="8547" w:type="dxa"/>
        <w:jc w:val="left"/>
        <w:tblInd w:w="0" w:type="dxa"/>
        <w:tblLayout w:type="fixed"/>
        <w:tblCellMar>
          <w:top w:w="28" w:type="dxa"/>
          <w:left w:w="28" w:type="dxa"/>
          <w:bottom w:w="28" w:type="dxa"/>
          <w:right w:w="28" w:type="dxa"/>
        </w:tblCellMar>
      </w:tblPr>
      <w:tblGrid>
        <w:gridCol w:w="1489"/>
        <w:gridCol w:w="1309"/>
        <w:gridCol w:w="1312"/>
        <w:gridCol w:w="211"/>
        <w:gridCol w:w="976"/>
        <w:gridCol w:w="109"/>
        <w:gridCol w:w="109"/>
        <w:gridCol w:w="109"/>
        <w:gridCol w:w="109"/>
        <w:gridCol w:w="211"/>
        <w:gridCol w:w="976"/>
        <w:gridCol w:w="109"/>
        <w:gridCol w:w="109"/>
        <w:gridCol w:w="109"/>
        <w:gridCol w:w="109"/>
        <w:gridCol w:w="211"/>
        <w:gridCol w:w="826"/>
        <w:gridCol w:w="154"/>
      </w:tblGrid>
      <w:tr>
        <w:trPr/>
        <w:tc>
          <w:tcPr>
            <w:tcW w:w="1489"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 xml:space="preserve">Beginning Balance January 1,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1,368,819 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534,325 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553,879 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Initial allowance from current period investments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293,033 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573,624 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period change in credit allowance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(189,466)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260,870 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(21,279)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Charge-offs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Recoveries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 xml:space="preserve">Ending Balance December 31,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1,472,386 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1,368,819 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534,325 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pPr>
      <w:r>
        <w:rPr>
          <w:rFonts w:ascii="Times New Roman;sans-serif" w:hAnsi="Times New Roman;sans-serif"/>
          <w:b w:val="false"/>
          <w:color w:val="000000"/>
          <w:sz w:val="20"/>
          <w:shd w:fill="FFFFFF" w:val="clear"/>
        </w:rPr>
        <w:t xml:space="preserve">During the year ended December 31, 2023, we recognized a </w:t>
      </w:r>
      <w:r>
        <w:rPr>
          <w:rFonts w:ascii="Times New Roman;sans-serif" w:hAnsi="Times New Roman;sans-serif"/>
          <w:b w:val="false"/>
          <w:color w:val="000000"/>
          <w:sz w:val="20"/>
        </w:rPr>
        <w:t>$103.6 million</w:t>
      </w:r>
      <w:r>
        <w:rPr>
          <w:color w:val="000000"/>
          <w:shd w:fill="FFFFFF" w:val="clear"/>
        </w:rPr>
        <w:t xml:space="preserve"> </w:t>
      </w:r>
      <w:r>
        <w:rPr>
          <w:rFonts w:ascii="Times New Roman;sans-serif" w:hAnsi="Times New Roman;sans-serif"/>
          <w:b w:val="false"/>
          <w:color w:val="000000"/>
          <w:sz w:val="20"/>
        </w:rPr>
        <w:t>increase in our allowance for credit losses primarily driven by the following:</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Initial CECL allowances of $279.0 million on our $4.1 billion property acquisition activity and $14.0 million on our $698.2 million of loan origination activity during such period; and</w:t>
      </w:r>
    </w:p>
    <w:p>
      <w:pPr>
        <w:pStyle w:val="TextBody"/>
        <w:bidi w:val="0"/>
        <w:spacing w:lineRule="auto" w:line="288" w:before="60" w:after="283"/>
        <w:ind w:left="0" w:right="0" w:hanging="360"/>
        <w:jc w:val="both"/>
        <w:rPr/>
      </w:pPr>
      <w:r>
        <w:rPr>
          <w:color w:val="000000"/>
          <w:shd w:fill="FFFFFF" w:val="clear"/>
        </w:rPr>
        <w:t>•</w:t>
      </w:r>
      <w:r>
        <w:rPr>
          <w:rFonts w:ascii="Times New Roman;sans-serif" w:hAnsi="Times New Roman;sans-serif"/>
          <w:b w:val="false"/>
          <w:color w:val="000000"/>
          <w:sz w:val="20"/>
          <w:shd w:fill="FFFFFF" w:val="clear"/>
        </w:rPr>
        <w:t xml:space="preserve">A net increase as a result of standard annual updates to the CECL model used and certain related inputs, including the Long-Term Period probability of default, or PD. </w:t>
      </w:r>
    </w:p>
    <w:p>
      <w:pPr>
        <w:pStyle w:val="TextBody"/>
        <w:bidi w:val="0"/>
        <w:spacing w:lineRule="auto" w:line="288" w:before="60" w:after="283"/>
        <w:ind w:left="0" w:right="0" w:hanging="360"/>
        <w:jc w:val="both"/>
        <w:rPr/>
      </w:pPr>
      <w:r>
        <w:rPr>
          <w:color w:val="000000"/>
          <w:shd w:fill="FFFFFF" w:val="clear"/>
        </w:rPr>
        <w:t>•</w:t>
      </w:r>
      <w:r>
        <w:rPr>
          <w:rFonts w:ascii="Times New Roman;sans-serif" w:hAnsi="Times New Roman;sans-serif"/>
          <w:b w:val="false"/>
          <w:color w:val="000000"/>
          <w:sz w:val="20"/>
        </w:rPr>
        <w:t xml:space="preserve">This increase was partially offset by an overall decrease in the </w:t>
      </w:r>
      <w:r>
        <w:rPr>
          <w:rFonts w:ascii="Times New Roman;sans-serif" w:hAnsi="Times New Roman;sans-serif"/>
          <w:b w:val="false"/>
          <w:color w:val="000000"/>
          <w:sz w:val="20"/>
          <w:shd w:fill="FFFFFF" w:val="clear"/>
        </w:rPr>
        <w:t>reasonable and supportable period, or R&amp;S Period PD</w:t>
      </w:r>
      <w:r>
        <w:rPr>
          <w:color w:val="000000"/>
        </w:rPr>
        <w:t xml:space="preserve"> </w:t>
      </w:r>
      <w:r>
        <w:rPr>
          <w:rFonts w:ascii="Times New Roman;sans-serif" w:hAnsi="Times New Roman;sans-serif"/>
          <w:b w:val="false"/>
          <w:color w:val="000000"/>
          <w:sz w:val="20"/>
        </w:rPr>
        <w:t>of our tenants and their parent guarantors (as applicable) as a result of their market performance during the year</w:t>
      </w:r>
      <w:r>
        <w:rPr>
          <w:color w:val="000000"/>
          <w:shd w:fill="FFFFFF" w:val="clear"/>
        </w:rPr>
        <w:t xml:space="preserve"> </w:t>
      </w:r>
      <w:r>
        <w:rPr>
          <w:rFonts w:ascii="Times New Roman;sans-serif" w:hAnsi="Times New Roman;sans-serif"/>
          <w:b w:val="false"/>
          <w:color w:val="000000"/>
          <w:sz w:val="20"/>
          <w:shd w:fill="FFFFFF" w:val="clear"/>
        </w:rPr>
        <w:t>and changes in the macroeconomic model used to scenario condition such inputs</w:t>
      </w:r>
      <w:r>
        <w:rPr>
          <w:rFonts w:ascii="Times New Roman;sans-serif" w:hAnsi="Times New Roman;sans-serif"/>
          <w:b w:val="false"/>
          <w:color w:val="000000"/>
          <w:sz w:val="20"/>
        </w:rPr>
        <w:t>.</w:t>
      </w:r>
    </w:p>
    <w:p>
      <w:pPr>
        <w:pStyle w:val="TextBody"/>
        <w:bidi w:val="0"/>
        <w:spacing w:lineRule="auto" w:line="288" w:before="180" w:after="283"/>
        <w:jc w:val="both"/>
        <w:rPr/>
      </w:pPr>
      <w:r>
        <w:rPr>
          <w:rFonts w:ascii="Times New Roman;sans-serif" w:hAnsi="Times New Roman;sans-serif"/>
          <w:b w:val="false"/>
          <w:color w:val="000000"/>
          <w:sz w:val="20"/>
          <w:shd w:fill="FFFFFF" w:val="clear"/>
        </w:rPr>
        <w:t xml:space="preserve">During the year ended December 31, 2022, we recognized a </w:t>
      </w:r>
      <w:r>
        <w:rPr>
          <w:rFonts w:ascii="Times New Roman;sans-serif" w:hAnsi="Times New Roman;sans-serif"/>
          <w:b w:val="false"/>
          <w:color w:val="000000"/>
          <w:sz w:val="20"/>
        </w:rPr>
        <w:t>$834.5 million</w:t>
      </w:r>
      <w:r>
        <w:rPr>
          <w:color w:val="000000"/>
          <w:shd w:fill="FFFFFF" w:val="clear"/>
        </w:rPr>
        <w:t xml:space="preserve"> </w:t>
      </w:r>
      <w:r>
        <w:rPr>
          <w:rFonts w:ascii="Times New Roman;sans-serif" w:hAnsi="Times New Roman;sans-serif"/>
          <w:b w:val="false"/>
          <w:color w:val="000000"/>
          <w:sz w:val="20"/>
          <w:shd w:fill="FFFFFF" w:val="clear"/>
        </w:rPr>
        <w:t>increase in our allowance for credit losses primarily driven by the following:</w:t>
      </w:r>
    </w:p>
    <w:p>
      <w:pPr>
        <w:pStyle w:val="TextBody"/>
        <w:bidi w:val="0"/>
        <w:spacing w:lineRule="auto" w:line="288" w:before="120" w:after="283"/>
        <w:ind w:left="0" w:right="0" w:hanging="360"/>
        <w:jc w:val="both"/>
        <w:rPr/>
      </w:pPr>
      <w:r>
        <w:rPr>
          <w:color w:val="000000"/>
          <w:shd w:fill="FFFFFF" w:val="clear"/>
        </w:rPr>
        <w:t>•</w:t>
      </w:r>
      <w:r>
        <w:rPr>
          <w:rFonts w:ascii="Times New Roman;sans-serif" w:hAnsi="Times New Roman;sans-serif"/>
          <w:b w:val="false"/>
          <w:color w:val="000000"/>
          <w:sz w:val="20"/>
        </w:rPr>
        <w:t>Initial CECL allowances of $540.5 million on our $21.6 billion of property acquisition activity and $33.1 million on our $1.2 billion loan origination activity during such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222885"/>
                <wp:effectExtent l="0" t="0" r="0" b="0"/>
                <wp:wrapNone/>
                <wp:docPr id="107" name="Frame10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 - 35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 - 35</w:t>
                      </w:r>
                    </w:p>
                  </w:txbxContent>
                </v:textbox>
                <w10:wrap type="none"/>
              </v:rect>
            </w:pict>
          </mc:Fallback>
        </mc:AlternateContent>
      </w:r>
    </w:p>
    <w:p>
      <w:pPr>
        <w:pStyle w:val="TextBody"/>
        <w:bidi w:val="0"/>
        <w:spacing w:lineRule="auto" w:line="288" w:before="60" w:after="283"/>
        <w:jc w:val="both"/>
        <w:rPr/>
      </w:pPr>
      <w:hyperlink w:anchor="ib2fc48f0ddf244d9844b8de22bde2e36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60" w:after="283"/>
        <w:ind w:left="0" w:right="0" w:hanging="360"/>
        <w:jc w:val="both"/>
        <w:rPr/>
      </w:pPr>
      <w:r>
        <w:rPr>
          <w:color w:val="000000"/>
          <w:shd w:fill="FFFFFF" w:val="clear"/>
        </w:rPr>
        <w:t>•</w:t>
      </w:r>
      <w:r>
        <w:rPr>
          <w:rFonts w:ascii="Times New Roman;sans-serif" w:hAnsi="Times New Roman;sans-serif"/>
          <w:b w:val="false"/>
          <w:color w:val="000000"/>
          <w:sz w:val="20"/>
          <w:shd w:fill="FFFFFF" w:val="clear"/>
        </w:rPr>
        <w:t xml:space="preserve">An increase in the R&amp;S Period PD </w:t>
      </w:r>
      <w:r>
        <w:rPr>
          <w:rFonts w:ascii="Times New Roman;sans-serif" w:hAnsi="Times New Roman;sans-serif"/>
          <w:b w:val="false"/>
          <w:color w:val="000000"/>
          <w:sz w:val="20"/>
        </w:rPr>
        <w:t>of our tenants and their parent guarantors (as applicable) as a result of their market performance during the year</w:t>
      </w:r>
      <w:r>
        <w:rPr>
          <w:color w:val="000000"/>
          <w:shd w:fill="FFFFFF" w:val="clear"/>
        </w:rPr>
        <w:t xml:space="preserve"> </w:t>
      </w:r>
      <w:r>
        <w:rPr>
          <w:rFonts w:ascii="Times New Roman;sans-serif" w:hAnsi="Times New Roman;sans-serif"/>
          <w:b w:val="false"/>
          <w:color w:val="000000"/>
          <w:sz w:val="20"/>
          <w:shd w:fill="FFFFFF" w:val="clear"/>
        </w:rPr>
        <w:t>and changes in the macroeconomic model used to scenario condition such inputs; and</w:t>
      </w:r>
    </w:p>
    <w:p>
      <w:pPr>
        <w:pStyle w:val="TextBody"/>
        <w:bidi w:val="0"/>
        <w:spacing w:lineRule="auto" w:line="288" w:before="60" w:after="283"/>
        <w:ind w:left="0" w:right="0" w:hanging="360"/>
        <w:jc w:val="both"/>
        <w:rPr/>
      </w:pPr>
      <w:r>
        <w:rPr>
          <w:color w:val="000000"/>
          <w:shd w:fill="FFFFFF" w:val="clear"/>
        </w:rPr>
        <w:t>•</w:t>
      </w:r>
      <w:r>
        <w:rPr>
          <w:rFonts w:ascii="Times New Roman;sans-serif" w:hAnsi="Times New Roman;sans-serif"/>
          <w:b w:val="false"/>
          <w:color w:val="000000"/>
          <w:sz w:val="20"/>
          <w:shd w:fill="FFFFFF" w:val="clear"/>
        </w:rPr>
        <w:t xml:space="preserve">A net increase as a result of standard annual updates to the CECL model used and certain related inputs, including the Long-Term Period PD. </w:t>
      </w:r>
    </w:p>
    <w:p>
      <w:pPr>
        <w:pStyle w:val="TextBody"/>
        <w:bidi w:val="0"/>
        <w:spacing w:lineRule="auto" w:line="288" w:before="60" w:after="283"/>
        <w:ind w:left="0" w:right="0" w:hanging="360"/>
        <w:jc w:val="both"/>
        <w:rPr/>
      </w:pPr>
      <w:r>
        <w:rPr>
          <w:color w:val="000000"/>
          <w:shd w:fill="FFFFFF" w:val="clear"/>
        </w:rPr>
        <w:t>•</w:t>
      </w:r>
      <w:r>
        <w:rPr>
          <w:rFonts w:ascii="Times New Roman;sans-serif" w:hAnsi="Times New Roman;sans-serif"/>
          <w:b w:val="false"/>
          <w:color w:val="000000"/>
          <w:sz w:val="20"/>
          <w:shd w:fill="FFFFFF" w:val="clear"/>
        </w:rPr>
        <w:t>These increases were partially offset by a decrease in the</w:t>
      </w:r>
      <w:r>
        <w:rPr>
          <w:color w:val="000000"/>
        </w:rPr>
        <w:t xml:space="preserve"> </w:t>
      </w:r>
      <w:r>
        <w:rPr>
          <w:rFonts w:ascii="Times New Roman;sans-serif" w:hAnsi="Times New Roman;sans-serif"/>
          <w:b w:val="false"/>
          <w:color w:val="000000"/>
          <w:sz w:val="20"/>
        </w:rPr>
        <w:t>Long-Term Period PD, due to an upgrade of the credit rating of the senior secured debt used to determine the Long-Term Period PD for one of our tenants.</w:t>
      </w:r>
    </w:p>
    <w:p>
      <w:pPr>
        <w:pStyle w:val="TextBody"/>
        <w:bidi w:val="0"/>
        <w:spacing w:lineRule="auto" w:line="288" w:before="180" w:after="283"/>
        <w:jc w:val="both"/>
        <w:rPr/>
      </w:pPr>
      <w:r>
        <w:rPr>
          <w:rFonts w:ascii="Times New Roman;sans-serif" w:hAnsi="Times New Roman;sans-serif"/>
          <w:b w:val="false"/>
          <w:color w:val="000000"/>
          <w:sz w:val="20"/>
        </w:rPr>
        <w:t xml:space="preserve">During the year ended December 31, 2021, we recognized a $19.6 million </w:t>
      </w:r>
      <w:r>
        <w:rPr>
          <w:rFonts w:ascii="Times New Roman;sans-serif" w:hAnsi="Times New Roman;sans-serif"/>
          <w:b w:val="false"/>
          <w:color w:val="000000"/>
          <w:sz w:val="20"/>
          <w:shd w:fill="FFFFFF" w:val="clear"/>
        </w:rPr>
        <w:t>decrease in our allowance for credit losses primarily driven by the following:</w:t>
      </w:r>
      <w:r>
        <w:rPr>
          <w:color w:val="000000"/>
        </w:rPr>
        <w:t xml:space="preserve"> </w:t>
      </w:r>
    </w:p>
    <w:p>
      <w:pPr>
        <w:pStyle w:val="TextBody"/>
        <w:bidi w:val="0"/>
        <w:spacing w:lineRule="auto" w:line="288" w:before="120" w:after="283"/>
        <w:ind w:left="0" w:right="0" w:hanging="360"/>
        <w:jc w:val="both"/>
        <w:rPr/>
      </w:pPr>
      <w:r>
        <w:rPr>
          <w:color w:val="000000"/>
          <w:shd w:fill="FFFFFF" w:val="clear"/>
        </w:rPr>
        <w:t>•</w:t>
      </w:r>
      <w:r>
        <w:rPr>
          <w:rFonts w:ascii="Times New Roman;sans-serif" w:hAnsi="Times New Roman;sans-serif"/>
          <w:b w:val="false"/>
          <w:color w:val="000000"/>
          <w:sz w:val="20"/>
        </w:rPr>
        <w:t>The decrease in the R&amp;S Period PD of our tenants or borrowers and their parent guarantors as a result of an improvement in their economic outlook due to the reopening of all of their gaming operations and relative performance of such operations during 2021 a</w:t>
      </w:r>
      <w:r>
        <w:rPr>
          <w:rFonts w:ascii="Times New Roman;sans-serif" w:hAnsi="Times New Roman;sans-serif"/>
          <w:b w:val="false"/>
          <w:color w:val="000000"/>
          <w:sz w:val="20"/>
          <w:shd w:fill="FFFFFF" w:val="clear"/>
        </w:rPr>
        <w:t>nd changes in the macroeconomic model used to scenario condition such input</w:t>
      </w:r>
      <w:r>
        <w:rPr>
          <w:rFonts w:ascii="Times New Roman;sans-serif" w:hAnsi="Times New Roman;sans-serif"/>
          <w:b w:val="false"/>
          <w:color w:val="000000"/>
          <w:sz w:val="20"/>
        </w:rPr>
        <w:t>;</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 xml:space="preserve">The decrease in the Long-Term Period PD due to an upgrade of the credit rating of the senior secured debt used to determine the Long-Term Period PD for one of our tenants during 2021; and </w:t>
      </w:r>
    </w:p>
    <w:p>
      <w:pPr>
        <w:pStyle w:val="TextBody"/>
        <w:bidi w:val="0"/>
        <w:spacing w:lineRule="auto" w:line="288" w:before="60" w:after="283"/>
        <w:ind w:left="0" w:right="0" w:hanging="360"/>
        <w:jc w:val="both"/>
        <w:rPr/>
      </w:pPr>
      <w:r>
        <w:rPr>
          <w:color w:val="000000"/>
          <w:shd w:fill="FFFFFF" w:val="clear"/>
        </w:rPr>
        <w:t>•</w:t>
      </w:r>
      <w:r>
        <w:rPr>
          <w:rFonts w:ascii="Times New Roman;sans-serif" w:hAnsi="Times New Roman;sans-serif"/>
          <w:b w:val="false"/>
          <w:color w:val="000000"/>
          <w:sz w:val="20"/>
          <w:shd w:fill="FFFFFF" w:val="clear"/>
        </w:rPr>
        <w:t xml:space="preserve">A net decrease as a result of standard annual updates to the CECL model used and certain related inputs, including the Long-Term Period PD. </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Credit Quality Indicators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assess the credit quality of our investments through the credit ratings of the senior secured debt of the guarantors of our leases, as we believe that our lease agreements have a similar credit profile to a senior secured debt instrument. The credit quality indicators are reviewed by us on a quarterly basis as of quarter-end. In instances where the guarantor of one of our lease agreements does not have senior secured debt with a credit rating, we use either a comparable proxy company or the overall corporate credit rating, as applicable. We also use this credit rating to determine the Long-Term Period PD when estimating credit losses for each investment. </w:t>
      </w:r>
    </w:p>
    <w:p>
      <w:pPr>
        <w:pStyle w:val="TextBody"/>
        <w:bidi w:val="0"/>
        <w:spacing w:lineRule="auto" w:line="288" w:before="18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tables detail the amortized cost basis of our investments by the credit quality indicator we assigned to each lease or loan guarantor as of December 31, 2023, 2022 and 2021:</w:t>
      </w:r>
    </w:p>
    <w:tbl>
      <w:tblPr>
        <w:tblW w:w="12235" w:type="dxa"/>
        <w:jc w:val="center"/>
        <w:tblInd w:w="0" w:type="dxa"/>
        <w:tblLayout w:type="fixed"/>
        <w:tblCellMar>
          <w:top w:w="28" w:type="dxa"/>
          <w:left w:w="28" w:type="dxa"/>
          <w:bottom w:w="28" w:type="dxa"/>
          <w:right w:w="28" w:type="dxa"/>
        </w:tblCellMar>
      </w:tblPr>
      <w:tblGrid>
        <w:gridCol w:w="413"/>
        <w:gridCol w:w="363"/>
        <w:gridCol w:w="320"/>
        <w:gridCol w:w="211"/>
        <w:gridCol w:w="976"/>
        <w:gridCol w:w="109"/>
        <w:gridCol w:w="109"/>
        <w:gridCol w:w="109"/>
        <w:gridCol w:w="109"/>
        <w:gridCol w:w="211"/>
        <w:gridCol w:w="1081"/>
        <w:gridCol w:w="109"/>
        <w:gridCol w:w="109"/>
        <w:gridCol w:w="109"/>
        <w:gridCol w:w="109"/>
        <w:gridCol w:w="211"/>
        <w:gridCol w:w="97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09"/>
        <w:gridCol w:w="109"/>
        <w:gridCol w:w="109"/>
        <w:gridCol w:w="109"/>
        <w:gridCol w:w="211"/>
        <w:gridCol w:w="1081"/>
        <w:gridCol w:w="154"/>
      </w:tblGrid>
      <w:tr>
        <w:trPr/>
        <w:tc>
          <w:tcPr>
            <w:tcW w:w="41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9"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Ba2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Ba3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N/A</w:t>
            </w:r>
            <w:r>
              <w:rPr>
                <w:rFonts w:ascii="Times New Roman;sans-serif" w:hAnsi="Times New Roman;sans-serif"/>
                <w:b/>
                <w:i/>
                <w:color w:val="000000"/>
                <w:sz w:val="12"/>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Investments in leases - sales-type and financing receivable, Investments in loans and Other assets </w:t>
            </w:r>
            <w:r>
              <w:rPr>
                <w:rFonts w:ascii="Times New Roman;sans-serif" w:hAnsi="Times New Roman;sans-serif"/>
                <w:b w:val="false"/>
                <w:i/>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4,317,380 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32,976,433 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3,682,802 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881,917 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1,316,817 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1,496,446 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44,671,795 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1935" w:type="dxa"/>
        <w:jc w:val="left"/>
        <w:tblInd w:w="0" w:type="dxa"/>
        <w:tblLayout w:type="fixed"/>
        <w:tblCellMar>
          <w:top w:w="28" w:type="dxa"/>
          <w:left w:w="28" w:type="dxa"/>
          <w:bottom w:w="28" w:type="dxa"/>
          <w:right w:w="28" w:type="dxa"/>
        </w:tblCellMar>
      </w:tblPr>
      <w:tblGrid>
        <w:gridCol w:w="413"/>
        <w:gridCol w:w="363"/>
        <w:gridCol w:w="320"/>
        <w:gridCol w:w="211"/>
        <w:gridCol w:w="976"/>
        <w:gridCol w:w="109"/>
        <w:gridCol w:w="109"/>
        <w:gridCol w:w="109"/>
        <w:gridCol w:w="109"/>
        <w:gridCol w:w="211"/>
        <w:gridCol w:w="1081"/>
        <w:gridCol w:w="109"/>
        <w:gridCol w:w="109"/>
        <w:gridCol w:w="109"/>
        <w:gridCol w:w="109"/>
        <w:gridCol w:w="211"/>
        <w:gridCol w:w="97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1081"/>
        <w:gridCol w:w="154"/>
      </w:tblGrid>
      <w:tr>
        <w:trPr/>
        <w:tc>
          <w:tcPr>
            <w:tcW w:w="41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9"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Ba2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Ba3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N/A</w:t>
            </w:r>
            <w:r>
              <w:rPr>
                <w:rFonts w:ascii="Times New Roman;sans-serif" w:hAnsi="Times New Roman;sans-serif"/>
                <w:b/>
                <w:i/>
                <w:color w:val="000000"/>
                <w:sz w:val="12"/>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Investments in leases - sales-type and financing receivable, Investments in loans and Other assets </w:t>
            </w:r>
            <w:r>
              <w:rPr>
                <w:rFonts w:ascii="Times New Roman;sans-serif" w:hAnsi="Times New Roman;sans-serif"/>
                <w:b w:val="false"/>
                <w:i/>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4,247,315 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28,095,234 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2,594,203 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875,749 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581,973 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292,632 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36,687,106 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1110" w:type="dxa"/>
        <w:jc w:val="left"/>
        <w:tblInd w:w="0" w:type="dxa"/>
        <w:tblLayout w:type="fixed"/>
        <w:tblCellMar>
          <w:top w:w="28" w:type="dxa"/>
          <w:left w:w="28" w:type="dxa"/>
          <w:bottom w:w="28" w:type="dxa"/>
          <w:right w:w="28" w:type="dxa"/>
        </w:tblCellMar>
      </w:tblPr>
      <w:tblGrid>
        <w:gridCol w:w="413"/>
        <w:gridCol w:w="363"/>
        <w:gridCol w:w="320"/>
        <w:gridCol w:w="211"/>
        <w:gridCol w:w="406"/>
        <w:gridCol w:w="109"/>
        <w:gridCol w:w="109"/>
        <w:gridCol w:w="109"/>
        <w:gridCol w:w="109"/>
        <w:gridCol w:w="211"/>
        <w:gridCol w:w="826"/>
        <w:gridCol w:w="109"/>
        <w:gridCol w:w="109"/>
        <w:gridCol w:w="109"/>
        <w:gridCol w:w="109"/>
        <w:gridCol w:w="211"/>
        <w:gridCol w:w="1081"/>
        <w:gridCol w:w="109"/>
        <w:gridCol w:w="109"/>
        <w:gridCol w:w="109"/>
        <w:gridCol w:w="109"/>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211"/>
        <w:gridCol w:w="1081"/>
        <w:gridCol w:w="154"/>
      </w:tblGrid>
      <w:tr>
        <w:trPr/>
        <w:tc>
          <w:tcPr>
            <w:tcW w:w="41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4"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2021</w:t>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w:t>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Ba2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Ba3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N/A</w:t>
            </w:r>
            <w:r>
              <w:rPr>
                <w:rFonts w:ascii="Times New Roman;sans-serif" w:hAnsi="Times New Roman;sans-serif"/>
                <w:b/>
                <w:i/>
                <w:color w:val="000000"/>
                <w:sz w:val="12"/>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Investments in leases - sales-type and financing receivable, Investments in loans and Other assets </w:t>
            </w:r>
            <w:r>
              <w:rPr>
                <w:rFonts w:ascii="Times New Roman;sans-serif" w:hAnsi="Times New Roman;sans-serif"/>
                <w:b w:val="false"/>
                <w:i/>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951,033 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14,888,770 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868,629 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279,579 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98,739 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17,086,749 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____________________</w:t>
      </w:r>
    </w:p>
    <w:p>
      <w:pPr>
        <w:pStyle w:val="TextBody"/>
        <w:bidi w:val="0"/>
        <w:spacing w:lineRule="auto" w:line="288" w:before="0" w:after="0"/>
        <w:ind w:left="0" w:right="0" w:hanging="360"/>
        <w:jc w:val="both"/>
        <w:rPr>
          <w:rFonts w:ascii="Times New Roman;sans-serif" w:hAnsi="Times New Roman;sans-serif"/>
          <w:b w:val="false"/>
          <w:i/>
          <w:color w:val="000000"/>
          <w:sz w:val="16"/>
        </w:rPr>
      </w:pPr>
      <w:r>
        <w:rPr>
          <w:rFonts w:ascii="Times New Roman;sans-serif" w:hAnsi="Times New Roman;sans-serif"/>
          <w:b w:val="false"/>
          <w:i/>
          <w:color w:val="000000"/>
          <w:sz w:val="16"/>
        </w:rPr>
        <w:t>(1)Excludes the CECL allowance for unfunded commitments recorded in Other liabilities as such commitments are not currently reflected on our Balance Sheets, rather the CECL allowance is based on our current best estimate of future funding commitments.</w:t>
      </w:r>
    </w:p>
    <w:p>
      <w:pPr>
        <w:pStyle w:val="TextBody"/>
        <w:bidi w:val="0"/>
        <w:spacing w:lineRule="auto" w:line="288" w:before="0" w:after="0"/>
        <w:ind w:left="0" w:right="0" w:hanging="360"/>
        <w:jc w:val="both"/>
        <w:rPr>
          <w:rFonts w:ascii="Times New Roman;sans-serif" w:hAnsi="Times New Roman;sans-serif"/>
          <w:b w:val="false"/>
          <w:i/>
          <w:color w:val="000000"/>
          <w:sz w:val="16"/>
        </w:rPr>
      </w:pPr>
      <w:r>
        <w:rPr>
          <w:rFonts w:ascii="Times New Roman;sans-serif" w:hAnsi="Times New Roman;sans-serif"/>
          <w:b w:val="false"/>
          <w:i/>
          <w:color w:val="000000"/>
          <w:sz w:val="16"/>
        </w:rPr>
        <w:t xml:space="preserve">(2)We estimate the CECL allowance for our loan investments using a traditional commercial real estate model based on standardized credit metrics to estimate potential losses.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222885"/>
                <wp:effectExtent l="0" t="0" r="0" b="0"/>
                <wp:wrapNone/>
                <wp:docPr id="108" name="Frame10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 - 36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 - 36</w:t>
                      </w:r>
                    </w:p>
                  </w:txbxContent>
                </v:textbox>
                <w10:wrap type="none"/>
              </v:rect>
            </w:pict>
          </mc:Fallback>
        </mc:AlternateContent>
      </w:r>
    </w:p>
    <w:p>
      <w:pPr>
        <w:pStyle w:val="TextBody"/>
        <w:bidi w:val="0"/>
        <w:spacing w:lineRule="auto" w:line="288" w:before="60" w:after="283"/>
        <w:jc w:val="both"/>
        <w:rPr/>
      </w:pPr>
      <w:hyperlink w:anchor="ib2fc48f0ddf244d9844b8de22bde2e36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240" w:after="283"/>
        <w:jc w:val="both"/>
        <w:rPr>
          <w:rFonts w:ascii="Times New Roman;sans-serif" w:hAnsi="Times New Roman;sans-serif"/>
          <w:b/>
          <w:color w:val="000000"/>
          <w:sz w:val="24"/>
        </w:rPr>
      </w:pPr>
      <w:r>
        <w:rPr>
          <w:rFonts w:ascii="Times New Roman;sans-serif" w:hAnsi="Times New Roman;sans-serif"/>
          <w:b/>
          <w:color w:val="000000"/>
          <w:sz w:val="24"/>
        </w:rPr>
        <w:t xml:space="preserve">Note 6 — Other Assets and Other Liabilities </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Other Assets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details the components of our other assets as of December 31, 2023 and 2022:</w:t>
      </w:r>
    </w:p>
    <w:tbl>
      <w:tblPr>
        <w:tblW w:w="7691" w:type="dxa"/>
        <w:jc w:val="center"/>
        <w:tblInd w:w="0" w:type="dxa"/>
        <w:tblLayout w:type="fixed"/>
        <w:tblCellMar>
          <w:top w:w="28" w:type="dxa"/>
          <w:left w:w="28" w:type="dxa"/>
          <w:bottom w:w="28" w:type="dxa"/>
          <w:right w:w="28" w:type="dxa"/>
        </w:tblCellMar>
      </w:tblPr>
      <w:tblGrid>
        <w:gridCol w:w="1533"/>
        <w:gridCol w:w="1347"/>
        <w:gridCol w:w="1350"/>
        <w:gridCol w:w="251"/>
        <w:gridCol w:w="1164"/>
        <w:gridCol w:w="130"/>
        <w:gridCol w:w="109"/>
        <w:gridCol w:w="109"/>
        <w:gridCol w:w="109"/>
        <w:gridCol w:w="281"/>
        <w:gridCol w:w="1103"/>
        <w:gridCol w:w="205"/>
      </w:tblGrid>
      <w:tr>
        <w:trPr/>
        <w:tc>
          <w:tcPr>
            <w:tcW w:w="1533"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w:t>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Sales-type sub-leases, net </w:t>
            </w:r>
            <w:r>
              <w:rPr>
                <w:rFonts w:ascii="Times New Roman;sans-serif" w:hAnsi="Times New Roman;sans-serif"/>
                <w:b w:val="false"/>
                <w:i/>
                <w:color w:val="000000"/>
                <w:sz w:val="13"/>
              </w:rPr>
              <w:t>(1)</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847,330 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764,509 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used in operations, net</w:t>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66,946 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67,209 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 of use assets and sub-lease right of use assets</w:t>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38,345 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45,008 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financing costs</w:t>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11,332 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18,646 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acquisition costs</w:t>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10,087 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12,834 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receivables</w:t>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6,474 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receivable</w:t>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9,351 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6,911 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Tenant receivables</w:t>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5,498 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7,348 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Forward-starting interest rate swaps</w:t>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1,891 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assets</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1,015,330 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936,328 </w:t>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___________________________________________________</w:t>
      </w:r>
    </w:p>
    <w:p>
      <w:pPr>
        <w:pStyle w:val="TextBody"/>
        <w:bidi w:val="0"/>
        <w:spacing w:lineRule="auto" w:line="288" w:before="60" w:after="283"/>
        <w:jc w:val="both"/>
        <w:rPr/>
      </w:pPr>
      <w:r>
        <w:rPr>
          <w:rFonts w:ascii="Times New Roman;sans-serif" w:hAnsi="Times New Roman;sans-serif"/>
          <w:b w:val="false"/>
          <w:i/>
          <w:color w:val="000000"/>
          <w:sz w:val="16"/>
        </w:rPr>
        <w:t xml:space="preserve">(1) As of December 31, 2023 and December 31, 2022, sales-type sub-leases are net of $18.7 million and $19.8 million of Allowance for credit losses, respectively. Refer to </w:t>
      </w:r>
      <w:hyperlink w:anchor="ib2fc48f0ddf244d9844b8de22bde2e36_154">
        <w:r>
          <w:rPr>
            <w:rStyle w:val="InternetLink"/>
            <w:rFonts w:ascii="Times New Roman;sans-serif" w:hAnsi="Times New Roman;sans-serif"/>
            <w:b w:val="false"/>
            <w:i/>
            <w:color w:val="0000FF"/>
            <w:sz w:val="16"/>
            <w:u w:val="single"/>
          </w:rPr>
          <w:t>Note 5 - Allowance for Credit Losses</w:t>
        </w:r>
      </w:hyperlink>
      <w:r>
        <w:rPr>
          <w:color w:val="000000"/>
        </w:rPr>
        <w:t xml:space="preserve"> </w:t>
      </w:r>
      <w:r>
        <w:rPr>
          <w:rFonts w:ascii="Times New Roman;sans-serif" w:hAnsi="Times New Roman;sans-serif"/>
          <w:b w:val="false"/>
          <w:i/>
          <w:color w:val="000000"/>
          <w:sz w:val="16"/>
        </w:rPr>
        <w:t>for further details.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Property and equipment used in operations, included within other assets, is primarily attributable to the land, building and improvements of our golf operations and consists of the following as of December 31, 2023 and 2022: </w:t>
      </w:r>
    </w:p>
    <w:tbl>
      <w:tblPr>
        <w:tblW w:w="7886" w:type="dxa"/>
        <w:jc w:val="left"/>
        <w:tblInd w:w="0" w:type="dxa"/>
        <w:tblLayout w:type="fixed"/>
        <w:tblCellMar>
          <w:top w:w="28" w:type="dxa"/>
          <w:left w:w="28" w:type="dxa"/>
          <w:bottom w:w="28" w:type="dxa"/>
          <w:right w:w="28" w:type="dxa"/>
        </w:tblCellMar>
      </w:tblPr>
      <w:tblGrid>
        <w:gridCol w:w="1599"/>
        <w:gridCol w:w="1408"/>
        <w:gridCol w:w="1418"/>
        <w:gridCol w:w="313"/>
        <w:gridCol w:w="1070"/>
        <w:gridCol w:w="161"/>
        <w:gridCol w:w="109"/>
        <w:gridCol w:w="109"/>
        <w:gridCol w:w="109"/>
        <w:gridCol w:w="309"/>
        <w:gridCol w:w="1056"/>
        <w:gridCol w:w="225"/>
      </w:tblGrid>
      <w:tr>
        <w:trPr/>
        <w:tc>
          <w:tcPr>
            <w:tcW w:w="1599"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w:t>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 and land improvements</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60,461 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60,332 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Buildings and improvements</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15,727 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15,125 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Furniture and equipment </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12,432 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9,563 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and equipment used in operations</w:t>
            </w:r>
          </w:p>
        </w:tc>
        <w:tc>
          <w:tcPr>
            <w:tcW w:w="13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88,620 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85,020 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(21,674)</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(17,811)</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and equipment used in operations, net</w:t>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66,946 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67,209 </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5382" w:type="dxa"/>
        <w:jc w:val="center"/>
        <w:tblInd w:w="0" w:type="dxa"/>
        <w:tblLayout w:type="fixed"/>
        <w:tblCellMar>
          <w:top w:w="28" w:type="dxa"/>
          <w:left w:w="28" w:type="dxa"/>
          <w:bottom w:w="28" w:type="dxa"/>
          <w:right w:w="28" w:type="dxa"/>
        </w:tblCellMar>
      </w:tblPr>
      <w:tblGrid>
        <w:gridCol w:w="679"/>
        <w:gridCol w:w="597"/>
        <w:gridCol w:w="599"/>
        <w:gridCol w:w="211"/>
        <w:gridCol w:w="616"/>
        <w:gridCol w:w="109"/>
        <w:gridCol w:w="109"/>
        <w:gridCol w:w="109"/>
        <w:gridCol w:w="109"/>
        <w:gridCol w:w="211"/>
        <w:gridCol w:w="616"/>
        <w:gridCol w:w="109"/>
        <w:gridCol w:w="109"/>
        <w:gridCol w:w="109"/>
        <w:gridCol w:w="109"/>
        <w:gridCol w:w="211"/>
        <w:gridCol w:w="616"/>
        <w:gridCol w:w="154"/>
      </w:tblGrid>
      <w:tr>
        <w:trPr/>
        <w:tc>
          <w:tcPr>
            <w:tcW w:w="67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1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Other Liabilities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details the components of our other liabilities as of December 31, 2023 and 2022:</w:t>
      </w:r>
    </w:p>
    <w:tbl>
      <w:tblPr>
        <w:tblW w:w="7196" w:type="dxa"/>
        <w:jc w:val="left"/>
        <w:tblInd w:w="0" w:type="dxa"/>
        <w:tblLayout w:type="fixed"/>
        <w:tblCellMar>
          <w:top w:w="28" w:type="dxa"/>
          <w:left w:w="28" w:type="dxa"/>
          <w:bottom w:w="28" w:type="dxa"/>
          <w:right w:w="28" w:type="dxa"/>
        </w:tblCellMar>
      </w:tblPr>
      <w:tblGrid>
        <w:gridCol w:w="1354"/>
        <w:gridCol w:w="1189"/>
        <w:gridCol w:w="1192"/>
        <w:gridCol w:w="251"/>
        <w:gridCol w:w="1164"/>
        <w:gridCol w:w="130"/>
        <w:gridCol w:w="109"/>
        <w:gridCol w:w="109"/>
        <w:gridCol w:w="109"/>
        <w:gridCol w:w="281"/>
        <w:gridCol w:w="1103"/>
        <w:gridCol w:w="205"/>
      </w:tblGrid>
      <w:tr>
        <w:trPr/>
        <w:tc>
          <w:tcPr>
            <w:tcW w:w="1354"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w:t>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sub-lease liabilities</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866,052 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784,259 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financing liabilities</w:t>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73,600 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73,600 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 and sub-lease liabilities</w:t>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38,345 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45,039 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CECL allowance for unfunded commitments</w:t>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19,131 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45,110 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liability</w:t>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11,218 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4,339 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liabilities</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1,013,102 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952,472 </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222885"/>
                <wp:effectExtent l="0" t="0" r="0" b="0"/>
                <wp:wrapNone/>
                <wp:docPr id="109" name="Frame10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 - 37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 - 37</w:t>
                      </w:r>
                    </w:p>
                  </w:txbxContent>
                </v:textbox>
                <w10:wrap type="none"/>
              </v:rect>
            </w:pict>
          </mc:Fallback>
        </mc:AlternateContent>
      </w:r>
    </w:p>
    <w:p>
      <w:pPr>
        <w:pStyle w:val="TextBody"/>
        <w:bidi w:val="0"/>
        <w:spacing w:lineRule="auto" w:line="288" w:before="60" w:after="283"/>
        <w:jc w:val="both"/>
        <w:rPr/>
      </w:pPr>
      <w:hyperlink w:anchor="ib2fc48f0ddf244d9844b8de22bde2e36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240" w:after="283"/>
        <w:jc w:val="both"/>
        <w:rPr>
          <w:rFonts w:ascii="Times New Roman;sans-serif" w:hAnsi="Times New Roman;sans-serif"/>
          <w:b/>
          <w:color w:val="000000"/>
          <w:sz w:val="24"/>
        </w:rPr>
      </w:pPr>
      <w:r>
        <w:rPr>
          <w:rFonts w:ascii="Times New Roman;sans-serif" w:hAnsi="Times New Roman;sans-serif"/>
          <w:b/>
          <w:color w:val="000000"/>
          <w:sz w:val="24"/>
        </w:rPr>
        <w:t xml:space="preserve">Note 7 — Debt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detail our debt obligations (each as defined in the column titled “Description of Debt”) as of December 31, 2023 and 2022:</w:t>
      </w:r>
    </w:p>
    <w:tbl>
      <w:tblPr>
        <w:tblW w:w="10205" w:type="dxa"/>
        <w:jc w:val="left"/>
        <w:tblInd w:w="0" w:type="dxa"/>
        <w:tblLayout w:type="fixed"/>
        <w:tblCellMar>
          <w:top w:w="28" w:type="dxa"/>
          <w:left w:w="28" w:type="dxa"/>
          <w:bottom w:w="28" w:type="dxa"/>
          <w:right w:w="28" w:type="dxa"/>
        </w:tblCellMar>
      </w:tblPr>
      <w:tblGrid>
        <w:gridCol w:w="1141"/>
        <w:gridCol w:w="979"/>
        <w:gridCol w:w="979"/>
        <w:gridCol w:w="109"/>
        <w:gridCol w:w="109"/>
        <w:gridCol w:w="109"/>
        <w:gridCol w:w="523"/>
        <w:gridCol w:w="498"/>
        <w:gridCol w:w="500"/>
        <w:gridCol w:w="109"/>
        <w:gridCol w:w="109"/>
        <w:gridCol w:w="109"/>
        <w:gridCol w:w="434"/>
        <w:gridCol w:w="430"/>
        <w:gridCol w:w="432"/>
        <w:gridCol w:w="109"/>
        <w:gridCol w:w="109"/>
        <w:gridCol w:w="109"/>
        <w:gridCol w:w="221"/>
        <w:gridCol w:w="1136"/>
        <w:gridCol w:w="114"/>
        <w:gridCol w:w="109"/>
        <w:gridCol w:w="109"/>
        <w:gridCol w:w="109"/>
        <w:gridCol w:w="219"/>
        <w:gridCol w:w="1125"/>
        <w:gridCol w:w="166"/>
      </w:tblGrid>
      <w:tr>
        <w:trPr/>
        <w:tc>
          <w:tcPr>
            <w:tcW w:w="1141"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3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Description of 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Maturity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Interest 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Principal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Carrying Value</w:t>
            </w:r>
            <w:r>
              <w:rPr>
                <w:rFonts w:ascii="Times New Roman;sans-serif" w:hAnsi="Times New Roman;sans-serif"/>
                <w:b w:val="false"/>
                <w:i/>
                <w:color w:val="000000"/>
                <w:sz w:val="13"/>
              </w:rPr>
              <w:t>(1)</w:t>
            </w:r>
          </w:p>
        </w:tc>
      </w:tr>
      <w:tr>
        <w:trPr/>
        <w:tc>
          <w:tcPr>
            <w:tcW w:w="30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Credit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USD Borrowings </w:t>
            </w:r>
            <w:r>
              <w:rPr>
                <w:rFonts w:ascii="Times New Roman;sans-serif" w:hAnsi="Times New Roman;sans-serif"/>
                <w:b w:val="false"/>
                <w:i/>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SOFR + 1.05%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CAD Borrowings </w:t>
            </w:r>
            <w:r>
              <w:rPr>
                <w:rFonts w:ascii="Times New Roman;sans-serif" w:hAnsi="Times New Roman;sans-serif"/>
                <w:b w:val="false"/>
                <w:i/>
                <w:color w:val="000000"/>
                <w:sz w:val="13"/>
              </w:rPr>
              <w:t>(2)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CDOR + 1.05%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162,346 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162,346 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GBP Borrowings </w:t>
            </w:r>
            <w:r>
              <w:rPr>
                <w:rFonts w:ascii="Times New Roman;sans-serif" w:hAnsi="Times New Roman;sans-serif"/>
                <w:b w:val="false"/>
                <w:i/>
                <w:color w:val="000000"/>
                <w:sz w:val="13"/>
              </w:rPr>
              <w:t>(2)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SONIA + 1.05%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11,458 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11,458 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MGM Grand/Mandalay Bay CMBS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5, 2032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3,000,000 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2,773,758 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2019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 Maturity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1,250,000 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1,241,678 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 Maturity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1, 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990,531 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2020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 Maturity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15,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750,000 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747,364 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 Maturity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15,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3.750%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750,000 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744,762 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2030 Maturity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15, 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990,111 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2022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 Maturity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15,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497,864 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 Maturity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15,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 xml:space="preserve">4.516% </w:t>
            </w:r>
            <w:r>
              <w:rPr>
                <w:rFonts w:ascii="Times New Roman;sans-serif" w:hAnsi="Times New Roman;sans-serif"/>
                <w:b w:val="false"/>
                <w:i/>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1,250,000 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1,239,594 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2030 Maturity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15, 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 xml:space="preserve">4.541% </w:t>
            </w:r>
            <w:r>
              <w:rPr>
                <w:rFonts w:ascii="Times New Roman;sans-serif" w:hAnsi="Times New Roman;sans-serif"/>
                <w:b w:val="false"/>
                <w:i/>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989,347 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2032 Maturity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15, 2032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 xml:space="preserve">3.980% </w:t>
            </w:r>
            <w:r>
              <w:rPr>
                <w:rFonts w:ascii="Times New Roman;sans-serif" w:hAnsi="Times New Roman;sans-serif"/>
                <w:b w:val="false"/>
                <w:i/>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1,500,000 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1,482,836 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2052 Maturity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15, 2052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5.625%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750,000 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735,854 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Exchange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 Maturity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5.625%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1,024,169 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1,025,431 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 Maturity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15,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799,368 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790,019 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 Maturity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480,524 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467,728 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 Maturity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1,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5.750%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729,466 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736,277 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 Maturity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January 15,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349,325 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339,043 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 Maturity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15, 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3.875%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727,114 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670,939 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MGP OP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 Maturity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5.625%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25,831 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25,849 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 Maturity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15,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 Maturity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19,476 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18,792 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 Maturity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1,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5.750%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20,534 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20,523 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 Maturity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January 15,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 Maturity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15, 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3.875%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22,886 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20,753 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 xml:space="preserve">4.351% </w:t>
            </w:r>
            <w:r>
              <w:rPr>
                <w:rFonts w:ascii="Times New Roman;sans-serif" w:hAnsi="Times New Roman;sans-serif"/>
                <w:b w:val="false"/>
                <w:i/>
                <w:color w:val="000000"/>
                <w:sz w:val="13"/>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17,123,804 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16,724,125 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222885"/>
                <wp:effectExtent l="0" t="0" r="0" b="0"/>
                <wp:wrapNone/>
                <wp:docPr id="110" name="Frame10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 - 38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 - 38</w:t>
                      </w:r>
                    </w:p>
                  </w:txbxContent>
                </v:textbox>
                <w10:wrap type="none"/>
              </v:rect>
            </w:pict>
          </mc:Fallback>
        </mc:AlternateContent>
      </w:r>
    </w:p>
    <w:p>
      <w:pPr>
        <w:pStyle w:val="TextBody"/>
        <w:bidi w:val="0"/>
        <w:spacing w:lineRule="auto" w:line="288" w:before="60" w:after="283"/>
        <w:jc w:val="both"/>
        <w:rPr/>
      </w:pPr>
      <w:hyperlink w:anchor="ib2fc48f0ddf244d9844b8de22bde2e36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tbl>
      <w:tblPr>
        <w:tblW w:w="9675" w:type="dxa"/>
        <w:jc w:val="left"/>
        <w:tblInd w:w="0" w:type="dxa"/>
        <w:tblLayout w:type="fixed"/>
        <w:tblCellMar>
          <w:top w:w="28" w:type="dxa"/>
          <w:left w:w="28" w:type="dxa"/>
          <w:bottom w:w="28" w:type="dxa"/>
          <w:right w:w="28" w:type="dxa"/>
        </w:tblCellMar>
      </w:tblPr>
      <w:tblGrid>
        <w:gridCol w:w="885"/>
        <w:gridCol w:w="779"/>
        <w:gridCol w:w="781"/>
        <w:gridCol w:w="109"/>
        <w:gridCol w:w="109"/>
        <w:gridCol w:w="109"/>
        <w:gridCol w:w="539"/>
        <w:gridCol w:w="539"/>
        <w:gridCol w:w="541"/>
        <w:gridCol w:w="109"/>
        <w:gridCol w:w="109"/>
        <w:gridCol w:w="109"/>
        <w:gridCol w:w="434"/>
        <w:gridCol w:w="434"/>
        <w:gridCol w:w="436"/>
        <w:gridCol w:w="109"/>
        <w:gridCol w:w="109"/>
        <w:gridCol w:w="109"/>
        <w:gridCol w:w="223"/>
        <w:gridCol w:w="1146"/>
        <w:gridCol w:w="115"/>
        <w:gridCol w:w="109"/>
        <w:gridCol w:w="109"/>
        <w:gridCol w:w="109"/>
        <w:gridCol w:w="221"/>
        <w:gridCol w:w="1133"/>
        <w:gridCol w:w="161"/>
      </w:tblGrid>
      <w:tr>
        <w:trPr/>
        <w:tc>
          <w:tcPr>
            <w:tcW w:w="885"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Description of 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Maturity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Interest 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Principal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Carrying Value</w:t>
            </w:r>
            <w:r>
              <w:rPr>
                <w:rFonts w:ascii="Times New Roman;sans-serif" w:hAnsi="Times New Roman;sans-serif"/>
                <w:b w:val="false"/>
                <w:i/>
                <w:color w:val="000000"/>
                <w:sz w:val="13"/>
              </w:rPr>
              <w:t>(1)</w:t>
            </w:r>
          </w:p>
        </w:tc>
      </w:tr>
      <w:tr>
        <w:trPr/>
        <w:tc>
          <w:tcPr>
            <w:tcW w:w="24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Revolving Credit Facility</w:t>
            </w:r>
            <w:r>
              <w:rPr>
                <w:color w:val="000000"/>
              </w:rPr>
              <w:t xml:space="preserve"> </w:t>
            </w:r>
            <w:r>
              <w:rPr>
                <w:rFonts w:ascii="Times New Roman;sans-serif" w:hAnsi="Times New Roman;sans-serif"/>
                <w:b w:val="false"/>
                <w:i/>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SOFR + 1.05%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Delayed Draw Term Loan </w:t>
            </w:r>
            <w:r>
              <w:rPr>
                <w:rFonts w:ascii="Times New Roman;sans-serif" w:hAnsi="Times New Roman;sans-serif"/>
                <w:b w:val="false"/>
                <w:i/>
                <w:color w:val="000000"/>
                <w:sz w:val="13"/>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SOFR +1.20%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November 2019 Notes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 Maturity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1,250,000 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1,238,825 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 Maturity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1, 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988,931 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2020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 Maturity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15,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750,000 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745,020 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 Maturity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15,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3.750%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750,000 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743,086 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2030 Maturity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15, 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988,626 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2022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 Maturity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15,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496,314 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 Maturity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15,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 xml:space="preserve">4.516% </w:t>
            </w:r>
            <w:r>
              <w:rPr>
                <w:rFonts w:ascii="Times New Roman;sans-serif" w:hAnsi="Times New Roman;sans-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1,250,000 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1,237,082 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2030 Maturity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15, 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 xml:space="preserve">4.541% </w:t>
            </w:r>
            <w:r>
              <w:rPr>
                <w:rFonts w:ascii="Times New Roman;sans-serif" w:hAnsi="Times New Roman;sans-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987,618 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2032 Maturity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15, 2032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 xml:space="preserve">3.980% </w:t>
            </w:r>
            <w:r>
              <w:rPr>
                <w:rFonts w:ascii="Times New Roman;sans-serif" w:hAnsi="Times New Roman;sans-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1,500,000 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1,480,799 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2052 Maturity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15, 2052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5.625%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750,000 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735,360 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Exchange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 Maturity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5.625%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1,024,169 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1,029,226 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 Maturity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15,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799,368 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783,659 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 Maturity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480,524 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463,018 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 Maturity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1,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5.750%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729,466 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738,499 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 Maturity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January 15,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349,325 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336,545 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 Maturity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15, 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3.875%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727,114 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660,489 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MGP OP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 Maturity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5.625%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25,831 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25,901 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 Maturity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15,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 Maturity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19,476 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18,542 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 Maturity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1,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5.750%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20,534 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20,520 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 Maturity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January 15,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 Maturity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15, 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3.875%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22,886 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20,361 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 xml:space="preserve">4.496% </w:t>
            </w:r>
            <w:r>
              <w:rPr>
                <w:rFonts w:ascii="Times New Roman;sans-serif" w:hAnsi="Times New Roman;sans-serif"/>
                <w:b w:val="false"/>
                <w:color w:val="000000"/>
                <w:sz w:val="13"/>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13,950,000 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13,739,675 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____________________</w:t>
      </w:r>
    </w:p>
    <w:p>
      <w:pPr>
        <w:pStyle w:val="TextBody"/>
        <w:bidi w:val="0"/>
        <w:spacing w:lineRule="auto" w:line="288" w:before="0" w:after="0"/>
        <w:ind w:left="0" w:right="0" w:hanging="360"/>
        <w:jc w:val="both"/>
        <w:rPr>
          <w:rFonts w:ascii="Times New Roman;sans-serif" w:hAnsi="Times New Roman;sans-serif"/>
          <w:b w:val="false"/>
          <w:i/>
          <w:color w:val="000000"/>
          <w:sz w:val="16"/>
        </w:rPr>
      </w:pPr>
      <w:r>
        <w:rPr>
          <w:rFonts w:ascii="Times New Roman;sans-serif" w:hAnsi="Times New Roman;sans-serif"/>
          <w:b w:val="false"/>
          <w:i/>
          <w:color w:val="000000"/>
          <w:sz w:val="16"/>
        </w:rPr>
        <w:t>(1)Carrying value is net of unamortized original issue discount and unamortized debt issuance costs incurred in conjunction with debt.</w:t>
      </w:r>
    </w:p>
    <w:p>
      <w:pPr>
        <w:pStyle w:val="TextBody"/>
        <w:bidi w:val="0"/>
        <w:spacing w:lineRule="auto" w:line="288" w:before="0" w:after="0"/>
        <w:ind w:left="0" w:right="0" w:hanging="360"/>
        <w:jc w:val="both"/>
        <w:rPr>
          <w:rFonts w:ascii="Times New Roman;sans-serif" w:hAnsi="Times New Roman;sans-serif"/>
          <w:b w:val="false"/>
          <w:i/>
          <w:color w:val="000000"/>
          <w:sz w:val="16"/>
        </w:rPr>
      </w:pPr>
      <w:r>
        <w:rPr>
          <w:rFonts w:ascii="Times New Roman;sans-serif" w:hAnsi="Times New Roman;sans-serif"/>
          <w:b w:val="false"/>
          <w:i/>
          <w:color w:val="000000"/>
          <w:sz w:val="16"/>
        </w:rPr>
        <w:t xml:space="preserve">(2)Borrowings under the Revolving Credit Facility bear interest at a rate based on a credit rating-based pricing grid with a range of 0.775% to 1.325% margin plus SOFR (or CDOR or SONIA, as applicable), depending on our credit ratings, with an additional 0.10% adjustment. Additionally, the commitment fees under the Revolving Credit Facility are calculated on a credit rating-based pricing grid with a range of 0.15% to 0.375%, for both instruments depending on our credit ratings. For the year ended December 31, 2023, the commitment fees for the Revolving Credit Facility was 0.375%. </w:t>
      </w:r>
    </w:p>
    <w:p>
      <w:pPr>
        <w:pStyle w:val="TextBody"/>
        <w:bidi w:val="0"/>
        <w:spacing w:lineRule="auto" w:line="288" w:before="0" w:after="0"/>
        <w:ind w:left="0" w:right="0" w:hanging="360"/>
        <w:jc w:val="both"/>
        <w:rPr>
          <w:rFonts w:ascii="Times New Roman;sans-serif" w:hAnsi="Times New Roman;sans-serif"/>
          <w:b w:val="false"/>
          <w:i/>
          <w:color w:val="000000"/>
          <w:sz w:val="16"/>
        </w:rPr>
      </w:pPr>
      <w:r>
        <w:rPr>
          <w:rFonts w:ascii="Times New Roman;sans-serif" w:hAnsi="Times New Roman;sans-serif"/>
          <w:b w:val="false"/>
          <w:i/>
          <w:color w:val="000000"/>
          <w:sz w:val="16"/>
        </w:rPr>
        <w:t>(3)On January 3, 2023, we drew on the Revolving Credit Facility in the amount of C$140.0 million to fund a portion of the purchase price of the PURE Canadian Gaming Transaction. On August 31, 2023, we drew on the Revolving Credit Facility in the amount of C$75.0 million to fund a portion of the purchase price of the Century Canadian Portfolio Transaction. On October 24, 2023, we drew on the Revolving Credit Facility in the amount of £9.0 million to fund the Cabot Highlands Loan. The balances above are inclusive of foreign currency remeasurement.</w:t>
      </w:r>
    </w:p>
    <w:p>
      <w:pPr>
        <w:pStyle w:val="TextBody"/>
        <w:bidi w:val="0"/>
        <w:spacing w:lineRule="auto" w:line="288" w:before="0" w:after="0"/>
        <w:ind w:left="0" w:right="0" w:hanging="360"/>
        <w:jc w:val="both"/>
        <w:rPr/>
      </w:pPr>
      <w:r>
        <w:rPr>
          <w:rFonts w:ascii="Times New Roman;sans-serif" w:hAnsi="Times New Roman;sans-serif"/>
          <w:b w:val="false"/>
          <w:i/>
          <w:color w:val="000000"/>
          <w:sz w:val="16"/>
        </w:rPr>
        <w:t xml:space="preserve">(4)Interest rates represent the contractual interest rates adjusted to account for the impact of the forward-starting interest rate swaps and treasury locks (as further described in </w:t>
      </w:r>
      <w:hyperlink w:anchor="ib2fc48f0ddf244d9844b8de22bde2e36_166">
        <w:r>
          <w:rPr>
            <w:rStyle w:val="InternetLink"/>
            <w:rFonts w:ascii="Times New Roman;sans-serif" w:hAnsi="Times New Roman;sans-serif"/>
            <w:b w:val="false"/>
            <w:i/>
            <w:color w:val="0000FF"/>
            <w:sz w:val="16"/>
            <w:u w:val="single"/>
          </w:rPr>
          <w:t>Note 8 - Derivatives</w:t>
        </w:r>
      </w:hyperlink>
      <w:r>
        <w:rPr>
          <w:rFonts w:ascii="Times New Roman;sans-serif" w:hAnsi="Times New Roman;sans-serif"/>
          <w:b w:val="false"/>
          <w:i/>
          <w:color w:val="000000"/>
          <w:sz w:val="16"/>
        </w:rPr>
        <w:t xml:space="preserve">). The contractual interest rates on the April 2022 Notes maturing 2028, 2030 and 2032 are 4.750%, 4.950% and 5.125%, respectively. </w:t>
      </w:r>
    </w:p>
    <w:p>
      <w:pPr>
        <w:pStyle w:val="TextBody"/>
        <w:bidi w:val="0"/>
        <w:spacing w:lineRule="auto" w:line="288" w:before="0" w:after="0"/>
        <w:ind w:left="0" w:right="0" w:hanging="360"/>
        <w:jc w:val="both"/>
        <w:rPr/>
      </w:pPr>
      <w:r>
        <w:rPr>
          <w:rFonts w:ascii="Times New Roman;sans-serif" w:hAnsi="Times New Roman;sans-serif"/>
          <w:b w:val="false"/>
          <w:i/>
          <w:color w:val="000000"/>
          <w:sz w:val="16"/>
        </w:rPr>
        <w:t xml:space="preserve">(5)The interest rate represents the weighted average interest rates of the outstanding debt adjusted to account for the impact of the forward-starting interest rate swaps and treasury locks (as further described in </w:t>
      </w:r>
      <w:hyperlink w:anchor="ib2fc48f0ddf244d9844b8de22bde2e36_166">
        <w:r>
          <w:rPr>
            <w:rStyle w:val="InternetLink"/>
            <w:rFonts w:ascii="Times New Roman;sans-serif" w:hAnsi="Times New Roman;sans-serif"/>
            <w:b w:val="false"/>
            <w:i/>
            <w:color w:val="0000FF"/>
            <w:sz w:val="16"/>
            <w:u w:val="single"/>
          </w:rPr>
          <w:t>Note 8 - Derivatives</w:t>
        </w:r>
      </w:hyperlink>
      <w:r>
        <w:rPr>
          <w:rFonts w:ascii="Times New Roman;sans-serif" w:hAnsi="Times New Roman;sans-serif"/>
          <w:b w:val="false"/>
          <w:i/>
          <w:color w:val="000000"/>
          <w:sz w:val="16"/>
        </w:rPr>
        <w:t xml:space="preserve">), as applicable. The contractual weighted average interest rate as of December 31, 2023, which excludes the impact of the forward-starting interest rate swaps and treasury locks, was 4.49%. </w:t>
      </w:r>
    </w:p>
    <w:p>
      <w:pPr>
        <w:pStyle w:val="TextBody"/>
        <w:bidi w:val="0"/>
        <w:spacing w:lineRule="auto" w:line="288" w:before="0" w:after="0"/>
        <w:ind w:left="0" w:right="0" w:hanging="360"/>
        <w:jc w:val="both"/>
        <w:rPr>
          <w:rFonts w:ascii="Times New Roman;sans-serif" w:hAnsi="Times New Roman;sans-serif"/>
          <w:b w:val="false"/>
          <w:i/>
          <w:color w:val="000000"/>
          <w:sz w:val="16"/>
        </w:rPr>
      </w:pPr>
      <w:r>
        <w:rPr>
          <w:rFonts w:ascii="Times New Roman;sans-serif" w:hAnsi="Times New Roman;sans-serif"/>
          <w:b w:val="false"/>
          <w:i/>
          <w:color w:val="000000"/>
          <w:sz w:val="16"/>
        </w:rPr>
        <w:t>(6)The Delayed Draw Term Loan was available to be drawn up to 12 months following the effective date of February 8, 2022. On February 8, 2023, the Delayed Draw Term Loan facility expired undrawn in accordance with its terms.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222885"/>
                <wp:effectExtent l="0" t="0" r="0" b="0"/>
                <wp:wrapNone/>
                <wp:docPr id="111" name="Frame10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 - 39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 - 39</w:t>
                      </w:r>
                    </w:p>
                  </w:txbxContent>
                </v:textbox>
                <w10:wrap type="none"/>
              </v:rect>
            </w:pict>
          </mc:Fallback>
        </mc:AlternateContent>
      </w:r>
    </w:p>
    <w:p>
      <w:pPr>
        <w:pStyle w:val="TextBody"/>
        <w:bidi w:val="0"/>
        <w:spacing w:lineRule="auto" w:line="288" w:before="60" w:after="283"/>
        <w:jc w:val="both"/>
        <w:rPr/>
      </w:pPr>
      <w:hyperlink w:anchor="ib2fc48f0ddf244d9844b8de22bde2e36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is a schedule of future minimum payments of our debt obligations as of December 31, 2023:</w:t>
      </w:r>
    </w:p>
    <w:tbl>
      <w:tblPr>
        <w:tblW w:w="4634" w:type="dxa"/>
        <w:jc w:val="center"/>
        <w:tblInd w:w="0" w:type="dxa"/>
        <w:tblLayout w:type="fixed"/>
        <w:tblCellMar>
          <w:top w:w="28" w:type="dxa"/>
          <w:left w:w="28" w:type="dxa"/>
          <w:bottom w:w="28" w:type="dxa"/>
          <w:right w:w="28" w:type="dxa"/>
        </w:tblCellMar>
      </w:tblPr>
      <w:tblGrid>
        <w:gridCol w:w="853"/>
        <w:gridCol w:w="750"/>
        <w:gridCol w:w="752"/>
        <w:gridCol w:w="332"/>
        <w:gridCol w:w="1705"/>
        <w:gridCol w:w="242"/>
      </w:tblGrid>
      <w:tr>
        <w:trPr/>
        <w:tc>
          <w:tcPr>
            <w:tcW w:w="853"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70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w:t>
            </w:r>
          </w:p>
        </w:tc>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Future Minimum Payments</w:t>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1,050,000 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2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2,050,000 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2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1,923,804 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2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1,500,000 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2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1,600,000 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2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9,000,000 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minimum repayments</w:t>
            </w:r>
          </w:p>
        </w:tc>
        <w:tc>
          <w:tcPr>
            <w:tcW w:w="3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17,123,804 </w:t>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Senior Unsecured Notes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set forth in the above table, our outstanding senior unsecured notes consist of (i) $2.25 billion aggregate principal amount of November 2019 Senior Notes issued on November 26, 2019, (ii) $2.5 billion aggregate principal amount of February 2020 Notes issued on February 5, 2020, (iii) $5.0 billion aggregate principal amount of April 2022 Notes issued on April 29, 2022, (iv) approximately $4.1 billion aggregate principal amount of Exchange Notes issued on April 29, 2022, in each case issued by the VICI LP and VICI Note Co. Inc., and (v) approximately $90.0 million aggregate principal amount of MGP OP Notes, which were originally issued by MGM Growth Properties Operating Partnership LP and a co-issuer and remain outstanding following the issuance of the Exchange Notes pursuant to the exchange offer and consent solicitation for the then-outstanding MGP OP Notes, which settled in connection with the completion of our acquisition of MGP on April 29, 2022 (collectively, the “Senior Unsecured Notes”). Subject to the terms and conditions of the respective indentures, each series of Senior Unsecured Notes is redeemable at our option, in whole or in part, at any time for a specified period prior to the maturity date of such series at the redemption prices set forth in the respective indenture governing such series. In addition, we may redeem some or all of such notes prior to such respective dates at a price equal to 100% of the principal amount thereof plus a “make-whole” premium.</w:t>
      </w:r>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Guarantee and Financial Covenants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None of the Senior Unsecured Notes are guaranteed by any subsidiaries of VICI LP. The Exchange Notes, the MGP OP Notes and the April 2022 Notes benefit from a pledge of the limited partnership interests of VICI LP directly owned by VICI OP (the “Limited Equity Pledge”). The Limited Equity Pledge has also been granted in favor of (i) the administrative agent and the lenders under the Credit Agreement and (ii) the trustee under the indentures governing, and the holders of, the November 2019 Notes and the February 2020 Notes.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terms of the respective indentures, in the event that the November 2019 Notes, February 2020 Notes and Exchange Notes (i) are rated investment grade by at least two of S&amp;P, Moody’s and Fitch and (ii) no default or event of default has occurred and is continuing under the respective indentures, VICI LP and its restricted subsidiaries will no longer be subject to certain of the restrictive covenants under such indentures. On April 18, 2022, the November 2019 Notes, February 2020 Notes and Exchange Notes were rated investment grade by each of S&amp;P and Fitch and VICI LP notified the trustee of such Suspension Date (as defined in the indentures). Accordingly, VICI LP and its restricted subsidiaries are no longer subject to certain of the restrictive covenants under such indentures, but are subject to a maintenance covenant requiring VICI LP and its restricted subsidiaries to maintain a certain total unencumbered assets to unsecured debt ratio. In the event that the November 2019 Notes, February 2020 Notes and Exchange Notes are no longer rated investment grade by at least two of S&amp;P, Moody’s and Fitch, then VICI LP and its restricted subsidiaries will again be subject to all of the covenants of the respective indentures, as applicable, but will no longer be subject to the maintenance covenant.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indenture governing the April 2022 Notes contains certain covenants that limit the ability of VICI LP and its subsidiaries to incur secured and unsecured indebtedness and VICI LP to consummate a merger, consolidation or sale of all or substantially all of its assets. In addition, VICI LP is required to maintain total unencumbered assets of at least 150% of total unsecured indebtedness. These covenants are subject to a number of important exceptions and qualifications.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222885"/>
                <wp:effectExtent l="0" t="0" r="0" b="0"/>
                <wp:wrapNone/>
                <wp:docPr id="112" name="Frame11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 - 40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 - 40</w:t>
                      </w:r>
                    </w:p>
                  </w:txbxContent>
                </v:textbox>
                <w10:wrap type="none"/>
              </v:rect>
            </w:pict>
          </mc:Fallback>
        </mc:AlternateContent>
      </w:r>
    </w:p>
    <w:p>
      <w:pPr>
        <w:pStyle w:val="TextBody"/>
        <w:bidi w:val="0"/>
        <w:spacing w:lineRule="auto" w:line="288" w:before="60" w:after="283"/>
        <w:jc w:val="both"/>
        <w:rPr/>
      </w:pPr>
      <w:hyperlink w:anchor="ib2fc48f0ddf244d9844b8de22bde2e36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Unsecured Credit Facilities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8, 2022, we entered into a credit agreement by and among VICI LP, the lenders from time to time party thereto, and JPMorgan Chase Bank, N.A., as administrative agent, as amended from time to time (“Credit Agreement”), providing for (i) a revolving credit facility in the amount of $2.5 billion scheduled to mature on March 31, 2026 (“Revolving Credit Facility”) and (ii) a delayed draw term loan in the amount of $1.0 billion scheduled to mature on March 31, 2025 (“Delayed Draw Term Loan”). The Delayed Draw Term Loan was available to be drawn up to 12 months following the effective date of February 8, 2022 and expired undrawn on February 8, 2023 in accordance with its terms.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Revolving Credit Facility includes two six-month maturity extension options the exercise of which is subject to customary conditions and the payment of an extension fee of 0.0625% on the extended commitments. Additionally, the Revolving Credit Facility includes the option to increase the revolving loan commitments by up to $1.0 billion to the extent that any one or more lenders (from the syndicate or otherwise) agree to provide such additional credit extensions. On July 15, 2022, the Credit Agreement was amended pursuant to a First Amendment among VICI LP and the lenders party thereto, in order to permit borrowings under the Revolving Credit Facility in certain foreign currencies in an aggregate principal amount of up to the equivalent of $1.25 billion. On August 4, 2023, the Credit Agreement was amended pursuant to a Second Amendment among VICI LP and the lenders party thereto, in order to replace certain of the participating lenders.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Borrowings under the Revolving Credit Facility bear interest, at VICI LP’s option, at a benchmark rate based on SOFR (or CDOR for Canadian dollars or SONIA for Sterling) (including a credit spread adjustment) plus a margin ranging from 0.775% to 1.325% or a base rate (or Canadian prime rate for Canadian dollars) plus a margin ranging from 0.00% to 0.325%, in each case, with the actual margin determined according to VICI LP’s debt ratings. The base rate is the highest of (i) the prime rate of interest last quoted by the Wall Street Journal in the U.S. then in effect, (ii) the NYFRB rate from time to time plus 0.5% and (iii) the SOFR rate for a one-month interest period plus 1.0%, subject in each case to a floor of 1.0%. The Canadian prime rate is the highest of (i) the PRIMCAN Index rate and (ii) the average rate for thirty day Canadian Dollar bankers’ acceptance quoted by Reuters plus 1.0%, subject in each case to a floor of 1.0%. In addition, the Revolving Credit Facility requires the payment of a facility fee ranging from 0.15% to 0.375% (depending on VICI LP’s debt rating) of total revolving commitments.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terms of the Credit Agreement, VICI LP is subject to, among other things, customary covenants and the maintenance of various financial covenants. The Credit Agreement is consistent with certain tax-related requirements related to security for the Company’s debt.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draw and repayment activity for the Revolving Credit Facility during the years ended December 31, 2023 and 2022 is set forth below: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On October 24, 2023, we drew on the Revolving Credit Facility in the amount of £9.0 million (approximately US$10.9 million based on the exchange rate at the time of funding) to fund the Cabot Highlands Loan.</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On August 31, 2023, we drew on the Revolving Credit Facility in the amount of C$75.0 million (approximately US$55.0 million based on the exchange rate at the time of the acquisition) to fund a portion of the purchase price of the Century Canadian Portfolio Transaction.</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On January 3, 2023, we drew on the Revolving Credit Facility in the amount of C$140.0 million (approximately US$103.4 million based on the exchange rate at the time of the acquisition) to fund a portion of the purchase price of the PURE Canadian Gaming Transaction.</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On February 18, 2022, we drew on the Revolving Credit Facility in the amount of $600.0 million to fund a portion of the purchase price of the acquisition of the Venetian Resort, which closed on February 23, 2022 (“Venetian Acquisition”). On April 29, 2022, we repaid the outstanding balance of the Revolving Credit Facility using the proceeds from the April 2022 Notes offering. </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Senior Secured Credit Facilities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December 2017, VICI Properties 1 LLC (“VICI PropCo”) entered into a credit agreement (as amended, amended and restated and otherwise modified, the “2017 Credit Agreement”), comprised of a $2.2 billion seven-year senior secured first lien term loan facility (“Term Loan B Facility”) and a $1.0 billion secured revolving credit facility (the Term Loan B Facility and the secured revolving credit facility, as amended, are referred to together as the “Senior Secured Credit Facilities”). The Term Loan B Facility was repaid in full on September 15, 2021, resulting in recognition of a loss on extinguishment of debt of $15.6 million during the year ended December 31, 2021, representing the write-off of the remaining unamortized deferred financing costs. On February 8, 2022, we terminated the secured revolving credit facility (including the first priority lien 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222885"/>
                <wp:effectExtent l="0" t="0" r="0" b="0"/>
                <wp:wrapNone/>
                <wp:docPr id="113" name="Frame11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 - 41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 - 41</w:t>
                      </w:r>
                    </w:p>
                  </w:txbxContent>
                </v:textbox>
                <w10:wrap type="none"/>
              </v:rect>
            </w:pict>
          </mc:Fallback>
        </mc:AlternateContent>
      </w:r>
    </w:p>
    <w:p>
      <w:pPr>
        <w:pStyle w:val="TextBody"/>
        <w:bidi w:val="0"/>
        <w:spacing w:lineRule="auto" w:line="288" w:before="60" w:after="283"/>
        <w:jc w:val="both"/>
        <w:rPr/>
      </w:pPr>
      <w:hyperlink w:anchor="ib2fc48f0ddf244d9844b8de22bde2e36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substantially all of VICI PropCo’s material assets and those of its existing and subsequently acquired wholly owned material domestic restricted subsidiaries) and the 2017 Credit Agreement and entered into the Credit Agreement, as described above.</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MGM Grand/Mandalay Bay CMBS Debt</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January 9, 2023, as a result of the MGM Grand/Mandalay Bay JV Interest Acquisition, we consolidated the assets and liabilities of the MGM Grand/Mandalay Bay JV, which includes the $3.0 billion in principal amount of outstanding CMBS debt (the “MGM Grand/ Mandalay Bay CMBS Debt”). The MGM Grand/Mandalay Bay CMBS Debt was originally incurred on February 14, 2020 pursuant to a loan agreement (as amended from time to time, the “MGM Grand/Mandalay Bay CMBS Loan Agreement”), and is secured primarily by mortgages on certain affiliates of the MGM Grand/Mandalay Bay JV’s fee interest in the real estate assets related to the MGM Grand Las Vegas and the Mandalay Bay Resort and Casino. The MGM Grand/Mandalay Bay CMBS Debt matures in March 2032 and bears interest at 3.558% per annum until March 2030 at which time the rate can change in accordance with the terms of the MGM Grand Mandalay Bay CMBS Loan Agreement until maturity. The MGM Grand/Mandalay Bay CMBS Loan Agreement contains certain customary affirmative and negative covenants and events of default, including, among other things, restrictions on the ability of the MGM Grand/Mandalay Bay JV and certain of its affiliates to incur additional debt and transfer, pledge or assign certain equity interests or its assets, and covenants requiring certain affiliates of the MGM Grand/Mandalay Bay JV to exist as “special purpose entities,” maintain certain ongoing reserve funds and comply with other customary obligations for commercial mortgage-backed securities loan financings.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Bridge Facilities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our acquisitions, from time to time, we enter into agreements with certain lenders pursuant to which they provide financing commitments, typically consisting of a 364-day first lien secured bridge facility, for the purpose of providing all or a portion of financing necessary in connection with the closing of such transactions. A description of our previous bridge facilities is included below: </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i/>
          <w:color w:val="000000"/>
          <w:sz w:val="20"/>
        </w:rPr>
        <w:t>MGP Transactions Bridge Facility</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On August 4, 2021, VICI PropCo entered into a Commitment Letter with certain lenders pursuant to which they provided commitments in an amount up to $9.3 billion in the aggregate for the purpose of providing a portion of the financing necessary in connection with the closing of the MGP Transactions, which was fully terminated on April 29, 2022 in connection with such closing.</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i/>
          <w:color w:val="000000"/>
          <w:sz w:val="20"/>
        </w:rPr>
        <w:t>Venetian Acquisition Bridge Facility</w:t>
      </w:r>
      <w:r>
        <w:rPr>
          <w:rFonts w:ascii="Times New Roman;sans-serif" w:hAnsi="Times New Roman;sans-serif"/>
          <w:b w:val="false"/>
          <w:color w:val="000000"/>
          <w:sz w:val="20"/>
        </w:rPr>
        <w:t>: On March 2, 2021, VICI PropCo entered into a Commitment Letter with certain lenders pursuant to which they provided commitments in an amount up to $4.0 billion in the aggregate for the purpose of providing a portion of the financing necessary to fund the consideration in connection with the closing of the Venetian Acquisition, which was fully terminated on February 23, 2022 in connection with such closing.</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each case the commitments were subject to a tiered commitment fee based on the period the respective commitment was outstanding and a structuring fee. The following table shows the amount of such fees recognized in Interest expense on our Statement of Operations for the years ended December 31, 2023, 2022 and 2021:</w:t>
      </w:r>
    </w:p>
    <w:tbl>
      <w:tblPr>
        <w:tblW w:w="6642" w:type="dxa"/>
        <w:jc w:val="left"/>
        <w:tblInd w:w="0" w:type="dxa"/>
        <w:tblLayout w:type="fixed"/>
        <w:tblCellMar>
          <w:top w:w="28" w:type="dxa"/>
          <w:left w:w="28" w:type="dxa"/>
          <w:bottom w:w="28" w:type="dxa"/>
          <w:right w:w="28" w:type="dxa"/>
        </w:tblCellMar>
      </w:tblPr>
      <w:tblGrid>
        <w:gridCol w:w="1134"/>
        <w:gridCol w:w="998"/>
        <w:gridCol w:w="1003"/>
        <w:gridCol w:w="211"/>
        <w:gridCol w:w="406"/>
        <w:gridCol w:w="109"/>
        <w:gridCol w:w="109"/>
        <w:gridCol w:w="109"/>
        <w:gridCol w:w="109"/>
        <w:gridCol w:w="211"/>
        <w:gridCol w:w="721"/>
        <w:gridCol w:w="109"/>
        <w:gridCol w:w="109"/>
        <w:gridCol w:w="109"/>
        <w:gridCol w:w="109"/>
        <w:gridCol w:w="211"/>
        <w:gridCol w:w="721"/>
        <w:gridCol w:w="154"/>
      </w:tblGrid>
      <w:tr>
        <w:trPr/>
        <w:tc>
          <w:tcPr>
            <w:tcW w:w="1134"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w:t>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MGP Transactions Bridge Facility</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38,762 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Venetian Acquisition Bridge Facility</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Financial Covenants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described above, our debt obligations are subject to certain customary financial and protective covenants that restrict VICI LP, VICI PropCo and its subsidiaries’ ability to incur additional debt, sell certain asset and restrict certain payments, among other things. These covenants are subject to a number of exceptions and qualifications, including the ability to make restricted payments to maintain our REIT status. At December 31, 2023, we are in compliance with all financial covenants under our debt obligations.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222885"/>
                <wp:effectExtent l="0" t="0" r="0" b="0"/>
                <wp:wrapNone/>
                <wp:docPr id="114" name="Frame11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 - 42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 - 42</w:t>
                      </w:r>
                    </w:p>
                  </w:txbxContent>
                </v:textbox>
                <w10:wrap type="none"/>
              </v:rect>
            </w:pict>
          </mc:Fallback>
        </mc:AlternateContent>
      </w:r>
    </w:p>
    <w:p>
      <w:pPr>
        <w:pStyle w:val="TextBody"/>
        <w:bidi w:val="0"/>
        <w:spacing w:lineRule="auto" w:line="288" w:before="60" w:after="283"/>
        <w:jc w:val="both"/>
        <w:rPr/>
      </w:pPr>
      <w:hyperlink w:anchor="ib2fc48f0ddf244d9844b8de22bde2e36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240" w:after="283"/>
        <w:jc w:val="both"/>
        <w:rPr>
          <w:rFonts w:ascii="Times New Roman;sans-serif" w:hAnsi="Times New Roman;sans-serif"/>
          <w:b/>
          <w:color w:val="000000"/>
          <w:sz w:val="24"/>
        </w:rPr>
      </w:pPr>
      <w:r>
        <w:rPr>
          <w:rFonts w:ascii="Times New Roman;sans-serif" w:hAnsi="Times New Roman;sans-serif"/>
          <w:b/>
          <w:color w:val="000000"/>
          <w:sz w:val="24"/>
        </w:rPr>
        <w:t xml:space="preserve">Note 8 — Derivatives </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Forward-Starting Derivatives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From March through December 2023, we entered into seven forward-starting interest rate swap agreements with an aggregate notional amount of $500.0 million to hedge against changes in future cash flows resulting from changes in interest rates from the trade date through the forecasted issuance of $500.0 million of senior unsecured notes. We hedged our exposure to the variability in future cash flows for a forecasted issuance of long-term debt over a maximum period ending December 2024. The forward-starting interest rate swaps are designated as cash-flow hedges.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detail our outstanding interest rate derivatives that were designated as cash flow hedges of interest rate risk as of December 31, 2023. As of December 31, 2022, there were no derivative instruments outstanding.</w:t>
      </w:r>
    </w:p>
    <w:tbl>
      <w:tblPr>
        <w:tblW w:w="10205" w:type="dxa"/>
        <w:jc w:val="left"/>
        <w:tblInd w:w="0" w:type="dxa"/>
        <w:tblLayout w:type="fixed"/>
        <w:tblCellMar>
          <w:top w:w="28" w:type="dxa"/>
          <w:left w:w="28" w:type="dxa"/>
          <w:bottom w:w="28" w:type="dxa"/>
          <w:right w:w="28" w:type="dxa"/>
        </w:tblCellMar>
      </w:tblPr>
      <w:tblGrid>
        <w:gridCol w:w="988"/>
        <w:gridCol w:w="619"/>
        <w:gridCol w:w="595"/>
        <w:gridCol w:w="109"/>
        <w:gridCol w:w="109"/>
        <w:gridCol w:w="109"/>
        <w:gridCol w:w="507"/>
        <w:gridCol w:w="507"/>
        <w:gridCol w:w="509"/>
        <w:gridCol w:w="109"/>
        <w:gridCol w:w="109"/>
        <w:gridCol w:w="109"/>
        <w:gridCol w:w="466"/>
        <w:gridCol w:w="466"/>
        <w:gridCol w:w="468"/>
        <w:gridCol w:w="109"/>
        <w:gridCol w:w="109"/>
        <w:gridCol w:w="109"/>
        <w:gridCol w:w="294"/>
        <w:gridCol w:w="294"/>
        <w:gridCol w:w="298"/>
        <w:gridCol w:w="109"/>
        <w:gridCol w:w="109"/>
        <w:gridCol w:w="109"/>
        <w:gridCol w:w="482"/>
        <w:gridCol w:w="482"/>
        <w:gridCol w:w="491"/>
        <w:gridCol w:w="109"/>
        <w:gridCol w:w="109"/>
        <w:gridCol w:w="109"/>
        <w:gridCol w:w="320"/>
        <w:gridCol w:w="320"/>
        <w:gridCol w:w="464"/>
      </w:tblGrid>
      <w:tr>
        <w:trPr/>
        <w:tc>
          <w:tcPr>
            <w:tcW w:w="988"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r>
      <w:tr>
        <w:trPr/>
        <w:tc>
          <w:tcPr>
            <w:tcW w:w="22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6"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22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Instrument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Number of Instruments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 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Notional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Index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Maturity</w:t>
            </w:r>
          </w:p>
        </w:tc>
      </w:tr>
      <w:tr>
        <w:trPr/>
        <w:tc>
          <w:tcPr>
            <w:tcW w:w="220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Forward-starting interest rate swap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3.6685%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USD SOFR- COMPOUND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6, 2034</w:t>
            </w:r>
          </w:p>
        </w:tc>
      </w:tr>
      <w:tr>
        <w:trPr/>
        <w:tc>
          <w:tcPr>
            <w:tcW w:w="2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r>
      <w:tr>
        <w:trPr/>
        <w:tc>
          <w:tcPr>
            <w:tcW w:w="2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r>
      <w:tr>
        <w:trPr/>
        <w:tc>
          <w:tcPr>
            <w:tcW w:w="2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r>
      <w:tr>
        <w:trPr/>
        <w:tc>
          <w:tcPr>
            <w:tcW w:w="2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r>
      <w:tr>
        <w:trPr/>
        <w:tc>
          <w:tcPr>
            <w:tcW w:w="2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r>
      <w:tr>
        <w:trPr/>
        <w:tc>
          <w:tcPr>
            <w:tcW w:w="2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From December 2021 through April 2022, we entered into five forward-starting interest rate swap agreements with an aggregate notional amount of $2.5 billion and two U.S. Treasury Rate Lock agreements with an aggregate notional amount of $500.0 million to hedge against changes in future cash flows resulting from changes in interest rates from the trade date through the forecasted issuance date of $3.0 billion of long-term debt. The forward-starting interest rate swaps and treasury locks were designated as cash-flow hedges. In April 2022, in connection with the April 2022 Notes offering, we settled the outstanding forward-starting interest rate swaps for total net proceeds of $202.3 million and the treasury locks for total net proceeds of $4.5 million. Since the forward-starting swaps and treasury locks were hedging the interest rate risk on the April 2022 Notes, the unrealized gain in Accumulated other comprehensive income will be amortized over the term of the respective derivative instruments, which matches that of the underlying note, as a reduction in interest expense.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effect of our forward-starting derivative financial instruments on our Statement of Operations:</w:t>
      </w:r>
    </w:p>
    <w:tbl>
      <w:tblPr>
        <w:tblW w:w="10205" w:type="dxa"/>
        <w:jc w:val="left"/>
        <w:tblInd w:w="0" w:type="dxa"/>
        <w:tblLayout w:type="fixed"/>
        <w:tblCellMar>
          <w:top w:w="28" w:type="dxa"/>
          <w:left w:w="28" w:type="dxa"/>
          <w:bottom w:w="28" w:type="dxa"/>
          <w:right w:w="28" w:type="dxa"/>
        </w:tblCellMar>
      </w:tblPr>
      <w:tblGrid>
        <w:gridCol w:w="2419"/>
        <w:gridCol w:w="2107"/>
        <w:gridCol w:w="2117"/>
        <w:gridCol w:w="211"/>
        <w:gridCol w:w="669"/>
        <w:gridCol w:w="109"/>
        <w:gridCol w:w="109"/>
        <w:gridCol w:w="109"/>
        <w:gridCol w:w="109"/>
        <w:gridCol w:w="211"/>
        <w:gridCol w:w="826"/>
        <w:gridCol w:w="109"/>
        <w:gridCol w:w="109"/>
        <w:gridCol w:w="109"/>
        <w:gridCol w:w="109"/>
        <w:gridCol w:w="211"/>
        <w:gridCol w:w="406"/>
        <w:gridCol w:w="156"/>
      </w:tblGrid>
      <w:tr>
        <w:trPr/>
        <w:tc>
          <w:tcPr>
            <w:tcW w:w="2419" w:type="dxa"/>
            <w:tcBorders/>
            <w:vAlign w:val="center"/>
          </w:tcPr>
          <w:p>
            <w:pPr>
              <w:pStyle w:val="TableContents"/>
              <w:bidi w:val="0"/>
              <w:spacing w:before="0" w:after="283"/>
              <w:jc w:val="left"/>
              <w:rPr>
                <w:sz w:val="4"/>
                <w:szCs w:val="4"/>
              </w:rPr>
            </w:pPr>
            <w:r>
              <w:rPr>
                <w:sz w:val="4"/>
                <w:szCs w:val="4"/>
              </w:rPr>
            </w:r>
          </w:p>
        </w:tc>
        <w:tc>
          <w:tcPr>
            <w:tcW w:w="2107" w:type="dxa"/>
            <w:tcBorders/>
            <w:vAlign w:val="center"/>
          </w:tcPr>
          <w:p>
            <w:pPr>
              <w:pStyle w:val="TableContents"/>
              <w:bidi w:val="0"/>
              <w:spacing w:before="0" w:after="283"/>
              <w:jc w:val="left"/>
              <w:rPr>
                <w:sz w:val="4"/>
                <w:szCs w:val="4"/>
              </w:rPr>
            </w:pPr>
            <w:r>
              <w:rPr>
                <w:sz w:val="4"/>
                <w:szCs w:val="4"/>
              </w:rPr>
            </w:r>
          </w:p>
        </w:tc>
        <w:tc>
          <w:tcPr>
            <w:tcW w:w="21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66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w:t>
            </w:r>
          </w:p>
        </w:tc>
        <w:tc>
          <w:tcPr>
            <w:tcW w:w="9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66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(loss) gain recorded in other comprehensive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200,550 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Reduction in interest expense related to the amortization of the forward-starting interest rate swaps and treasury locks</w:t>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Net Investment Hedges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C$140.0 million, C$75.0 million and £9.0 million draws on the Revolving Credit Facility in connection with the PURE Canadian Gaming Transaction, Century Canadian Portfolio Transaction and Cabot Highlands loan, respectively, reduce the impact of exchange rate variations associated with our investments in such entities, and, accordingly, has been designated as a hedge of the net investment in the PURE Canadian Gaming entities, Century Canadian Portfolio entities and Cabot Highlands entity, respectively. As non-derivative net investment hedges, the impact of changes in foreign currency exchange rates on the principal balances are recognized as a cumulative translation adjustment within accumulated other comprehensive income. For the year ended December 31, 2023, we recognized $6.2 million in unrealized losses related to such net investment hedges, which were recorded as a component of Foreign currency translation adjustments in the Statement of Operations. </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Interest Rate Swaps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April 2018 and January 2019, we entered into six interest rate swap agreements with third party financial institutions having an aggregate notional amount of $2.0 billion which were designated as cash flow hedges that effectively fixed the LIBOR component of the interest rate on a portion of the outstanding debt under the Term Loan B Facility. On September 15, 2021, in connection with the full repayment of the Term Loan B Facility, we unwound and settled all of our outstanding interest rate swap agreements resulting in a cash payment of $66.9 million, inclusive of accrued interest of $2.7 million. The full amount held in Other comprehensive income, $64.2 million, was immediately reclassified to Interest expense.</w:t>
      </w:r>
    </w:p>
    <w:p>
      <w:pPr>
        <w:pStyle w:val="TextBody"/>
        <w:bidi w:val="0"/>
        <w:spacing w:before="18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222885"/>
                <wp:effectExtent l="0" t="0" r="0" b="0"/>
                <wp:wrapNone/>
                <wp:docPr id="115" name="Frame11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 - 43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 - 43</w:t>
                      </w:r>
                    </w:p>
                  </w:txbxContent>
                </v:textbox>
                <w10:wrap type="none"/>
              </v:rect>
            </w:pict>
          </mc:Fallback>
        </mc:AlternateContent>
      </w:r>
    </w:p>
    <w:p>
      <w:pPr>
        <w:pStyle w:val="TextBody"/>
        <w:bidi w:val="0"/>
        <w:spacing w:lineRule="auto" w:line="288" w:before="60" w:after="283"/>
        <w:jc w:val="both"/>
        <w:rPr/>
      </w:pPr>
      <w:hyperlink w:anchor="ib2fc48f0ddf244d9844b8de22bde2e36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effect of our interest rate swaps on our Statement of Operations:</w:t>
      </w:r>
    </w:p>
    <w:tbl>
      <w:tblPr>
        <w:tblW w:w="8156" w:type="dxa"/>
        <w:jc w:val="center"/>
        <w:tblInd w:w="0" w:type="dxa"/>
        <w:tblLayout w:type="fixed"/>
        <w:tblCellMar>
          <w:top w:w="28" w:type="dxa"/>
          <w:left w:w="28" w:type="dxa"/>
          <w:bottom w:w="28" w:type="dxa"/>
          <w:right w:w="28" w:type="dxa"/>
        </w:tblCellMar>
      </w:tblPr>
      <w:tblGrid>
        <w:gridCol w:w="1797"/>
        <w:gridCol w:w="1580"/>
        <w:gridCol w:w="1587"/>
        <w:gridCol w:w="211"/>
        <w:gridCol w:w="406"/>
        <w:gridCol w:w="109"/>
        <w:gridCol w:w="109"/>
        <w:gridCol w:w="109"/>
        <w:gridCol w:w="109"/>
        <w:gridCol w:w="211"/>
        <w:gridCol w:w="406"/>
        <w:gridCol w:w="109"/>
        <w:gridCol w:w="109"/>
        <w:gridCol w:w="109"/>
        <w:gridCol w:w="109"/>
        <w:gridCol w:w="211"/>
        <w:gridCol w:w="721"/>
        <w:gridCol w:w="154"/>
      </w:tblGrid>
      <w:tr>
        <w:trPr/>
        <w:tc>
          <w:tcPr>
            <w:tcW w:w="1797"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c>
          <w:tcPr>
            <w:tcW w:w="15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4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w:t>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recorded in other comprehensive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29,166 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from interest rate swaps recorded in interest expense</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 settlement recorded in interest expense</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4"/>
        </w:rPr>
      </w:pPr>
      <w:r>
        <w:rPr>
          <w:rFonts w:ascii="Times New Roman;sans-serif" w:hAnsi="Times New Roman;sans-serif"/>
          <w:b/>
          <w:color w:val="000000"/>
          <w:sz w:val="24"/>
        </w:rPr>
        <w:t xml:space="preserve">Note 9 — Fair Value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summarize our assets and liabilities measured at fair value on a recurring basis as of December 31, 2023 and 2022:</w:t>
      </w:r>
    </w:p>
    <w:tbl>
      <w:tblPr>
        <w:tblW w:w="10073" w:type="dxa"/>
        <w:jc w:val="left"/>
        <w:tblInd w:w="0" w:type="dxa"/>
        <w:tblLayout w:type="fixed"/>
        <w:tblCellMar>
          <w:top w:w="28" w:type="dxa"/>
          <w:left w:w="28" w:type="dxa"/>
          <w:bottom w:w="28" w:type="dxa"/>
          <w:right w:w="28" w:type="dxa"/>
        </w:tblCellMar>
      </w:tblPr>
      <w:tblGrid>
        <w:gridCol w:w="1831"/>
        <w:gridCol w:w="1610"/>
        <w:gridCol w:w="1613"/>
        <w:gridCol w:w="304"/>
        <w:gridCol w:w="1039"/>
        <w:gridCol w:w="157"/>
        <w:gridCol w:w="109"/>
        <w:gridCol w:w="109"/>
        <w:gridCol w:w="109"/>
        <w:gridCol w:w="211"/>
        <w:gridCol w:w="406"/>
        <w:gridCol w:w="109"/>
        <w:gridCol w:w="109"/>
        <w:gridCol w:w="109"/>
        <w:gridCol w:w="109"/>
        <w:gridCol w:w="211"/>
        <w:gridCol w:w="721"/>
        <w:gridCol w:w="109"/>
        <w:gridCol w:w="109"/>
        <w:gridCol w:w="109"/>
        <w:gridCol w:w="109"/>
        <w:gridCol w:w="211"/>
        <w:gridCol w:w="406"/>
        <w:gridCol w:w="154"/>
      </w:tblGrid>
      <w:tr>
        <w:trPr/>
        <w:tc>
          <w:tcPr>
            <w:tcW w:w="1831" w:type="dxa"/>
            <w:tcBorders/>
            <w:vAlign w:val="center"/>
          </w:tcPr>
          <w:p>
            <w:pPr>
              <w:pStyle w:val="TableContents"/>
              <w:bidi w:val="0"/>
              <w:spacing w:before="0" w:after="283"/>
              <w:jc w:val="left"/>
              <w:rPr>
                <w:sz w:val="4"/>
                <w:szCs w:val="4"/>
              </w:rPr>
            </w:pPr>
            <w:r>
              <w:rPr>
                <w:sz w:val="4"/>
                <w:szCs w:val="4"/>
              </w:rPr>
            </w:r>
          </w:p>
        </w:tc>
        <w:tc>
          <w:tcPr>
            <w:tcW w:w="1610" w:type="dxa"/>
            <w:tcBorders/>
            <w:vAlign w:val="center"/>
          </w:tcPr>
          <w:p>
            <w:pPr>
              <w:pStyle w:val="TableContents"/>
              <w:bidi w:val="0"/>
              <w:spacing w:before="0" w:after="283"/>
              <w:jc w:val="left"/>
              <w:rPr>
                <w:sz w:val="4"/>
                <w:szCs w:val="4"/>
              </w:rPr>
            </w:pPr>
            <w:r>
              <w:rPr>
                <w:sz w:val="4"/>
                <w:szCs w:val="4"/>
              </w:rPr>
            </w:r>
          </w:p>
        </w:tc>
        <w:tc>
          <w:tcPr>
            <w:tcW w:w="1613"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9"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5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r>
      <w:tr>
        <w:trPr/>
        <w:tc>
          <w:tcPr>
            <w:tcW w:w="5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thousands)</w:t>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3</w:t>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i/>
                <w:color w:val="000000"/>
                <w:sz w:val="20"/>
              </w:rPr>
            </w:pPr>
            <w:r>
              <w:rPr>
                <w:rFonts w:ascii="Times New Roman;sans-serif" w:hAnsi="Times New Roman;sans-serif"/>
                <w:b/>
                <w:i/>
                <w:color w:val="000000"/>
                <w:sz w:val="20"/>
              </w:rPr>
              <w:t>Financial assets:</w:t>
            </w:r>
          </w:p>
        </w:tc>
        <w:tc>
          <w:tcPr>
            <w:tcW w:w="15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ans-serif" w:hAnsi="Times New Roman;sans-serif"/>
                <w:b w:val="false"/>
                <w:color w:val="000000"/>
                <w:sz w:val="20"/>
              </w:rPr>
              <w:t xml:space="preserve">Derivative instruments - forward-starting interest rate swap </w:t>
            </w:r>
            <w:r>
              <w:rPr>
                <w:rFonts w:ascii="Times New Roman;sans-serif" w:hAnsi="Times New Roman;sans-serif"/>
                <w:b w:val="false"/>
                <w:i/>
                <w:color w:val="000000"/>
                <w:sz w:val="13"/>
              </w:rPr>
              <w:t>(1)</w:t>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Financial liabilities:</w:t>
            </w:r>
          </w:p>
        </w:tc>
        <w:tc>
          <w:tcPr>
            <w:tcW w:w="15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ans-serif" w:hAnsi="Times New Roman;sans-serif"/>
                <w:b w:val="false"/>
                <w:color w:val="000000"/>
                <w:sz w:val="20"/>
              </w:rPr>
              <w:t xml:space="preserve">Derivative instruments - forward-starting interest rate swap </w:t>
            </w:r>
            <w:r>
              <w:rPr>
                <w:rFonts w:ascii="Times New Roman;sans-serif" w:hAnsi="Times New Roman;sans-serif"/>
                <w:b w:val="false"/>
                <w:i/>
                <w:color w:val="000000"/>
                <w:sz w:val="13"/>
              </w:rPr>
              <w:t>(1)</w:t>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11,218 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7328" w:type="dxa"/>
        <w:jc w:val="left"/>
        <w:tblInd w:w="0" w:type="dxa"/>
        <w:tblLayout w:type="fixed"/>
        <w:tblCellMar>
          <w:top w:w="28" w:type="dxa"/>
          <w:left w:w="28" w:type="dxa"/>
          <w:bottom w:w="28" w:type="dxa"/>
          <w:right w:w="28" w:type="dxa"/>
        </w:tblCellMar>
      </w:tblPr>
      <w:tblGrid>
        <w:gridCol w:w="799"/>
        <w:gridCol w:w="702"/>
        <w:gridCol w:w="704"/>
        <w:gridCol w:w="276"/>
        <w:gridCol w:w="1081"/>
        <w:gridCol w:w="142"/>
        <w:gridCol w:w="109"/>
        <w:gridCol w:w="109"/>
        <w:gridCol w:w="109"/>
        <w:gridCol w:w="211"/>
        <w:gridCol w:w="406"/>
        <w:gridCol w:w="109"/>
        <w:gridCol w:w="109"/>
        <w:gridCol w:w="109"/>
        <w:gridCol w:w="109"/>
        <w:gridCol w:w="211"/>
        <w:gridCol w:w="826"/>
        <w:gridCol w:w="109"/>
        <w:gridCol w:w="109"/>
        <w:gridCol w:w="109"/>
        <w:gridCol w:w="109"/>
        <w:gridCol w:w="211"/>
        <w:gridCol w:w="406"/>
        <w:gridCol w:w="154"/>
      </w:tblGrid>
      <w:tr>
        <w:trPr/>
        <w:tc>
          <w:tcPr>
            <w:tcW w:w="79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3"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thousands)</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3</w:t>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Financial assets:</w:t>
            </w:r>
          </w:p>
        </w:tc>
        <w:tc>
          <w:tcPr>
            <w:tcW w:w="14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 xml:space="preserve">Short-term investments </w:t>
            </w:r>
            <w:r>
              <w:rPr>
                <w:rFonts w:ascii="Times New Roman;sans-serif" w:hAnsi="Times New Roman;sans-serif"/>
                <w:b w:val="false"/>
                <w:i/>
                <w:color w:val="000000"/>
                <w:sz w:val="13"/>
              </w:rPr>
              <w:t>(2)</w:t>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217,342 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w:t>
      </w:r>
    </w:p>
    <w:p>
      <w:pPr>
        <w:pStyle w:val="TextBody"/>
        <w:bidi w:val="0"/>
        <w:spacing w:lineRule="auto" w:line="288" w:before="0" w:after="0"/>
        <w:ind w:left="0" w:right="0" w:hanging="360"/>
        <w:jc w:val="both"/>
        <w:rPr>
          <w:rFonts w:ascii="Times New Roman;sans-serif" w:hAnsi="Times New Roman;sans-serif"/>
          <w:b w:val="false"/>
          <w:i/>
          <w:color w:val="000000"/>
          <w:sz w:val="16"/>
        </w:rPr>
      </w:pPr>
      <w:r>
        <w:rPr>
          <w:rFonts w:ascii="Times New Roman;sans-serif" w:hAnsi="Times New Roman;sans-serif"/>
          <w:b w:val="false"/>
          <w:i/>
          <w:color w:val="000000"/>
          <w:sz w:val="16"/>
        </w:rPr>
        <w:t>(1)The fair values of our interest rate swap derivative instruments were estimated using advice from a third-party derivative specialist, based on contractual cash flows and observable inputs comprising interest rate curves and credit spreads, which are Level 2 measurements as defined under ASC 820.</w:t>
      </w:r>
    </w:p>
    <w:p>
      <w:pPr>
        <w:pStyle w:val="TextBody"/>
        <w:bidi w:val="0"/>
        <w:spacing w:lineRule="auto" w:line="288" w:before="0" w:after="0"/>
        <w:ind w:left="0" w:right="0" w:hanging="360"/>
        <w:jc w:val="both"/>
        <w:rPr>
          <w:rFonts w:ascii="Times New Roman;sans-serif" w:hAnsi="Times New Roman;sans-serif"/>
          <w:b w:val="false"/>
          <w:i/>
          <w:color w:val="000000"/>
          <w:sz w:val="16"/>
        </w:rPr>
      </w:pPr>
      <w:r>
        <w:rPr>
          <w:rFonts w:ascii="Times New Roman;sans-serif" w:hAnsi="Times New Roman;sans-serif"/>
          <w:b w:val="false"/>
          <w:i/>
          <w:color w:val="000000"/>
          <w:sz w:val="16"/>
        </w:rPr>
        <w:t>(2)The carrying value of these investments is equal to their fair value due to the short-term nature of the investments as well as their credit quality.</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estimated fair values of our financial instruments at December 31, 2023 and 2022 for which fair value is only disclosed are as follows:</w:t>
      </w:r>
    </w:p>
    <w:tbl>
      <w:tblPr>
        <w:tblW w:w="10205" w:type="dxa"/>
        <w:jc w:val="left"/>
        <w:tblInd w:w="0" w:type="dxa"/>
        <w:tblLayout w:type="fixed"/>
        <w:tblCellMar>
          <w:top w:w="28" w:type="dxa"/>
          <w:left w:w="28" w:type="dxa"/>
          <w:bottom w:w="28" w:type="dxa"/>
          <w:right w:w="28" w:type="dxa"/>
        </w:tblCellMar>
      </w:tblPr>
      <w:tblGrid>
        <w:gridCol w:w="1265"/>
        <w:gridCol w:w="1074"/>
        <w:gridCol w:w="1073"/>
        <w:gridCol w:w="223"/>
        <w:gridCol w:w="1143"/>
        <w:gridCol w:w="114"/>
        <w:gridCol w:w="109"/>
        <w:gridCol w:w="109"/>
        <w:gridCol w:w="109"/>
        <w:gridCol w:w="211"/>
        <w:gridCol w:w="1081"/>
        <w:gridCol w:w="109"/>
        <w:gridCol w:w="109"/>
        <w:gridCol w:w="109"/>
        <w:gridCol w:w="109"/>
        <w:gridCol w:w="223"/>
        <w:gridCol w:w="1143"/>
        <w:gridCol w:w="114"/>
        <w:gridCol w:w="109"/>
        <w:gridCol w:w="109"/>
        <w:gridCol w:w="109"/>
        <w:gridCol w:w="211"/>
        <w:gridCol w:w="1081"/>
        <w:gridCol w:w="159"/>
      </w:tblGrid>
      <w:tr>
        <w:trPr/>
        <w:tc>
          <w:tcPr>
            <w:tcW w:w="1265"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4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34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w:t>
            </w:r>
          </w:p>
        </w:tc>
        <w:tc>
          <w:tcPr>
            <w:tcW w:w="14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r>
      <w:tr>
        <w:trPr/>
        <w:tc>
          <w:tcPr>
            <w:tcW w:w="341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i/>
                <w:color w:val="000000"/>
                <w:sz w:val="20"/>
              </w:rPr>
            </w:pPr>
            <w:r>
              <w:rPr>
                <w:rFonts w:ascii="Times New Roman;sans-serif" w:hAnsi="Times New Roman;sans-serif"/>
                <w:b/>
                <w:i/>
                <w:color w:val="000000"/>
                <w:sz w:val="20"/>
              </w:rPr>
              <w:t>Financial assets:</w:t>
            </w:r>
          </w:p>
        </w:tc>
        <w:tc>
          <w:tcPr>
            <w:tcW w:w="14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Investments in leases - financing receivables </w:t>
            </w:r>
            <w:r>
              <w:rPr>
                <w:rFonts w:ascii="Times New Roman;sans-serif" w:hAnsi="Times New Roman;sans-serif"/>
                <w:b w:val="false"/>
                <w:i/>
                <w:color w:val="000000"/>
                <w:sz w:val="13"/>
              </w:rPr>
              <w:t>(1)</w:t>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18,211,102 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17,717,435 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16,740,770 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17,871,771 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Investments in loans and securities </w:t>
            </w:r>
            <w:r>
              <w:rPr>
                <w:rFonts w:ascii="Times New Roman;sans-serif" w:hAnsi="Times New Roman;sans-serif"/>
                <w:b w:val="false"/>
                <w:i/>
                <w:color w:val="000000"/>
                <w:sz w:val="13"/>
              </w:rPr>
              <w:t>(2)</w:t>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1,144,177 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1,060,249 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685,793 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675,456 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522,574 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208,933 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208,933 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2" w:type="dxa"/>
            <w:gridSpan w:val="3"/>
            <w:tcBorders/>
            <w:vAlign w:val="center"/>
          </w:tcPr>
          <w:p>
            <w:pPr>
              <w:pStyle w:val="TableContents"/>
              <w:bidi w:val="0"/>
              <w:spacing w:before="0" w:after="283"/>
              <w:jc w:val="left"/>
              <w:rPr>
                <w:sz w:val="4"/>
                <w:szCs w:val="4"/>
              </w:rPr>
            </w:pPr>
            <w:r>
              <w:rPr>
                <w:sz w:val="4"/>
                <w:szCs w:val="4"/>
              </w:rPr>
            </w:r>
          </w:p>
        </w:tc>
        <w:tc>
          <w:tcPr>
            <w:tcW w:w="14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1" w:type="dxa"/>
            <w:gridSpan w:val="3"/>
            <w:tcBorders/>
            <w:vAlign w:val="center"/>
          </w:tcPr>
          <w:p>
            <w:pPr>
              <w:pStyle w:val="TableContents"/>
              <w:bidi w:val="0"/>
              <w:spacing w:before="0" w:after="283"/>
              <w:jc w:val="left"/>
              <w:rPr>
                <w:sz w:val="4"/>
                <w:szCs w:val="4"/>
              </w:rPr>
            </w:pPr>
            <w:r>
              <w:rPr>
                <w:sz w:val="4"/>
                <w:szCs w:val="4"/>
              </w:rPr>
            </w:r>
          </w:p>
        </w:tc>
      </w:tr>
      <w:tr>
        <w:trPr/>
        <w:tc>
          <w:tcPr>
            <w:tcW w:w="34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Financial liabilities:</w:t>
            </w:r>
          </w:p>
        </w:tc>
        <w:tc>
          <w:tcPr>
            <w:tcW w:w="1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ans-serif" w:hAnsi="Times New Roman;sans-serif"/>
                <w:b w:val="false"/>
                <w:color w:val="000000"/>
                <w:sz w:val="20"/>
              </w:rPr>
              <w:t xml:space="preserve">Debt </w:t>
            </w:r>
            <w:r>
              <w:rPr>
                <w:rFonts w:ascii="Times New Roman;sans-serif" w:hAnsi="Times New Roman;sans-serif"/>
                <w:b w:val="false"/>
                <w:color w:val="000000"/>
                <w:sz w:val="13"/>
              </w:rPr>
              <w:t>(3)</w:t>
            </w:r>
          </w:p>
        </w:tc>
        <w:tc>
          <w:tcPr>
            <w:tcW w:w="1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Credit Facility</w:t>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173,804 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173,804 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MGM Grand/Mandalay Bay CMBS Debt</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2,773,758 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2,627,984 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Senior Unsecured Notes </w:t>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13,776,563 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13,469,176 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13,739,675 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13,020,636 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____________________</w:t>
      </w:r>
    </w:p>
    <w:p>
      <w:pPr>
        <w:pStyle w:val="TextBody"/>
        <w:bidi w:val="0"/>
        <w:spacing w:lineRule="auto" w:line="288" w:before="0" w:after="0"/>
        <w:ind w:left="0" w:right="0" w:hanging="360"/>
        <w:jc w:val="both"/>
        <w:rPr/>
      </w:pPr>
      <w:r>
        <w:rPr>
          <w:rFonts w:ascii="Times New Roman;sans-serif" w:hAnsi="Times New Roman;sans-serif"/>
          <w:b w:val="false"/>
          <w:i/>
          <w:color w:val="000000"/>
          <w:sz w:val="16"/>
        </w:rPr>
        <w:t>(1)Represents our asset acquisitions structured as sale leaseback transactions. In accordance with ASC 842, since the lease agreements were determined to meet the definition of a sales-type lease and control of the asset is not considered to have been transferred to us, such lease agreements are accounted for as financings under ASC 310. Except as noted below, the fair value of these assets is based on significant “unobservable” market inputs and, as such, these fair value measurements are considered Level 3 of the fair value hierarchy. In relation to the Century Canadian Portfolio component of the Century Master Lease, the Bowlero Master Lease and the Chelsea Piers Lease, given</w:t>
      </w:r>
      <w:r>
        <w:rPr>
          <w:color w:val="000000"/>
          <w:shd w:fill="FFFFFF" w:val="clear"/>
        </w:rPr>
        <w:t xml:space="preserve"> </w:t>
      </w:r>
      <w:r>
        <w:rPr>
          <w:rFonts w:ascii="Times New Roman;sans-serif" w:hAnsi="Times New Roman;sans-serif"/>
          <w:b w:val="false"/>
          <w:i/>
          <w:color w:val="000000"/>
          <w:sz w:val="16"/>
          <w:shd w:fill="FFFFFF" w:val="clear"/>
        </w:rPr>
        <w:t>the proximity of the date of our investment to the date of the financial statements, we determined that the fair value materially approximates the purchase price of the acquisition of these financial assets.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222885"/>
                <wp:effectExtent l="0" t="0" r="0" b="0"/>
                <wp:wrapNone/>
                <wp:docPr id="116" name="Frame11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 - 44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 - 44</w:t>
                      </w:r>
                    </w:p>
                  </w:txbxContent>
                </v:textbox>
                <w10:wrap type="none"/>
              </v:rect>
            </w:pict>
          </mc:Fallback>
        </mc:AlternateContent>
      </w:r>
    </w:p>
    <w:p>
      <w:pPr>
        <w:pStyle w:val="TextBody"/>
        <w:bidi w:val="0"/>
        <w:spacing w:lineRule="auto" w:line="288" w:before="60" w:after="283"/>
        <w:jc w:val="both"/>
        <w:rPr/>
      </w:pPr>
      <w:hyperlink w:anchor="ib2fc48f0ddf244d9844b8de22bde2e36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0" w:after="0"/>
        <w:ind w:left="0" w:right="0" w:hanging="360"/>
        <w:jc w:val="both"/>
        <w:rPr>
          <w:rFonts w:ascii="Times New Roman;sans-serif" w:hAnsi="Times New Roman;sans-serif"/>
          <w:b w:val="false"/>
          <w:i/>
          <w:color w:val="000000"/>
          <w:sz w:val="16"/>
        </w:rPr>
      </w:pPr>
      <w:r>
        <w:rPr>
          <w:rFonts w:ascii="Times New Roman;sans-serif" w:hAnsi="Times New Roman;sans-serif"/>
          <w:b w:val="false"/>
          <w:i/>
          <w:color w:val="000000"/>
          <w:sz w:val="16"/>
        </w:rPr>
        <w:t>(2)The fair value of investments in loans is based on significant “unobservable” market inputs and, as such, these fair value measurements are considered Level 3 of the fair value hierarchy. The fair value of our senior secured notes was estimated using quoted prices for identical or similar liabilities in markets that are not active and, as such, these fair value measurements are considered Level 2 of the fair value hierarchy.</w:t>
      </w:r>
    </w:p>
    <w:p>
      <w:pPr>
        <w:pStyle w:val="TextBody"/>
        <w:bidi w:val="0"/>
        <w:spacing w:lineRule="auto" w:line="288" w:before="0" w:after="0"/>
        <w:ind w:left="0" w:right="0" w:hanging="360"/>
        <w:jc w:val="both"/>
        <w:rPr>
          <w:rFonts w:ascii="Times New Roman;sans-serif" w:hAnsi="Times New Roman;sans-serif"/>
          <w:b w:val="false"/>
          <w:i/>
          <w:color w:val="000000"/>
          <w:sz w:val="16"/>
        </w:rPr>
      </w:pPr>
      <w:r>
        <w:rPr>
          <w:rFonts w:ascii="Times New Roman;sans-serif" w:hAnsi="Times New Roman;sans-serif"/>
          <w:b w:val="false"/>
          <w:i/>
          <w:color w:val="000000"/>
          <w:sz w:val="16"/>
        </w:rPr>
        <w:t>(3)The fair value of our debt instruments was estimated using quoted prices for identical or similar liabilities in markets that are not active and, as such, these fair value measurements are considered Level 2 of the fair value hierarchy.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4"/>
        </w:rPr>
      </w:pPr>
      <w:r>
        <w:rPr>
          <w:rFonts w:ascii="Times New Roman;sans-serif" w:hAnsi="Times New Roman;sans-serif"/>
          <w:b/>
          <w:color w:val="000000"/>
          <w:sz w:val="24"/>
        </w:rPr>
        <w:t xml:space="preserve">Note 10 — Commitments and Contingent Liabilities </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Litigation</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the ordinary course of business, from time to time, we may be subject to legal claims and administrative proceedings. As of December 31, 2023, we are not subject to any litigation that we believe could have, individually or in the aggregate, a material adverse effect on our business, financial condition or results of operations, liquidity or cash flows.</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Lease Commitments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color w:val="000000"/>
          <w:sz w:val="20"/>
        </w:rPr>
        <w:t xml:space="preserve">Operating Lease Commitments. </w:t>
      </w:r>
      <w:r>
        <w:rPr>
          <w:rFonts w:ascii="Times New Roman;sans-serif" w:hAnsi="Times New Roman;sans-serif"/>
          <w:b w:val="false"/>
          <w:color w:val="000000"/>
          <w:sz w:val="20"/>
        </w:rPr>
        <w:t>We are liable under various operating leases for: (i) land at the Cascata golf course, which expires in 2038 and has three 10-year extension options and (ii) our corporate headquarters in New York, NY, which expires in 2035 and has one five-year renewal option.</w:t>
      </w:r>
    </w:p>
    <w:p>
      <w:pPr>
        <w:pStyle w:val="TextBody"/>
        <w:bidi w:val="0"/>
        <w:spacing w:lineRule="auto" w:line="288" w:before="180" w:after="283"/>
        <w:ind w:left="0" w:right="0" w:hanging="360"/>
        <w:jc w:val="both"/>
        <w:rPr/>
      </w:pPr>
      <w:r>
        <w:rPr>
          <w:color w:val="000000"/>
        </w:rPr>
        <w:t>•</w:t>
      </w:r>
      <w:r>
        <w:rPr>
          <w:rFonts w:ascii="Times New Roman;sans-serif" w:hAnsi="Times New Roman;sans-serif"/>
          <w:b/>
          <w:color w:val="000000"/>
          <w:sz w:val="20"/>
        </w:rPr>
        <w:t xml:space="preserve">Sub-Lease Commitments. </w:t>
      </w:r>
      <w:r>
        <w:rPr>
          <w:rFonts w:ascii="Times New Roman;sans-serif" w:hAnsi="Times New Roman;sans-serif"/>
          <w:b w:val="false"/>
          <w:color w:val="000000"/>
          <w:sz w:val="20"/>
        </w:rPr>
        <w:t>Certain of our acquisitions necessitate that we assume, as the lessee, ground and use leases that are integral to the operations of the property, the cost of which is passed to our tenants through our lease agreements, which require the tenants to pay all costs associated with such ground and use leases and provide for their direct payment to the landlord.</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determined we are the primary obligor of certain of such ground and use leases and, accordingly, have presented these leases on a gross basis on our Balance Sheets and Statement of Operations.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the ground and use leases determined to be operating leases, we recorded sub-lease right-of-use assets in Other assets and sub-lease liabilities in Other liabilities. For ground and lease uses determined to be finance leases, we recorded a sales-type sub-lease in Other assets and finance sub-lease liability in Other liabilities.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details the balance and location in our Balance Sheets of the ground and use sub-leases as of December 31, 2023 and December 31, 2022:</w:t>
      </w:r>
    </w:p>
    <w:tbl>
      <w:tblPr>
        <w:tblW w:w="8725" w:type="dxa"/>
        <w:jc w:val="left"/>
        <w:tblInd w:w="0" w:type="dxa"/>
        <w:tblLayout w:type="fixed"/>
        <w:tblCellMar>
          <w:top w:w="28" w:type="dxa"/>
          <w:left w:w="28" w:type="dxa"/>
          <w:bottom w:w="28" w:type="dxa"/>
          <w:right w:w="28" w:type="dxa"/>
        </w:tblCellMar>
      </w:tblPr>
      <w:tblGrid>
        <w:gridCol w:w="1907"/>
        <w:gridCol w:w="1676"/>
        <w:gridCol w:w="1681"/>
        <w:gridCol w:w="313"/>
        <w:gridCol w:w="1070"/>
        <w:gridCol w:w="161"/>
        <w:gridCol w:w="109"/>
        <w:gridCol w:w="109"/>
        <w:gridCol w:w="109"/>
        <w:gridCol w:w="309"/>
        <w:gridCol w:w="1056"/>
        <w:gridCol w:w="225"/>
      </w:tblGrid>
      <w:tr>
        <w:trPr/>
        <w:tc>
          <w:tcPr>
            <w:tcW w:w="1907" w:type="dxa"/>
            <w:tcBorders/>
            <w:vAlign w:val="center"/>
          </w:tcPr>
          <w:p>
            <w:pPr>
              <w:pStyle w:val="TableContents"/>
              <w:bidi w:val="0"/>
              <w:spacing w:before="0" w:after="283"/>
              <w:jc w:val="left"/>
              <w:rPr>
                <w:sz w:val="4"/>
                <w:szCs w:val="4"/>
              </w:rPr>
            </w:pPr>
            <w:r>
              <w:rPr>
                <w:sz w:val="4"/>
                <w:szCs w:val="4"/>
              </w:rPr>
            </w:r>
          </w:p>
        </w:tc>
        <w:tc>
          <w:tcPr>
            <w:tcW w:w="1676"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5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w:t>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Others assets (operating lease and sub-leases right-of-use assets)</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38,345 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45,008 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 (operating lease and sub-lease liabilities)</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38,345 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45,039 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Others assets (sales-type sub-leases, net) </w:t>
            </w:r>
            <w:r>
              <w:rPr>
                <w:rFonts w:ascii="Times New Roman;sans-serif" w:hAnsi="Times New Roman;sans-serif"/>
                <w:b w:val="false"/>
                <w:i/>
                <w:color w:val="000000"/>
                <w:sz w:val="13"/>
              </w:rPr>
              <w:t>(1)</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847,330 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764,509 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 (finance sub-lease liabilities)</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866,052 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784,259 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ans-serif" w:hAnsi="Times New Roman;sans-serif"/>
          <w:b w:val="false"/>
          <w:color w:val="000000"/>
          <w:sz w:val="12"/>
        </w:rPr>
      </w:pPr>
      <w:r>
        <w:rPr>
          <w:rFonts w:ascii="Times New Roman;sans-serif" w:hAnsi="Times New Roman;sans-serif"/>
          <w:b w:val="false"/>
          <w:color w:val="000000"/>
          <w:sz w:val="12"/>
        </w:rPr>
        <w:t>___________________</w:t>
      </w:r>
    </w:p>
    <w:p>
      <w:pPr>
        <w:pStyle w:val="TextBody"/>
        <w:bidi w:val="0"/>
        <w:spacing w:lineRule="auto" w:line="288" w:before="60" w:after="283"/>
        <w:jc w:val="both"/>
        <w:rPr/>
      </w:pPr>
      <w:r>
        <w:rPr>
          <w:rFonts w:ascii="Times New Roman;sans-serif" w:hAnsi="Times New Roman;sans-serif"/>
          <w:b w:val="false"/>
          <w:i/>
          <w:color w:val="000000"/>
          <w:sz w:val="16"/>
        </w:rPr>
        <w:t xml:space="preserve">(1) As of December 31, 2023 and December 31, 2022, sales-type sub-leases are net of $18.7 million and $19.8 million of allowance for credit losses, respectively. Refer to </w:t>
      </w:r>
      <w:hyperlink w:anchor="ib2fc48f0ddf244d9844b8de22bde2e36_154">
        <w:r>
          <w:rPr>
            <w:rStyle w:val="InternetLink"/>
            <w:rFonts w:ascii="Times New Roman;sans-serif" w:hAnsi="Times New Roman;sans-serif"/>
            <w:b w:val="false"/>
            <w:i/>
            <w:color w:val="0000FF"/>
            <w:sz w:val="16"/>
            <w:u w:val="single"/>
          </w:rPr>
          <w:t>Note 5 – Allowance for Credit Losses</w:t>
        </w:r>
      </w:hyperlink>
      <w:r>
        <w:rPr>
          <w:color w:val="000000"/>
        </w:rPr>
        <w:t xml:space="preserve"> </w:t>
      </w:r>
      <w:r>
        <w:rPr>
          <w:rFonts w:ascii="Times New Roman;sans-serif" w:hAnsi="Times New Roman;sans-serif"/>
          <w:b w:val="false"/>
          <w:i/>
          <w:color w:val="000000"/>
          <w:sz w:val="16"/>
        </w:rPr>
        <w:t>for further details.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222885"/>
                <wp:effectExtent l="0" t="0" r="0" b="0"/>
                <wp:wrapNone/>
                <wp:docPr id="117" name="Frame11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 - 45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 - 45</w:t>
                      </w:r>
                    </w:p>
                  </w:txbxContent>
                </v:textbox>
                <w10:wrap type="none"/>
              </v:rect>
            </w:pict>
          </mc:Fallback>
        </mc:AlternateContent>
      </w:r>
    </w:p>
    <w:p>
      <w:pPr>
        <w:pStyle w:val="TextBody"/>
        <w:bidi w:val="0"/>
        <w:spacing w:lineRule="auto" w:line="288" w:before="60" w:after="283"/>
        <w:jc w:val="both"/>
        <w:rPr/>
      </w:pPr>
      <w:hyperlink w:anchor="ib2fc48f0ddf244d9844b8de22bde2e36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Total rental expense for operating lease commitments and total rental income and rental expense for operating and Finance sub-lease commitments and contractual rent expense under these agreements were as follows:</w:t>
      </w:r>
    </w:p>
    <w:tbl>
      <w:tblPr>
        <w:tblW w:w="6386" w:type="dxa"/>
        <w:jc w:val="left"/>
        <w:tblInd w:w="0" w:type="dxa"/>
        <w:tblLayout w:type="fixed"/>
        <w:tblCellMar>
          <w:top w:w="28" w:type="dxa"/>
          <w:left w:w="28" w:type="dxa"/>
          <w:bottom w:w="28" w:type="dxa"/>
          <w:right w:w="28" w:type="dxa"/>
        </w:tblCellMar>
      </w:tblPr>
      <w:tblGrid>
        <w:gridCol w:w="930"/>
        <w:gridCol w:w="815"/>
        <w:gridCol w:w="819"/>
        <w:gridCol w:w="211"/>
        <w:gridCol w:w="721"/>
        <w:gridCol w:w="109"/>
        <w:gridCol w:w="109"/>
        <w:gridCol w:w="109"/>
        <w:gridCol w:w="109"/>
        <w:gridCol w:w="211"/>
        <w:gridCol w:w="721"/>
        <w:gridCol w:w="109"/>
        <w:gridCol w:w="109"/>
        <w:gridCol w:w="109"/>
        <w:gridCol w:w="109"/>
        <w:gridCol w:w="211"/>
        <w:gridCol w:w="721"/>
        <w:gridCol w:w="154"/>
      </w:tblGrid>
      <w:tr>
        <w:trPr/>
        <w:tc>
          <w:tcPr>
            <w:tcW w:w="930"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leases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Rental expense </w:t>
            </w:r>
            <w:r>
              <w:rPr>
                <w:rFonts w:ascii="Times New Roman;sans-serif" w:hAnsi="Times New Roman;sans-serif"/>
                <w:b w:val="false"/>
                <w:i/>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Contractual rent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sub-leases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Rental income and expense </w:t>
            </w:r>
            <w:r>
              <w:rPr>
                <w:rFonts w:ascii="Times New Roman;sans-serif" w:hAnsi="Times New Roman;sans-serif"/>
                <w:b w:val="false"/>
                <w:i/>
                <w:color w:val="000000"/>
                <w:sz w:val="13"/>
              </w:rPr>
              <w:t>(2)</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Contractual rent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Finance sub-leases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Rental income and expense </w:t>
            </w:r>
            <w:r>
              <w:rPr>
                <w:rFonts w:ascii="Times New Roman;sans-serif" w:hAnsi="Times New Roman;sans-serif"/>
                <w:b w:val="false"/>
                <w:i/>
                <w:color w:val="000000"/>
                <w:sz w:val="13"/>
              </w:rPr>
              <w:t>(2)</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Contractual rent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12"/>
        </w:rPr>
      </w:pPr>
      <w:r>
        <w:rPr>
          <w:rFonts w:ascii="Times New Roman;sans-serif" w:hAnsi="Times New Roman;sans-serif"/>
          <w:b w:val="false"/>
          <w:color w:val="000000"/>
          <w:sz w:val="12"/>
        </w:rPr>
        <w:t>___________________</w:t>
      </w:r>
    </w:p>
    <w:p>
      <w:pPr>
        <w:pStyle w:val="TextBody"/>
        <w:bidi w:val="0"/>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(1) Total rental expense is included in golf operations and general and administrative expenses in our Statement of Operations.</w:t>
      </w:r>
    </w:p>
    <w:p>
      <w:pPr>
        <w:pStyle w:val="TextBody"/>
        <w:bidi w:val="0"/>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(2) Total rental income and rental expense for operating and finance sub-lease commitments are presented gross and included in Other income and Other expenses in our Statement of Operations.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future minimum lease commitments relating to the base lease rent portion of noncancelable operating leases at December 31, 2023 are as follows: </w:t>
      </w:r>
    </w:p>
    <w:tbl>
      <w:tblPr>
        <w:tblW w:w="10205" w:type="dxa"/>
        <w:jc w:val="left"/>
        <w:tblInd w:w="0" w:type="dxa"/>
        <w:tblLayout w:type="fixed"/>
        <w:tblCellMar>
          <w:top w:w="28" w:type="dxa"/>
          <w:left w:w="28" w:type="dxa"/>
          <w:bottom w:w="28" w:type="dxa"/>
          <w:right w:w="28" w:type="dxa"/>
        </w:tblCellMar>
      </w:tblPr>
      <w:tblGrid>
        <w:gridCol w:w="1086"/>
        <w:gridCol w:w="737"/>
        <w:gridCol w:w="738"/>
        <w:gridCol w:w="109"/>
        <w:gridCol w:w="109"/>
        <w:gridCol w:w="109"/>
        <w:gridCol w:w="412"/>
        <w:gridCol w:w="1409"/>
        <w:gridCol w:w="214"/>
        <w:gridCol w:w="109"/>
        <w:gridCol w:w="109"/>
        <w:gridCol w:w="109"/>
        <w:gridCol w:w="460"/>
        <w:gridCol w:w="1576"/>
        <w:gridCol w:w="240"/>
        <w:gridCol w:w="109"/>
        <w:gridCol w:w="109"/>
        <w:gridCol w:w="109"/>
        <w:gridCol w:w="369"/>
        <w:gridCol w:w="1708"/>
        <w:gridCol w:w="275"/>
      </w:tblGrid>
      <w:tr>
        <w:trPr/>
        <w:tc>
          <w:tcPr>
            <w:tcW w:w="1086"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7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5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Operating Lease Commitments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Operating Sub-Lease Commitments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Financing Sub-Lease Commitments</w:t>
            </w:r>
          </w:p>
        </w:tc>
      </w:tr>
      <w:tr>
        <w:trPr/>
        <w:tc>
          <w:tcPr>
            <w:tcW w:w="2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1,347 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6,553 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65,538 </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2,025 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5,129 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65,715 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2,772 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3,934 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65,715 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2,792 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4,010 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65,715 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2,814 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3,034 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65,800 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23,515 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2,094 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2,783,264 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minimum lease commitments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35,265 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24,754 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3,111,747 </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Discounting factor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20,030 </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1,644 </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2,245,695 </w:t>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15,235 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23,110 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866,052 </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Discount rates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5.3% -7.0%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2.6% - 2.9%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5.6% - 8.3%</w:t>
            </w:r>
          </w:p>
        </w:tc>
      </w:tr>
      <w:tr>
        <w:trPr/>
        <w:tc>
          <w:tcPr>
            <w:tcW w:w="2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remaining lease term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 years</w:t>
            </w:r>
          </w:p>
        </w:tc>
      </w:tr>
    </w:tbl>
    <w:p>
      <w:pPr>
        <w:pStyle w:val="TextBody"/>
        <w:bidi w:val="0"/>
        <w:spacing w:lineRule="auto" w:line="288" w:before="120" w:after="283"/>
        <w:jc w:val="both"/>
        <w:rPr>
          <w:rFonts w:ascii="Times New Roman;sans-serif" w:hAnsi="Times New Roman;sans-serif"/>
          <w:b w:val="false"/>
          <w:color w:val="000000"/>
          <w:sz w:val="12"/>
        </w:rPr>
      </w:pPr>
      <w:r>
        <w:rPr>
          <w:rFonts w:ascii="Times New Roman;sans-serif" w:hAnsi="Times New Roman;sans-serif"/>
          <w:b w:val="false"/>
          <w:color w:val="000000"/>
          <w:sz w:val="12"/>
        </w:rPr>
        <w:t>____________________</w:t>
      </w:r>
    </w:p>
    <w:p>
      <w:pPr>
        <w:pStyle w:val="TextBody"/>
        <w:bidi w:val="0"/>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(1) The discount rates for the leases were determined based on the yield of our then current secured borrowings, adjusted to match borrowings of similar terms.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4"/>
        </w:rPr>
      </w:pPr>
      <w:r>
        <w:rPr>
          <w:rFonts w:ascii="Times New Roman;sans-serif" w:hAnsi="Times New Roman;sans-serif"/>
          <w:b/>
          <w:color w:val="000000"/>
          <w:sz w:val="24"/>
        </w:rPr>
        <w:t xml:space="preserve">Note 11 — Stockholders' Equity </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Stock</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Authorized</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we had the authority to issue 1,400,000,000 shares of stock, consisting of 1,350,000,000 shares of common stock, $0.01 par value per share and 50,000,000 shares of Preferred Stock, $0.01 par value per share.</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Public Offerings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we offer shares of our common stock through public offerings registered with the SEC. In connection with such offerings, we may issue and sell the offered shares of common stock upon settlement of the offering or, alternatively, enter into forward sale agreements with respect to all or a portion of the shares of common stock sold in such public offerings,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222885"/>
                <wp:effectExtent l="0" t="0" r="0" b="0"/>
                <wp:wrapNone/>
                <wp:docPr id="118" name="Frame11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 - 46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 - 46</w:t>
                      </w:r>
                    </w:p>
                  </w:txbxContent>
                </v:textbox>
                <w10:wrap type="none"/>
              </v:rect>
            </w:pict>
          </mc:Fallback>
        </mc:AlternateContent>
      </w:r>
    </w:p>
    <w:p>
      <w:pPr>
        <w:pStyle w:val="TextBody"/>
        <w:bidi w:val="0"/>
        <w:spacing w:lineRule="auto" w:line="288" w:before="60" w:after="283"/>
        <w:jc w:val="both"/>
        <w:rPr/>
      </w:pPr>
      <w:hyperlink w:anchor="ib2fc48f0ddf244d9844b8de22bde2e36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which the offered shares are borrowed by the forward sale purchasers and the issuance of such shares takes place upon settlement of the applicable forward sale agreement in accordance with its terms.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Forward Offerings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our public offering activity subject to forward sale agreements during the years ended December 31, 2023, 2022 and 2021: </w:t>
      </w:r>
    </w:p>
    <w:tbl>
      <w:tblPr>
        <w:tblW w:w="10205" w:type="dxa"/>
        <w:jc w:val="left"/>
        <w:tblInd w:w="0" w:type="dxa"/>
        <w:tblLayout w:type="fixed"/>
        <w:tblCellMar>
          <w:top w:w="28" w:type="dxa"/>
          <w:left w:w="28" w:type="dxa"/>
          <w:bottom w:w="28" w:type="dxa"/>
          <w:right w:w="28" w:type="dxa"/>
        </w:tblCellMar>
      </w:tblPr>
      <w:tblGrid>
        <w:gridCol w:w="524"/>
        <w:gridCol w:w="380"/>
        <w:gridCol w:w="383"/>
        <w:gridCol w:w="464"/>
        <w:gridCol w:w="292"/>
        <w:gridCol w:w="294"/>
        <w:gridCol w:w="109"/>
        <w:gridCol w:w="109"/>
        <w:gridCol w:w="109"/>
        <w:gridCol w:w="554"/>
        <w:gridCol w:w="530"/>
        <w:gridCol w:w="252"/>
        <w:gridCol w:w="109"/>
        <w:gridCol w:w="109"/>
        <w:gridCol w:w="109"/>
        <w:gridCol w:w="252"/>
        <w:gridCol w:w="737"/>
        <w:gridCol w:w="130"/>
        <w:gridCol w:w="109"/>
        <w:gridCol w:w="109"/>
        <w:gridCol w:w="109"/>
        <w:gridCol w:w="225"/>
        <w:gridCol w:w="1045"/>
        <w:gridCol w:w="116"/>
        <w:gridCol w:w="109"/>
        <w:gridCol w:w="109"/>
        <w:gridCol w:w="109"/>
        <w:gridCol w:w="262"/>
        <w:gridCol w:w="767"/>
        <w:gridCol w:w="135"/>
        <w:gridCol w:w="109"/>
        <w:gridCol w:w="109"/>
        <w:gridCol w:w="109"/>
        <w:gridCol w:w="215"/>
        <w:gridCol w:w="845"/>
        <w:gridCol w:w="168"/>
      </w:tblGrid>
      <w:tr>
        <w:trPr/>
        <w:tc>
          <w:tcPr>
            <w:tcW w:w="524"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2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 In thousands, except share and per share data)</w:t>
            </w:r>
          </w:p>
        </w:tc>
        <w:tc>
          <w:tcPr>
            <w:tcW w:w="105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Effective Date </w:t>
            </w:r>
            <w:r>
              <w:rPr>
                <w:rFonts w:ascii="Times New Roman;sans-serif" w:hAnsi="Times New Roman;sans-serif"/>
                <w:b/>
                <w:i/>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Total Shares Sold </w:t>
            </w:r>
            <w:r>
              <w:rPr>
                <w:rFonts w:ascii="Times New Roman;sans-serif" w:hAnsi="Times New Roman;sans-serif"/>
                <w:b/>
                <w:i/>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Public Offering Price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Aggregate Offering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Initial Forward Sale Price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Initial Net Value</w:t>
            </w:r>
          </w:p>
        </w:tc>
      </w:tr>
      <w:tr>
        <w:trPr/>
        <w:tc>
          <w:tcPr>
            <w:tcW w:w="1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2023</w:t>
            </w:r>
          </w:p>
        </w:tc>
        <w:tc>
          <w:tcPr>
            <w:tcW w:w="10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2023 Offering</w:t>
            </w:r>
          </w:p>
        </w:tc>
        <w:tc>
          <w:tcPr>
            <w:tcW w:w="1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January 18,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30,302,500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964,400 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2022</w:t>
            </w:r>
          </w:p>
        </w:tc>
        <w:tc>
          <w:tcPr>
            <w:tcW w:w="1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2022 Offering</w:t>
            </w:r>
          </w:p>
        </w:tc>
        <w:tc>
          <w:tcPr>
            <w:tcW w:w="1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November 8,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18,975,000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580,000 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30.57 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579,600 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2021</w:t>
            </w:r>
          </w:p>
        </w:tc>
        <w:tc>
          <w:tcPr>
            <w:tcW w:w="1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September 2021 Offering</w:t>
            </w:r>
          </w:p>
        </w:tc>
        <w:tc>
          <w:tcPr>
            <w:tcW w:w="1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September 14, 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50,000,000 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1,475,000 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28.62 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1,431,000 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2021 Offering</w:t>
            </w:r>
          </w:p>
        </w:tc>
        <w:tc>
          <w:tcPr>
            <w:tcW w:w="1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March 8,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69,000,000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2,001,000 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28.06 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1,935,000 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____________________</w:t>
      </w:r>
    </w:p>
    <w:p>
      <w:pPr>
        <w:pStyle w:val="TextBody"/>
        <w:bidi w:val="0"/>
        <w:spacing w:lineRule="auto" w:line="288" w:before="0" w:after="0"/>
        <w:ind w:left="0" w:right="0" w:hanging="360"/>
        <w:jc w:val="both"/>
        <w:rPr>
          <w:rFonts w:ascii="Times New Roman;sans-serif" w:hAnsi="Times New Roman;sans-serif"/>
          <w:b w:val="false"/>
          <w:i/>
          <w:color w:val="000000"/>
          <w:sz w:val="16"/>
        </w:rPr>
      </w:pPr>
      <w:r>
        <w:rPr>
          <w:rFonts w:ascii="Times New Roman;sans-serif" w:hAnsi="Times New Roman;sans-serif"/>
          <w:b w:val="false"/>
          <w:i/>
          <w:color w:val="000000"/>
          <w:sz w:val="16"/>
        </w:rPr>
        <w:t xml:space="preserve">(1)All forward sale agreements require settlement within one-year of the Effective Date. </w:t>
      </w:r>
    </w:p>
    <w:p>
      <w:pPr>
        <w:pStyle w:val="TextBody"/>
        <w:bidi w:val="0"/>
        <w:spacing w:lineRule="auto" w:line="288" w:before="0" w:after="0"/>
        <w:ind w:left="0" w:right="0" w:hanging="360"/>
        <w:jc w:val="both"/>
        <w:rPr>
          <w:rFonts w:ascii="Times New Roman;sans-serif" w:hAnsi="Times New Roman;sans-serif"/>
          <w:b w:val="false"/>
          <w:i/>
          <w:color w:val="000000"/>
          <w:sz w:val="16"/>
        </w:rPr>
      </w:pPr>
      <w:r>
        <w:rPr>
          <w:rFonts w:ascii="Times New Roman;sans-serif" w:hAnsi="Times New Roman;sans-serif"/>
          <w:b w:val="false"/>
          <w:i/>
          <w:color w:val="000000"/>
          <w:sz w:val="16"/>
        </w:rPr>
        <w:t xml:space="preserve">(2)The amounts are inclusive of shares sold pursuant to the exercise in full of the underwriters’ option to purchase additional common stock, which includes (i) 3,952,500 shares with respect to the January 2023 Offering, (ii) 2,475,000 shares with respect to the November 2022 Offering and (iii) 9,000,000 shares with respect to the March 2021 Offering.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we did not have any shares outstanding from our marketed public forward offerings subject to forward sale agreements. Refer to “Forward Settlement Activity” below for information regarding the settlement of the forward offerings.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did not receive any proceeds from the sale of shares at the time we entered into each of the respective forward sale agreements. We determined that the forward sale agreements meet the criteria for equity classification and, therefore, are exempt from derivative accounting. We recorded the forward sale agreements at fair value at inception, which we determined to be zero. Subsequent changes to fair value are not required under equity classification.</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At-the-Market Offering Program</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28, 2023, we entered into an equity distribution agreement, pursuant to which we may sell, from time to time, up to an aggregate sales price of $1,500.0 million of our common stock and concurrently terminated our previous equity distribution agreement (collectively under both equity distribution agreements, the “ATM Program”). Sales of common stock, if any, made pursuant to the ATM Program may be sold in negotiated transactions or transactions that are deemed to be “at the market” offerings, as defined in Rule 415 of the Securities Act. The ATM Program also provides that the Company may sell shares of its common stock under the ATM Program through forward sale contracts. Actual sales under the ATM Program will depend on a variety of factors including market conditions, the trading price of our common stock, our capital needs, and our determination of the appropriate sources of funding to meet such needs.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activity under the ATM Program during the years ended December 31, 2023, 2022 and 2021:</w:t>
      </w:r>
    </w:p>
    <w:tbl>
      <w:tblPr>
        <w:tblW w:w="10205" w:type="dxa"/>
        <w:jc w:val="left"/>
        <w:tblInd w:w="0" w:type="dxa"/>
        <w:tblLayout w:type="fixed"/>
        <w:tblCellMar>
          <w:top w:w="28" w:type="dxa"/>
          <w:left w:w="28" w:type="dxa"/>
          <w:bottom w:w="28" w:type="dxa"/>
          <w:right w:w="28" w:type="dxa"/>
        </w:tblCellMar>
      </w:tblPr>
      <w:tblGrid>
        <w:gridCol w:w="683"/>
        <w:gridCol w:w="565"/>
        <w:gridCol w:w="569"/>
        <w:gridCol w:w="540"/>
        <w:gridCol w:w="541"/>
        <w:gridCol w:w="335"/>
        <w:gridCol w:w="109"/>
        <w:gridCol w:w="109"/>
        <w:gridCol w:w="109"/>
        <w:gridCol w:w="322"/>
        <w:gridCol w:w="942"/>
        <w:gridCol w:w="166"/>
        <w:gridCol w:w="109"/>
        <w:gridCol w:w="109"/>
        <w:gridCol w:w="109"/>
        <w:gridCol w:w="215"/>
        <w:gridCol w:w="997"/>
        <w:gridCol w:w="111"/>
        <w:gridCol w:w="109"/>
        <w:gridCol w:w="109"/>
        <w:gridCol w:w="109"/>
        <w:gridCol w:w="322"/>
        <w:gridCol w:w="942"/>
        <w:gridCol w:w="166"/>
        <w:gridCol w:w="109"/>
        <w:gridCol w:w="109"/>
        <w:gridCol w:w="109"/>
        <w:gridCol w:w="231"/>
        <w:gridCol w:w="1072"/>
        <w:gridCol w:w="178"/>
      </w:tblGrid>
      <w:tr>
        <w:trPr/>
        <w:tc>
          <w:tcPr>
            <w:tcW w:w="683"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1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 In thousands, except share and per share data)</w:t>
            </w:r>
          </w:p>
        </w:tc>
        <w:tc>
          <w:tcPr>
            <w:tcW w:w="14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Number of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 Share Price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Aggregate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Forward Sales Price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Aggregate Net Value</w:t>
            </w:r>
          </w:p>
        </w:tc>
      </w:tr>
      <w:tr>
        <w:trPr/>
        <w:tc>
          <w:tcPr>
            <w:tcW w:w="18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Ended December 31, 2023</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21,365,397 </w:t>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30.10 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643,045 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29.70 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634,594 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Ended December 31, 2022</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21,617,592 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715,880 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703,100 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Ended December 31, 2021</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w:t>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42,982,989 </w:t>
            </w:r>
          </w:p>
        </w:tc>
        <w:tc>
          <w:tcPr>
            <w:tcW w:w="3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31.62 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1,358,925 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31.12 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1,337,694 </w:t>
            </w:r>
          </w:p>
        </w:tc>
        <w:tc>
          <w:tcPr>
            <w:tcW w:w="1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222885"/>
                <wp:effectExtent l="0" t="0" r="0" b="0"/>
                <wp:wrapNone/>
                <wp:docPr id="119" name="Frame11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 - 47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 - 47</w:t>
                      </w:r>
                    </w:p>
                  </w:txbxContent>
                </v:textbox>
                <w10:wrap type="none"/>
              </v:rect>
            </w:pict>
          </mc:Fallback>
        </mc:AlternateContent>
      </w:r>
    </w:p>
    <w:p>
      <w:pPr>
        <w:pStyle w:val="TextBody"/>
        <w:bidi w:val="0"/>
        <w:spacing w:lineRule="auto" w:line="288" w:before="60" w:after="283"/>
        <w:jc w:val="both"/>
        <w:rPr/>
      </w:pPr>
      <w:hyperlink w:anchor="ib2fc48f0ddf244d9844b8de22bde2e36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did not receive any proceeds from the sale of shares at the time we entered into each of the ATM Forward Sale Agreements. We determined that the ATM Forward Sale Agreements meet the criteria for equity classification and, therefore, are exempt from derivative accounting. We recorded the ATM Forward Sale Agreements at fair value at inception, which we determined to be zero. Subsequent changes to fair value are not required under equity classification.</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we had 13.2 million forward shares outstanding under our ATM program. The net forward sales price per share of forward shares under the ATM program was $28.97 and would result in us receiving approximately $382.2 million in net cash proceeds if we were to physically settle the shares. Alternatively, if we were to cash settle the shares under ATM program, it would result in a cash inflow of $38.5 million, or, if we were to net share settle the shares under the June 2023 ATM Forward Sale Agreements, it would result in us receiving approximately 1.2 million shares.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Subsequent to the year ended December 31, 2023, we sold a total of approximately 9.7 million shares under the ATM Program at a weighted average price per share of $31.61 for an aggregate value of $305.5 million, all of which were sold subject to the ATM Forward Sale Agreement. After fees and other adjustments calculated in accordance with the forward sale agreement, the aggregate net value of $302.4 million yielded a net initial forward sales price per share of $31.30. </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Forward Settlement Activity</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settlement activity of the outstanding forward shares under our public offerings and the ATM Program during the years ended December 31, 2023, 2022 and 2021:</w:t>
      </w:r>
    </w:p>
    <w:tbl>
      <w:tblPr>
        <w:tblW w:w="10205" w:type="dxa"/>
        <w:jc w:val="left"/>
        <w:tblInd w:w="0" w:type="dxa"/>
        <w:tblLayout w:type="fixed"/>
        <w:tblCellMar>
          <w:top w:w="28" w:type="dxa"/>
          <w:left w:w="28" w:type="dxa"/>
          <w:bottom w:w="28" w:type="dxa"/>
          <w:right w:w="28" w:type="dxa"/>
        </w:tblCellMar>
      </w:tblPr>
      <w:tblGrid>
        <w:gridCol w:w="786"/>
        <w:gridCol w:w="569"/>
        <w:gridCol w:w="573"/>
        <w:gridCol w:w="413"/>
        <w:gridCol w:w="383"/>
        <w:gridCol w:w="385"/>
        <w:gridCol w:w="109"/>
        <w:gridCol w:w="109"/>
        <w:gridCol w:w="109"/>
        <w:gridCol w:w="353"/>
        <w:gridCol w:w="353"/>
        <w:gridCol w:w="354"/>
        <w:gridCol w:w="109"/>
        <w:gridCol w:w="109"/>
        <w:gridCol w:w="109"/>
        <w:gridCol w:w="694"/>
        <w:gridCol w:w="560"/>
        <w:gridCol w:w="401"/>
        <w:gridCol w:w="109"/>
        <w:gridCol w:w="109"/>
        <w:gridCol w:w="109"/>
        <w:gridCol w:w="370"/>
        <w:gridCol w:w="1080"/>
        <w:gridCol w:w="190"/>
        <w:gridCol w:w="109"/>
        <w:gridCol w:w="109"/>
        <w:gridCol w:w="109"/>
        <w:gridCol w:w="224"/>
        <w:gridCol w:w="1037"/>
        <w:gridCol w:w="172"/>
      </w:tblGrid>
      <w:tr>
        <w:trPr/>
        <w:tc>
          <w:tcPr>
            <w:tcW w:w="786"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19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 In thousands, except share and per share data)</w:t>
            </w:r>
          </w:p>
        </w:tc>
        <w:tc>
          <w:tcPr>
            <w:tcW w:w="11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Settlement Date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Settlement Type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Number of Shares Settled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Forward Share Price Upon Settlement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Net Proceeds</w:t>
            </w:r>
          </w:p>
        </w:tc>
      </w:tr>
      <w:tr>
        <w:trPr/>
        <w:tc>
          <w:tcPr>
            <w:tcW w:w="19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2023</w:t>
            </w:r>
          </w:p>
        </w:tc>
        <w:tc>
          <w:tcPr>
            <w:tcW w:w="11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2023 Forward Sale Agreements</w:t>
            </w:r>
          </w:p>
        </w:tc>
        <w:tc>
          <w:tcPr>
            <w:tcW w:w="11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Various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Physical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30,302,500 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31.70 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960,500 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2022 Forward Sale Agreements</w:t>
            </w:r>
          </w:p>
        </w:tc>
        <w:tc>
          <w:tcPr>
            <w:tcW w:w="11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January 6,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Physical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18,975,000 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30.34 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575,600 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ATM Forward Shares</w:t>
            </w:r>
          </w:p>
        </w:tc>
        <w:tc>
          <w:tcPr>
            <w:tcW w:w="11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Various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Physical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29,788,250 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31.75 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945,700 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2022</w:t>
            </w:r>
          </w:p>
        </w:tc>
        <w:tc>
          <w:tcPr>
            <w:tcW w:w="11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September 2021 Forward Sale Agreements</w:t>
            </w:r>
          </w:p>
        </w:tc>
        <w:tc>
          <w:tcPr>
            <w:tcW w:w="11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18,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Physical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50,000,000 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27.81 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1,390,600 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2021 Forward Sale Agreements</w:t>
            </w:r>
          </w:p>
        </w:tc>
        <w:tc>
          <w:tcPr>
            <w:tcW w:w="11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18,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Physical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69,000,000 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26.50 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1,828,600 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2021</w:t>
            </w:r>
          </w:p>
        </w:tc>
        <w:tc>
          <w:tcPr>
            <w:tcW w:w="11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June 2020 Forward Sale Agreement</w:t>
            </w:r>
          </w:p>
        </w:tc>
        <w:tc>
          <w:tcPr>
            <w:tcW w:w="11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9,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Physical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26,900,000 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19.59 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526,900 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w:t>
            </w:r>
          </w:p>
        </w:tc>
        <w:tc>
          <w:tcPr>
            <w:tcW w:w="11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224,965,750 </w:t>
            </w:r>
          </w:p>
        </w:tc>
        <w:tc>
          <w:tcPr>
            <w:tcW w:w="4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27.68 </w:t>
            </w:r>
          </w:p>
        </w:tc>
        <w:tc>
          <w:tcPr>
            <w:tcW w:w="1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6,227,900 </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Common Stock Outstanding</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details the issuance of outstanding shares of common stock, including restricted common stock:</w:t>
      </w:r>
    </w:p>
    <w:tbl>
      <w:tblPr>
        <w:tblW w:w="10205" w:type="dxa"/>
        <w:jc w:val="left"/>
        <w:tblInd w:w="0" w:type="dxa"/>
        <w:tblLayout w:type="fixed"/>
        <w:tblCellMar>
          <w:top w:w="28" w:type="dxa"/>
          <w:left w:w="28" w:type="dxa"/>
          <w:bottom w:w="28" w:type="dxa"/>
          <w:right w:w="28" w:type="dxa"/>
        </w:tblCellMar>
      </w:tblPr>
      <w:tblGrid>
        <w:gridCol w:w="1825"/>
        <w:gridCol w:w="1580"/>
        <w:gridCol w:w="1584"/>
        <w:gridCol w:w="109"/>
        <w:gridCol w:w="109"/>
        <w:gridCol w:w="109"/>
        <w:gridCol w:w="668"/>
        <w:gridCol w:w="668"/>
        <w:gridCol w:w="156"/>
        <w:gridCol w:w="109"/>
        <w:gridCol w:w="109"/>
        <w:gridCol w:w="109"/>
        <w:gridCol w:w="593"/>
        <w:gridCol w:w="593"/>
        <w:gridCol w:w="156"/>
        <w:gridCol w:w="109"/>
        <w:gridCol w:w="109"/>
        <w:gridCol w:w="109"/>
        <w:gridCol w:w="593"/>
        <w:gridCol w:w="593"/>
        <w:gridCol w:w="215"/>
      </w:tblGrid>
      <w:tr>
        <w:trPr/>
        <w:tc>
          <w:tcPr>
            <w:tcW w:w="1825"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4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Common Stock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49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Beginning Balance January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963,096,563 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628,942,092 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536,669,722 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in primary follow-on offerings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65,000,000 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upon physical settlement of forward sale agreements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79,065,750 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119,000,000 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26,900,000 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in connection with the MGP Transactions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214,552,532 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r>
      <w:tr>
        <w:trPr/>
        <w:tc>
          <w:tcPr>
            <w:tcW w:w="4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restricted and unrestricted common stock under the stock incentive program, net of forfeitures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540,450 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601,939 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372,370 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Ending Balance December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1,042,702,763 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963,096,563 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628,942,092 </w:t>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222885"/>
                <wp:effectExtent l="0" t="0" r="0" b="0"/>
                <wp:wrapNone/>
                <wp:docPr id="120" name="Frame11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 - 48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 - 48</w:t>
                      </w:r>
                    </w:p>
                  </w:txbxContent>
                </v:textbox>
                <w10:wrap type="none"/>
              </v:rect>
            </w:pict>
          </mc:Fallback>
        </mc:AlternateContent>
      </w:r>
    </w:p>
    <w:p>
      <w:pPr>
        <w:pStyle w:val="TextBody"/>
        <w:bidi w:val="0"/>
        <w:spacing w:lineRule="auto" w:line="288" w:before="60" w:after="283"/>
        <w:jc w:val="both"/>
        <w:rPr/>
      </w:pPr>
      <w:hyperlink w:anchor="ib2fc48f0ddf244d9844b8de22bde2e36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Distributions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Dividends declared (on a per share basis) during the years ended December 31, 2023 and 2022 were as follows:</w:t>
      </w:r>
    </w:p>
    <w:tbl>
      <w:tblPr>
        <w:tblW w:w="10205" w:type="dxa"/>
        <w:jc w:val="left"/>
        <w:tblInd w:w="0" w:type="dxa"/>
        <w:tblLayout w:type="fixed"/>
        <w:tblCellMar>
          <w:top w:w="28" w:type="dxa"/>
          <w:left w:w="28" w:type="dxa"/>
          <w:bottom w:w="28" w:type="dxa"/>
          <w:right w:w="28" w:type="dxa"/>
        </w:tblCellMar>
      </w:tblPr>
      <w:tblGrid>
        <w:gridCol w:w="586"/>
        <w:gridCol w:w="515"/>
        <w:gridCol w:w="518"/>
        <w:gridCol w:w="109"/>
        <w:gridCol w:w="109"/>
        <w:gridCol w:w="109"/>
        <w:gridCol w:w="571"/>
        <w:gridCol w:w="567"/>
        <w:gridCol w:w="568"/>
        <w:gridCol w:w="109"/>
        <w:gridCol w:w="109"/>
        <w:gridCol w:w="109"/>
        <w:gridCol w:w="464"/>
        <w:gridCol w:w="464"/>
        <w:gridCol w:w="466"/>
        <w:gridCol w:w="109"/>
        <w:gridCol w:w="109"/>
        <w:gridCol w:w="109"/>
        <w:gridCol w:w="1028"/>
        <w:gridCol w:w="1021"/>
        <w:gridCol w:w="1037"/>
        <w:gridCol w:w="109"/>
        <w:gridCol w:w="109"/>
        <w:gridCol w:w="109"/>
        <w:gridCol w:w="211"/>
        <w:gridCol w:w="721"/>
        <w:gridCol w:w="160"/>
      </w:tblGrid>
      <w:tr>
        <w:trPr/>
        <w:tc>
          <w:tcPr>
            <w:tcW w:w="586"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 2023</w:t>
            </w:r>
          </w:p>
        </w:tc>
      </w:tr>
      <w:tr>
        <w:trPr/>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Declaration 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Record 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Payment 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Period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Dividend</w:t>
            </w:r>
          </w:p>
        </w:tc>
      </w:tr>
      <w:tr>
        <w:trPr/>
        <w:tc>
          <w:tcPr>
            <w:tcW w:w="16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9,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23,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6,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January 1, 2023 – March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0.3900 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8,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22,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6,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1, 2023 – June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0.3900 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7,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21,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October 5,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1, 2023 – September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0.4150 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7,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21,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January 5,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October 1, 2023 - December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0.4150 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
        <w:gridCol w:w="515"/>
        <w:gridCol w:w="518"/>
        <w:gridCol w:w="109"/>
        <w:gridCol w:w="109"/>
        <w:gridCol w:w="109"/>
        <w:gridCol w:w="571"/>
        <w:gridCol w:w="567"/>
        <w:gridCol w:w="568"/>
        <w:gridCol w:w="109"/>
        <w:gridCol w:w="109"/>
        <w:gridCol w:w="109"/>
        <w:gridCol w:w="464"/>
        <w:gridCol w:w="464"/>
        <w:gridCol w:w="466"/>
        <w:gridCol w:w="109"/>
        <w:gridCol w:w="109"/>
        <w:gridCol w:w="109"/>
        <w:gridCol w:w="1028"/>
        <w:gridCol w:w="1021"/>
        <w:gridCol w:w="1037"/>
        <w:gridCol w:w="109"/>
        <w:gridCol w:w="109"/>
        <w:gridCol w:w="109"/>
        <w:gridCol w:w="211"/>
        <w:gridCol w:w="721"/>
        <w:gridCol w:w="160"/>
      </w:tblGrid>
      <w:tr>
        <w:trPr/>
        <w:tc>
          <w:tcPr>
            <w:tcW w:w="586"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 2022</w:t>
            </w:r>
          </w:p>
        </w:tc>
      </w:tr>
      <w:tr>
        <w:trPr/>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Declaration 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Record 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Payment 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Period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Dividend</w:t>
            </w:r>
          </w:p>
        </w:tc>
      </w:tr>
      <w:tr>
        <w:trPr/>
        <w:tc>
          <w:tcPr>
            <w:tcW w:w="16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10,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24,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7,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January 1, 2022 - March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0.3600 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9,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23,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7,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1, 2022 - June 30,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0.3600 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8,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22,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October 6,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1, 2022 - September 30,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0.3900 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8,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22,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January 5,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October 1, 2022 - December 31,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0.3900 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4"/>
        </w:rPr>
      </w:pPr>
      <w:r>
        <w:rPr>
          <w:rFonts w:ascii="Times New Roman;sans-serif" w:hAnsi="Times New Roman;sans-serif"/>
          <w:b/>
          <w:color w:val="000000"/>
          <w:sz w:val="24"/>
        </w:rPr>
        <w:t xml:space="preserve">Note 12 — Earnings Per Share and Earnings Per Unit </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Earnings Per Share</w:t>
      </w:r>
    </w:p>
    <w:p>
      <w:pPr>
        <w:pStyle w:val="TextBody"/>
        <w:bidi w:val="0"/>
        <w:spacing w:lineRule="auto" w:line="288" w:before="180" w:after="283"/>
        <w:jc w:val="both"/>
        <w:rPr/>
      </w:pPr>
      <w:r>
        <w:rPr>
          <w:rFonts w:ascii="Times New Roman;sans-serif" w:hAnsi="Times New Roman;sans-serif"/>
          <w:b w:val="false"/>
          <w:color w:val="000000"/>
          <w:sz w:val="20"/>
        </w:rPr>
        <w:t xml:space="preserve">Basic earnings per share is computed by dividing net income attributable to common stockholders by the weighted-average number of shares of common stock outstanding during the period. Diluted earnings per share reflects the additional dilution for all potentially dilutive securities such as stock options, unvested restricted shares, unvested performance-based restricted shares and the shares to be issued by us upon settlement of any outstanding forward sale agreements for the period such dilutive security is outstanding. The shares issuable upon settlement of any outstanding forward sale agreements, as described in </w:t>
      </w:r>
      <w:hyperlink w:anchor="ib2fc48f0ddf244d9844b8de22bde2e36_175">
        <w:r>
          <w:rPr>
            <w:rStyle w:val="InternetLink"/>
            <w:rFonts w:ascii="Times New Roman;sans-serif" w:hAnsi="Times New Roman;sans-serif"/>
            <w:b w:val="false"/>
            <w:color w:val="0000FF"/>
            <w:sz w:val="20"/>
            <w:u w:val="single"/>
          </w:rPr>
          <w:t>Note 11 - Stockholders' Equity</w:t>
        </w:r>
      </w:hyperlink>
      <w:r>
        <w:rPr>
          <w:rFonts w:ascii="Times New Roman;sans-serif" w:hAnsi="Times New Roman;sans-serif"/>
          <w:b w:val="false"/>
          <w:color w:val="000000"/>
          <w:sz w:val="20"/>
        </w:rPr>
        <w:t xml:space="preserve">, are reflected in the diluted earnings per share calculations using the treasury stock method for the period outstanding prior to settlement. Under this method, the number of shares of our common stock used in calculating diluted earnings per share is deemed to be increased by the excess, if any, of the number of shares of common stock that would be issued upon full physical settlement of the shares under any outstanding forward sale agreements for the period prior to settlement over the number of shares of common stock that could be purchased by us in the market (based on the average market price during the period prior to settlement) using the proceeds receivable upon full physical settlement (based on the adjusted forward sales price immediately prior to settlement).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reconcile the weighted-average shares of common stock outstanding used in the calculation of basic earnings per share to the weighted-average shares of common stock outstanding used in the calculation of diluted earnings per share:</w:t>
      </w:r>
    </w:p>
    <w:tbl>
      <w:tblPr>
        <w:tblW w:w="9212" w:type="dxa"/>
        <w:jc w:val="left"/>
        <w:tblInd w:w="0" w:type="dxa"/>
        <w:tblLayout w:type="fixed"/>
        <w:tblCellMar>
          <w:top w:w="28" w:type="dxa"/>
          <w:left w:w="28" w:type="dxa"/>
          <w:bottom w:w="28" w:type="dxa"/>
          <w:right w:w="28" w:type="dxa"/>
        </w:tblCellMar>
      </w:tblPr>
      <w:tblGrid>
        <w:gridCol w:w="1886"/>
        <w:gridCol w:w="1657"/>
        <w:gridCol w:w="1676"/>
        <w:gridCol w:w="488"/>
        <w:gridCol w:w="488"/>
        <w:gridCol w:w="156"/>
        <w:gridCol w:w="140"/>
        <w:gridCol w:w="140"/>
        <w:gridCol w:w="140"/>
        <w:gridCol w:w="413"/>
        <w:gridCol w:w="413"/>
        <w:gridCol w:w="156"/>
        <w:gridCol w:w="140"/>
        <w:gridCol w:w="140"/>
        <w:gridCol w:w="140"/>
        <w:gridCol w:w="413"/>
        <w:gridCol w:w="413"/>
        <w:gridCol w:w="213"/>
      </w:tblGrid>
      <w:tr>
        <w:trPr/>
        <w:tc>
          <w:tcPr>
            <w:tcW w:w="1886" w:type="dxa"/>
            <w:tcBorders/>
            <w:vAlign w:val="center"/>
          </w:tcPr>
          <w:p>
            <w:pPr>
              <w:pStyle w:val="TableContents"/>
              <w:bidi w:val="0"/>
              <w:spacing w:before="0" w:after="283"/>
              <w:jc w:val="left"/>
              <w:rPr>
                <w:sz w:val="4"/>
                <w:szCs w:val="4"/>
              </w:rPr>
            </w:pPr>
            <w:r>
              <w:rPr>
                <w:sz w:val="4"/>
                <w:szCs w:val="4"/>
              </w:rPr>
            </w:r>
          </w:p>
        </w:tc>
        <w:tc>
          <w:tcPr>
            <w:tcW w:w="1657" w:type="dxa"/>
            <w:tcBorders/>
            <w:vAlign w:val="center"/>
          </w:tcPr>
          <w:p>
            <w:pPr>
              <w:pStyle w:val="TableContents"/>
              <w:bidi w:val="0"/>
              <w:spacing w:before="0" w:after="283"/>
              <w:jc w:val="left"/>
              <w:rPr>
                <w:sz w:val="4"/>
                <w:szCs w:val="4"/>
              </w:rPr>
            </w:pPr>
            <w:r>
              <w:rPr>
                <w:sz w:val="4"/>
                <w:szCs w:val="4"/>
              </w:rPr>
            </w:r>
          </w:p>
        </w:tc>
        <w:tc>
          <w:tcPr>
            <w:tcW w:w="167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5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w:t>
            </w:r>
          </w:p>
        </w:tc>
        <w:tc>
          <w:tcPr>
            <w:tcW w:w="11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Determination of shares:</w:t>
            </w:r>
          </w:p>
        </w:tc>
        <w:tc>
          <w:tcPr>
            <w:tcW w:w="11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of common stock outstanding</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1,014,513 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877,508 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564,467 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Assumed conversion of restricted stock</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924 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Assumed settlement of forward sale agreements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11,675 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weighted-average shares of common stock outstanding</w:t>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1,015,777 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879,676 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577,066 </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222885"/>
                <wp:effectExtent l="0" t="0" r="0" b="0"/>
                <wp:wrapNone/>
                <wp:docPr id="121" name="Frame11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 - 49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 - 49</w:t>
                      </w:r>
                    </w:p>
                  </w:txbxContent>
                </v:textbox>
                <w10:wrap type="none"/>
              </v:rect>
            </w:pict>
          </mc:Fallback>
        </mc:AlternateContent>
      </w:r>
    </w:p>
    <w:p>
      <w:pPr>
        <w:pStyle w:val="TextBody"/>
        <w:bidi w:val="0"/>
        <w:spacing w:lineRule="auto" w:line="288" w:before="60" w:after="283"/>
        <w:jc w:val="both"/>
        <w:rPr/>
      </w:pPr>
      <w:hyperlink w:anchor="ib2fc48f0ddf244d9844b8de22bde2e36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tbl>
      <w:tblPr>
        <w:tblW w:w="9807" w:type="dxa"/>
        <w:jc w:val="center"/>
        <w:tblInd w:w="0" w:type="dxa"/>
        <w:tblLayout w:type="fixed"/>
        <w:tblCellMar>
          <w:top w:w="28" w:type="dxa"/>
          <w:left w:w="28" w:type="dxa"/>
          <w:bottom w:w="28" w:type="dxa"/>
          <w:right w:w="28" w:type="dxa"/>
        </w:tblCellMar>
      </w:tblPr>
      <w:tblGrid>
        <w:gridCol w:w="1888"/>
        <w:gridCol w:w="1661"/>
        <w:gridCol w:w="1671"/>
        <w:gridCol w:w="211"/>
        <w:gridCol w:w="976"/>
        <w:gridCol w:w="109"/>
        <w:gridCol w:w="109"/>
        <w:gridCol w:w="109"/>
        <w:gridCol w:w="109"/>
        <w:gridCol w:w="211"/>
        <w:gridCol w:w="976"/>
        <w:gridCol w:w="109"/>
        <w:gridCol w:w="109"/>
        <w:gridCol w:w="109"/>
        <w:gridCol w:w="109"/>
        <w:gridCol w:w="211"/>
        <w:gridCol w:w="976"/>
        <w:gridCol w:w="154"/>
      </w:tblGrid>
      <w:tr>
        <w:trPr/>
        <w:tc>
          <w:tcPr>
            <w:tcW w:w="1888" w:type="dxa"/>
            <w:tcBorders/>
            <w:vAlign w:val="center"/>
          </w:tcPr>
          <w:p>
            <w:pPr>
              <w:pStyle w:val="TableContents"/>
              <w:bidi w:val="0"/>
              <w:spacing w:before="0" w:after="283"/>
              <w:jc w:val="left"/>
              <w:rPr>
                <w:sz w:val="4"/>
                <w:szCs w:val="4"/>
              </w:rPr>
            </w:pPr>
            <w:r>
              <w:rPr>
                <w:sz w:val="4"/>
                <w:szCs w:val="4"/>
              </w:rPr>
            </w:r>
          </w:p>
        </w:tc>
        <w:tc>
          <w:tcPr>
            <w:tcW w:w="1661" w:type="dxa"/>
            <w:tcBorders/>
            <w:vAlign w:val="center"/>
          </w:tcPr>
          <w:p>
            <w:pPr>
              <w:pStyle w:val="TableContents"/>
              <w:bidi w:val="0"/>
              <w:spacing w:before="0" w:after="283"/>
              <w:jc w:val="left"/>
              <w:rPr>
                <w:sz w:val="4"/>
                <w:szCs w:val="4"/>
              </w:rPr>
            </w:pPr>
            <w:r>
              <w:rPr>
                <w:sz w:val="4"/>
                <w:szCs w:val="4"/>
              </w:rPr>
            </w:r>
          </w:p>
        </w:tc>
        <w:tc>
          <w:tcPr>
            <w:tcW w:w="16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52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 except per share data)</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Basic:</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common stockholders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2,513,540 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1,117,635 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1,013,851 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of common stock outstanding</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1,014,513 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877,508 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564,467 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EPS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Diluted:</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common stockholders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2,513,540 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1,117,635 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1,013,851 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weighted-average shares of common stock outstanding</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879,676 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577,066 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EPS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Earnings Per Unit</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section presents the basic earnings per unit and diluted EPU of VICI OP, our operating partnership and the direct parent and 100% interest holder in VICI LP. VICI LP’s interests are not expressed in units. However, given that VICI OP has a unit ownership structure and the financial information of VICI OP is substantially identical with that of VICI LP, we have elected to present the EPU of VICI OP. Basic EPU is computed by dividing net income attributable to partners’ capital by the weighted-average number of units outstanding during the period. In accordance with the VICI OP limited liability company agreement, for each share of common stock issued at VICI, a corresponding unit is issued by VICI OP. Accordingly, diluted EPU reflects the additional dilution for all potentially dilutive units resulting from potentially dilutive VICI stock issuances, such as options, unvested restricted stock awards, unvested performance-based restricted stock unit awards and the units to be issued by us upon settlement of any outstanding forward sale agreements of VICI for the period such dilutive security is outstanding. The units issuable upon settlement of any outstanding forward sale agreements of VICI are reflected in the diluted EPU calculations using the treasury stock method for the period outstanding prior to settlement. Under this method, the number of units used in calculating diluted EPU is deemed to be increased by the excess, if any, of the number of units that would be issued upon full physical settlement of the units under any outstanding forward sale agreements for the period prior to settlement over the number of shares of VICI common stock that could be purchased by us in the market (based on the average market price during the period prior to settlement) using the proceeds receivable upon full physical settlement (based on the adjusted forward sales price immediately prior to settlement). Upon VICI’s physical settlement of the shares of VICI common stock under the outstanding forward sale agreement, the delivery of shares of VICI common stock resulted in an increase in the number of VICI OP units outstanding and resulting dilution to EPU.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reconcile the weighted-average units outstanding used in the calculation of basic EPU to the weighted-average units outstanding used in the calculation of diluted EPU:</w:t>
      </w:r>
    </w:p>
    <w:tbl>
      <w:tblPr>
        <w:tblW w:w="8357" w:type="dxa"/>
        <w:jc w:val="left"/>
        <w:tblInd w:w="0" w:type="dxa"/>
        <w:tblLayout w:type="fixed"/>
        <w:tblCellMar>
          <w:top w:w="28" w:type="dxa"/>
          <w:left w:w="28" w:type="dxa"/>
          <w:bottom w:w="28" w:type="dxa"/>
          <w:right w:w="28" w:type="dxa"/>
        </w:tblCellMar>
      </w:tblPr>
      <w:tblGrid>
        <w:gridCol w:w="1577"/>
        <w:gridCol w:w="1387"/>
        <w:gridCol w:w="1400"/>
        <w:gridCol w:w="488"/>
        <w:gridCol w:w="488"/>
        <w:gridCol w:w="156"/>
        <w:gridCol w:w="140"/>
        <w:gridCol w:w="140"/>
        <w:gridCol w:w="140"/>
        <w:gridCol w:w="413"/>
        <w:gridCol w:w="413"/>
        <w:gridCol w:w="156"/>
        <w:gridCol w:w="140"/>
        <w:gridCol w:w="140"/>
        <w:gridCol w:w="140"/>
        <w:gridCol w:w="413"/>
        <w:gridCol w:w="413"/>
        <w:gridCol w:w="213"/>
      </w:tblGrid>
      <w:tr>
        <w:trPr/>
        <w:tc>
          <w:tcPr>
            <w:tcW w:w="1577"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4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w:t>
            </w:r>
          </w:p>
        </w:tc>
        <w:tc>
          <w:tcPr>
            <w:tcW w:w="11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Determination of units:</w:t>
            </w:r>
          </w:p>
        </w:tc>
        <w:tc>
          <w:tcPr>
            <w:tcW w:w="11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units outstanding</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1,026,745 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885,786 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564,467 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Assumed conversion of VICI restricted stock</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924 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Assumed settlement of VICI forward sale agreements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11,675 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weighted-average units outstanding</w:t>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1,028,008 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887,953 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577,066 </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222885"/>
                <wp:effectExtent l="0" t="0" r="0" b="0"/>
                <wp:wrapNone/>
                <wp:docPr id="122" name="Frame12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 - 50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 - 50</w:t>
                      </w:r>
                    </w:p>
                  </w:txbxContent>
                </v:textbox>
                <w10:wrap type="none"/>
              </v:rect>
            </w:pict>
          </mc:Fallback>
        </mc:AlternateContent>
      </w:r>
    </w:p>
    <w:p>
      <w:pPr>
        <w:pStyle w:val="TextBody"/>
        <w:bidi w:val="0"/>
        <w:spacing w:lineRule="auto" w:line="288" w:before="60" w:after="283"/>
        <w:jc w:val="both"/>
        <w:rPr/>
      </w:pPr>
      <w:hyperlink w:anchor="ib2fc48f0ddf244d9844b8de22bde2e36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tbl>
      <w:tblPr>
        <w:tblW w:w="8277" w:type="dxa"/>
        <w:jc w:val="left"/>
        <w:tblInd w:w="0" w:type="dxa"/>
        <w:tblLayout w:type="fixed"/>
        <w:tblCellMar>
          <w:top w:w="28" w:type="dxa"/>
          <w:left w:w="28" w:type="dxa"/>
          <w:bottom w:w="28" w:type="dxa"/>
          <w:right w:w="28" w:type="dxa"/>
        </w:tblCellMar>
      </w:tblPr>
      <w:tblGrid>
        <w:gridCol w:w="1335"/>
        <w:gridCol w:w="1174"/>
        <w:gridCol w:w="1181"/>
        <w:gridCol w:w="211"/>
        <w:gridCol w:w="976"/>
        <w:gridCol w:w="109"/>
        <w:gridCol w:w="109"/>
        <w:gridCol w:w="109"/>
        <w:gridCol w:w="109"/>
        <w:gridCol w:w="211"/>
        <w:gridCol w:w="976"/>
        <w:gridCol w:w="109"/>
        <w:gridCol w:w="109"/>
        <w:gridCol w:w="109"/>
        <w:gridCol w:w="109"/>
        <w:gridCol w:w="211"/>
        <w:gridCol w:w="976"/>
        <w:gridCol w:w="154"/>
      </w:tblGrid>
      <w:tr>
        <w:trPr/>
        <w:tc>
          <w:tcPr>
            <w:tcW w:w="1335"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3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 except per share data)</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Basic:</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partners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2,535,066 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1,118,471 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1,008,534 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units outstanding</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1,026,745 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885,786 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564,467 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EPU</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Diluted:</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partners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2,535,066 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1,118,471 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1,008,534 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weighted-average units outstanding</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1,028,008 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887,953 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577,066 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EPU</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4"/>
        </w:rPr>
      </w:pPr>
      <w:r>
        <w:rPr>
          <w:rFonts w:ascii="Times New Roman;sans-serif" w:hAnsi="Times New Roman;sans-serif"/>
          <w:b/>
          <w:color w:val="000000"/>
          <w:sz w:val="24"/>
        </w:rPr>
        <w:t xml:space="preserve">Note 13 — Stock-Based Compensation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2017 Stock Incentive Plan (the “Plan”) is designed to provide long-term equity-based compensation to our directors and employees. It is administered by the Compensation Committee of the Board of Directors. Awards under the Plan may be granted with respect to an aggregate of 12,750,000 shares of common stock and may be issued in the form of: (a) incentive stock options, (b) non-qualified stock options, (c) stock appreciation rights, (d) dividend equivalent rights, (e) restricted stock, (f) restricted stock units or (g) unrestricted stock. In addition, the Plan limits the total number of shares of common stock with respect to which awards may be granted to any employee or director during any one calendar year. At December 31, 2023, 10,202,301 shares of common stock remained available for issuance by us as equity awards under the Plan.</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Time-Based Restricted Stock</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years ended December 31, 2023, 2022 and 2021, the Company granted approximately 203,000, 384,000, and 172,000 shares of restricted stock, respectively, under the Plan, respectively, subject to vesting restrictions based on service. Such restricted time-based stock awards vest ratably on an annual basis over a service period of one to three years. The number of shares granted was determined based on the 10-day volume weighted average price using the 10 trading days immediately preceding the grant date. </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Performance-Based Restricted Stock Units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years ended December 31, 2023, 2022 and 2021 the Company granted approximately 235,000, 336,000, and 188,000 performance-based restricted stock units, respectively, at target level of performance under the Plan, which are subject to vesting restrictions based on specified absolute and relative total stockholder return goals measured over a three-year performance period. We used a Monte Carlo Simulation (risk-neutral approach) to determine the number of shares that may be earned and vested pursuant to the award as these awards were deemed to have a market condition. The risk-free interest rate assumptions used in the Monte Carlo Simulation were determined based on the zero-coupon risk-free rate of 0.2% - 4.5% and an expected price volatility of 30.0% - 35.0%. The expected price volatility was calculated based on both historical and implied volatility.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details the stock-based compensation expense recorded as General and administrative expense in the Statement of Operations:</w:t>
      </w:r>
    </w:p>
    <w:tbl>
      <w:tblPr>
        <w:tblW w:w="6717" w:type="dxa"/>
        <w:jc w:val="left"/>
        <w:tblInd w:w="0" w:type="dxa"/>
        <w:tblLayout w:type="fixed"/>
        <w:tblCellMar>
          <w:top w:w="28" w:type="dxa"/>
          <w:left w:w="28" w:type="dxa"/>
          <w:bottom w:w="28" w:type="dxa"/>
          <w:right w:w="28" w:type="dxa"/>
        </w:tblCellMar>
      </w:tblPr>
      <w:tblGrid>
        <w:gridCol w:w="1085"/>
        <w:gridCol w:w="954"/>
        <w:gridCol w:w="961"/>
        <w:gridCol w:w="211"/>
        <w:gridCol w:w="721"/>
        <w:gridCol w:w="109"/>
        <w:gridCol w:w="109"/>
        <w:gridCol w:w="109"/>
        <w:gridCol w:w="109"/>
        <w:gridCol w:w="211"/>
        <w:gridCol w:w="721"/>
        <w:gridCol w:w="109"/>
        <w:gridCol w:w="109"/>
        <w:gridCol w:w="109"/>
        <w:gridCol w:w="109"/>
        <w:gridCol w:w="211"/>
        <w:gridCol w:w="616"/>
        <w:gridCol w:w="154"/>
      </w:tblGrid>
      <w:tr>
        <w:trPr/>
        <w:tc>
          <w:tcPr>
            <w:tcW w:w="1085"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222885"/>
                <wp:effectExtent l="0" t="0" r="0" b="0"/>
                <wp:wrapNone/>
                <wp:docPr id="123" name="Frame12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 - 51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 - 51</w:t>
                      </w:r>
                    </w:p>
                  </w:txbxContent>
                </v:textbox>
                <w10:wrap type="none"/>
              </v:rect>
            </w:pict>
          </mc:Fallback>
        </mc:AlternateContent>
      </w:r>
    </w:p>
    <w:p>
      <w:pPr>
        <w:pStyle w:val="TextBody"/>
        <w:bidi w:val="0"/>
        <w:spacing w:lineRule="auto" w:line="288" w:before="60" w:after="283"/>
        <w:jc w:val="both"/>
        <w:rPr/>
      </w:pPr>
      <w:hyperlink w:anchor="ib2fc48f0ddf244d9844b8de22bde2e36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details the activity of our incentive stock and time-based restricted stock and performance-based restricted stock units:</w:t>
      </w:r>
    </w:p>
    <w:tbl>
      <w:tblPr>
        <w:tblW w:w="10205" w:type="dxa"/>
        <w:jc w:val="left"/>
        <w:tblInd w:w="0" w:type="dxa"/>
        <w:tblLayout w:type="fixed"/>
        <w:tblCellMar>
          <w:top w:w="28" w:type="dxa"/>
          <w:left w:w="28" w:type="dxa"/>
          <w:bottom w:w="28" w:type="dxa"/>
          <w:right w:w="28" w:type="dxa"/>
        </w:tblCellMar>
      </w:tblPr>
      <w:tblGrid>
        <w:gridCol w:w="924"/>
        <w:gridCol w:w="665"/>
        <w:gridCol w:w="670"/>
        <w:gridCol w:w="472"/>
        <w:gridCol w:w="400"/>
        <w:gridCol w:w="175"/>
        <w:gridCol w:w="175"/>
        <w:gridCol w:w="175"/>
        <w:gridCol w:w="175"/>
        <w:gridCol w:w="492"/>
        <w:gridCol w:w="1440"/>
        <w:gridCol w:w="254"/>
        <w:gridCol w:w="109"/>
        <w:gridCol w:w="109"/>
        <w:gridCol w:w="109"/>
        <w:gridCol w:w="458"/>
        <w:gridCol w:w="413"/>
        <w:gridCol w:w="229"/>
        <w:gridCol w:w="172"/>
        <w:gridCol w:w="172"/>
        <w:gridCol w:w="172"/>
        <w:gridCol w:w="480"/>
        <w:gridCol w:w="1404"/>
        <w:gridCol w:w="361"/>
      </w:tblGrid>
      <w:tr>
        <w:trPr/>
        <w:tc>
          <w:tcPr>
            <w:tcW w:w="924"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Incentive and Time-Based Restricted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Performance-Based Restricted Stock Units</w:t>
            </w:r>
          </w:p>
        </w:tc>
      </w:tr>
      <w:tr>
        <w:trPr/>
        <w:tc>
          <w:tcPr>
            <w:tcW w:w="2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 except for per share data)</w:t>
            </w:r>
          </w:p>
        </w:tc>
        <w:tc>
          <w:tcPr>
            <w:tcW w:w="10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Stock</w:t>
            </w:r>
          </w:p>
        </w:tc>
        <w:tc>
          <w:tcPr>
            <w:tcW w:w="5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 Grant 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Stock Units</w:t>
            </w:r>
          </w:p>
        </w:tc>
        <w:tc>
          <w:tcPr>
            <w:tcW w:w="5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 Grant Date Fair Value</w:t>
            </w:r>
          </w:p>
        </w:tc>
      </w:tr>
      <w:tr>
        <w:trPr/>
        <w:tc>
          <w:tcPr>
            <w:tcW w:w="22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as of December 31, 2020</w:t>
            </w:r>
          </w:p>
        </w:tc>
        <w:tc>
          <w:tcPr>
            <w:tcW w:w="8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324,865 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23.34 </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530,440 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20.35 </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176,023 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18.79 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318,312 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16.85 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(177,120)</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19.19 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(220,084)</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18.39 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(23,737)</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19.58 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(40,534)</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18.39 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Canceled</w:t>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as of December 31, 2021</w:t>
            </w:r>
          </w:p>
        </w:tc>
        <w:tc>
          <w:tcPr>
            <w:tcW w:w="8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300,031 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24.72 </w:t>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588,134 </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19.32 </w:t>
            </w:r>
          </w:p>
        </w:tc>
        <w:tc>
          <w:tcPr>
            <w:tcW w:w="3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8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389,715 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28.84 </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489,207 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27.03 </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(167,465)</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25.91 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(227,166)</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22.68 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(14,942)</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25.46 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(80,586)</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22.68 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Canceled</w:t>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as of December 31, 2022</w:t>
            </w:r>
          </w:p>
        </w:tc>
        <w:tc>
          <w:tcPr>
            <w:tcW w:w="8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507,339 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27.47 </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769,589 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22.88 </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8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209,901 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28.22 </w:t>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474,867 </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28.59 </w:t>
            </w:r>
          </w:p>
        </w:tc>
        <w:tc>
          <w:tcPr>
            <w:tcW w:w="3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(211,887)</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28.13 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(363,267)</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19.90 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(32,718)</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28.44 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(115,607)</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19.90 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Canceled</w:t>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as of December 31, 2023</w:t>
            </w:r>
          </w:p>
        </w:tc>
        <w:tc>
          <w:tcPr>
            <w:tcW w:w="87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472,635 </w:t>
            </w:r>
          </w:p>
        </w:tc>
        <w:tc>
          <w:tcPr>
            <w:tcW w:w="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27.44 </w:t>
            </w:r>
          </w:p>
        </w:tc>
        <w:tc>
          <w:tcPr>
            <w:tcW w:w="2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765,582 </w:t>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28.28 </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there was $18.2 million of unrecognized compensation cost related to non-vested stock-based compensation arrangements under the Plan. This cost is expected to be recognized over a weighted average period of 1.6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4"/>
        </w:rPr>
      </w:pPr>
      <w:r>
        <w:rPr>
          <w:rFonts w:ascii="Times New Roman;sans-serif" w:hAnsi="Times New Roman;sans-serif"/>
          <w:b/>
          <w:color w:val="000000"/>
          <w:sz w:val="24"/>
        </w:rPr>
        <w:t xml:space="preserve">Note 14 — Income Taxes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conduct our operations as a REIT for U.S. federal income tax purposes. U.S. federal income tax law generally requires that a REIT distribute annually at least 90% of its REIT taxable income, without regard to the deduction for dividends paid and excluding net capital gains, and that it pays taxes at regular corporate income tax rates to the extent that it annually distributes less than 100% of its taxable income. We intend to meet those requirements and as a result, we generally will not be subject to federal income tax except for the TRS operations.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operations of VICI Golf (represented by the four golf course businesses), which are held in a TRS and certain of our other subsidiaries that operate in various states and municipalities within North America and the United Kingdom, are subject to various local, state and/or federal income taxes. Accordingly, we provide for a provision for income taxes in relation to these jurisdictions, which includes current and deferred portions. We use the asset and liability method to provide for income taxes, which requires that our income tax expense reflect the expected future tax consequences of temporary differences between the carrying amounts of assets or liabilities for financial reporting versus income tax purposes.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composition of our income tax expense (benefit) was as follows: </w:t>
      </w:r>
    </w:p>
    <w:tbl>
      <w:tblPr>
        <w:tblW w:w="11941" w:type="dxa"/>
        <w:jc w:val="left"/>
        <w:tblInd w:w="0" w:type="dxa"/>
        <w:tblLayout w:type="fixed"/>
        <w:tblCellMar>
          <w:top w:w="28" w:type="dxa"/>
          <w:left w:w="28" w:type="dxa"/>
          <w:bottom w:w="28" w:type="dxa"/>
          <w:right w:w="28" w:type="dxa"/>
        </w:tblCellMar>
      </w:tblPr>
      <w:tblGrid>
        <w:gridCol w:w="413"/>
        <w:gridCol w:w="344"/>
        <w:gridCol w:w="264"/>
        <w:gridCol w:w="211"/>
        <w:gridCol w:w="616"/>
        <w:gridCol w:w="109"/>
        <w:gridCol w:w="109"/>
        <w:gridCol w:w="109"/>
        <w:gridCol w:w="109"/>
        <w:gridCol w:w="211"/>
        <w:gridCol w:w="736"/>
        <w:gridCol w:w="109"/>
        <w:gridCol w:w="109"/>
        <w:gridCol w:w="109"/>
        <w:gridCol w:w="109"/>
        <w:gridCol w:w="211"/>
        <w:gridCol w:w="631"/>
        <w:gridCol w:w="109"/>
        <w:gridCol w:w="109"/>
        <w:gridCol w:w="109"/>
        <w:gridCol w:w="109"/>
        <w:gridCol w:w="211"/>
        <w:gridCol w:w="616"/>
        <w:gridCol w:w="109"/>
        <w:gridCol w:w="109"/>
        <w:gridCol w:w="109"/>
        <w:gridCol w:w="109"/>
        <w:gridCol w:w="211"/>
        <w:gridCol w:w="466"/>
        <w:gridCol w:w="109"/>
        <w:gridCol w:w="109"/>
        <w:gridCol w:w="109"/>
        <w:gridCol w:w="109"/>
        <w:gridCol w:w="211"/>
        <w:gridCol w:w="616"/>
        <w:gridCol w:w="109"/>
        <w:gridCol w:w="109"/>
        <w:gridCol w:w="109"/>
        <w:gridCol w:w="109"/>
        <w:gridCol w:w="211"/>
        <w:gridCol w:w="616"/>
        <w:gridCol w:w="109"/>
        <w:gridCol w:w="109"/>
        <w:gridCol w:w="109"/>
        <w:gridCol w:w="109"/>
        <w:gridCol w:w="211"/>
        <w:gridCol w:w="466"/>
        <w:gridCol w:w="109"/>
        <w:gridCol w:w="109"/>
        <w:gridCol w:w="109"/>
        <w:gridCol w:w="109"/>
        <w:gridCol w:w="211"/>
        <w:gridCol w:w="616"/>
        <w:gridCol w:w="154"/>
      </w:tblGrid>
      <w:tr>
        <w:trPr/>
        <w:tc>
          <w:tcPr>
            <w:tcW w:w="413"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0" w:type="dxa"/>
            <w:gridSpan w:val="5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Current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Deferred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Current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Deferred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Current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Deferred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Federal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State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(benefit)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222885"/>
                <wp:effectExtent l="0" t="0" r="0" b="0"/>
                <wp:wrapNone/>
                <wp:docPr id="124" name="Frame12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 - 52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 - 52</w:t>
                      </w:r>
                    </w:p>
                  </w:txbxContent>
                </v:textbox>
                <w10:wrap type="none"/>
              </v:rect>
            </w:pict>
          </mc:Fallback>
        </mc:AlternateContent>
      </w:r>
    </w:p>
    <w:p>
      <w:pPr>
        <w:pStyle w:val="TextBody"/>
        <w:bidi w:val="0"/>
        <w:spacing w:lineRule="auto" w:line="288" w:before="60" w:after="283"/>
        <w:jc w:val="both"/>
        <w:rPr/>
      </w:pPr>
      <w:hyperlink w:anchor="ib2fc48f0ddf244d9844b8de22bde2e36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At December 31, 2023 and 2022, the net effects of temporary differences that gave rise to significant portions of the deferred tax assets and deferred tax liabilities were:</w:t>
      </w:r>
    </w:p>
    <w:tbl>
      <w:tblPr>
        <w:tblW w:w="6716" w:type="dxa"/>
        <w:jc w:val="center"/>
        <w:tblInd w:w="0" w:type="dxa"/>
        <w:tblLayout w:type="fixed"/>
        <w:tblCellMar>
          <w:top w:w="28" w:type="dxa"/>
          <w:left w:w="28" w:type="dxa"/>
          <w:bottom w:w="28" w:type="dxa"/>
          <w:right w:w="28" w:type="dxa"/>
        </w:tblCellMar>
      </w:tblPr>
      <w:tblGrid>
        <w:gridCol w:w="1179"/>
        <w:gridCol w:w="1037"/>
        <w:gridCol w:w="1039"/>
        <w:gridCol w:w="313"/>
        <w:gridCol w:w="1070"/>
        <w:gridCol w:w="161"/>
        <w:gridCol w:w="109"/>
        <w:gridCol w:w="109"/>
        <w:gridCol w:w="109"/>
        <w:gridCol w:w="317"/>
        <w:gridCol w:w="1041"/>
        <w:gridCol w:w="232"/>
      </w:tblGrid>
      <w:tr>
        <w:trPr/>
        <w:tc>
          <w:tcPr>
            <w:tcW w:w="1179"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w:t>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Deferred tax assets:</w:t>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CECL allowance - foreign investments</w:t>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13,777 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liability</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2310 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Accruals, reserves and other</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Cumulative translation adjustment</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assets</w:t>
            </w:r>
          </w:p>
        </w:tc>
        <w:tc>
          <w:tcPr>
            <w:tcW w:w="13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16,980 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2,531 </w:t>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Deferred tax liabilities:</w:t>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assets - foreign investments</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(5,080)</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 buildings and equipment, net</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(4,728)</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(4,560)</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 of use asset</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(2,255)</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(2,310)</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liabilities</w:t>
            </w:r>
          </w:p>
        </w:tc>
        <w:tc>
          <w:tcPr>
            <w:tcW w:w="13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(12,063)</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(6,870)</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tax asset (liability)</w:t>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4,917 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(4,339)</w:t>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reconciles our effective income tax rate to the historical federal statutory rate of 21% for the years ended December 31, 2023, 2022 and 2021:</w:t>
      </w:r>
    </w:p>
    <w:tbl>
      <w:tblPr>
        <w:tblW w:w="10205" w:type="dxa"/>
        <w:jc w:val="left"/>
        <w:tblInd w:w="0" w:type="dxa"/>
        <w:tblLayout w:type="fixed"/>
        <w:tblCellMar>
          <w:top w:w="28" w:type="dxa"/>
          <w:left w:w="28" w:type="dxa"/>
          <w:bottom w:w="28" w:type="dxa"/>
          <w:right w:w="28" w:type="dxa"/>
        </w:tblCellMar>
      </w:tblPr>
      <w:tblGrid>
        <w:gridCol w:w="1043"/>
        <w:gridCol w:w="573"/>
        <w:gridCol w:w="575"/>
        <w:gridCol w:w="211"/>
        <w:gridCol w:w="826"/>
        <w:gridCol w:w="109"/>
        <w:gridCol w:w="109"/>
        <w:gridCol w:w="109"/>
        <w:gridCol w:w="109"/>
        <w:gridCol w:w="271"/>
        <w:gridCol w:w="273"/>
        <w:gridCol w:w="417"/>
        <w:gridCol w:w="109"/>
        <w:gridCol w:w="109"/>
        <w:gridCol w:w="109"/>
        <w:gridCol w:w="211"/>
        <w:gridCol w:w="826"/>
        <w:gridCol w:w="109"/>
        <w:gridCol w:w="109"/>
        <w:gridCol w:w="109"/>
        <w:gridCol w:w="109"/>
        <w:gridCol w:w="271"/>
        <w:gridCol w:w="273"/>
        <w:gridCol w:w="417"/>
        <w:gridCol w:w="109"/>
        <w:gridCol w:w="109"/>
        <w:gridCol w:w="109"/>
        <w:gridCol w:w="211"/>
        <w:gridCol w:w="826"/>
        <w:gridCol w:w="109"/>
        <w:gridCol w:w="109"/>
        <w:gridCol w:w="109"/>
        <w:gridCol w:w="109"/>
        <w:gridCol w:w="271"/>
        <w:gridCol w:w="273"/>
        <w:gridCol w:w="475"/>
      </w:tblGrid>
      <w:tr>
        <w:trPr/>
        <w:tc>
          <w:tcPr>
            <w:tcW w:w="1043"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r>
      <w:tr>
        <w:trPr/>
        <w:tc>
          <w:tcPr>
            <w:tcW w:w="2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4"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2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21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 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Percent</w:t>
            </w:r>
          </w:p>
        </w:tc>
      </w:tr>
      <w:tr>
        <w:trPr/>
        <w:tc>
          <w:tcPr>
            <w:tcW w:w="2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 income tax expense at statutory rate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526,579 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239,220 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215,469 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4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REIT income not subject to federal income tax</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(524,791)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(237,069)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(214,037)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Pre-tax gain attributable to taxable subsidiaries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4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income taxes, net of federal benefits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4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4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4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income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4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Non-deductible expenses and 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 from) provision for income taxes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4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4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4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declared dividends of $1.610, $1.500 and $1.380 per common share during the years ended December 31, 2023, 2022 and 2021, respectively. For U.S. federal income tax purposes, the portion of the dividends allocated to stockholders for the years ended December 31, 2023, 2022 and 2021 are characterized as follows:</w:t>
      </w:r>
    </w:p>
    <w:tbl>
      <w:tblPr>
        <w:tblW w:w="6117" w:type="dxa"/>
        <w:jc w:val="left"/>
        <w:tblInd w:w="0" w:type="dxa"/>
        <w:tblLayout w:type="fixed"/>
        <w:tblCellMar>
          <w:top w:w="28" w:type="dxa"/>
          <w:left w:w="28" w:type="dxa"/>
          <w:bottom w:w="28" w:type="dxa"/>
          <w:right w:w="28" w:type="dxa"/>
        </w:tblCellMar>
      </w:tblPr>
      <w:tblGrid>
        <w:gridCol w:w="831"/>
        <w:gridCol w:w="730"/>
        <w:gridCol w:w="734"/>
        <w:gridCol w:w="211"/>
        <w:gridCol w:w="721"/>
        <w:gridCol w:w="109"/>
        <w:gridCol w:w="109"/>
        <w:gridCol w:w="109"/>
        <w:gridCol w:w="109"/>
        <w:gridCol w:w="211"/>
        <w:gridCol w:w="721"/>
        <w:gridCol w:w="109"/>
        <w:gridCol w:w="109"/>
        <w:gridCol w:w="109"/>
        <w:gridCol w:w="109"/>
        <w:gridCol w:w="211"/>
        <w:gridCol w:w="721"/>
        <w:gridCol w:w="154"/>
      </w:tblGrid>
      <w:tr>
        <w:trPr/>
        <w:tc>
          <w:tcPr>
            <w:tcW w:w="831"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2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 per share)</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Ordinary dividends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0.7108 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Section 199A dividends </w:t>
            </w:r>
            <w:r>
              <w:rPr>
                <w:rFonts w:ascii="Times New Roman;sans-serif" w:hAnsi="Times New Roman;sans-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0.7108 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Non-dividend distribution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0.6392 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w:t>
      </w:r>
    </w:p>
    <w:p>
      <w:pPr>
        <w:pStyle w:val="TextBody"/>
        <w:bidi w:val="0"/>
        <w:spacing w:lineRule="auto" w:line="288" w:before="0" w:after="0"/>
        <w:ind w:left="0" w:right="0" w:hanging="360"/>
        <w:jc w:val="both"/>
        <w:rPr>
          <w:rFonts w:ascii="Times New Roman;sans-serif" w:hAnsi="Times New Roman;sans-serif"/>
          <w:b w:val="false"/>
          <w:i/>
          <w:color w:val="000000"/>
          <w:sz w:val="16"/>
        </w:rPr>
      </w:pPr>
      <w:r>
        <w:rPr>
          <w:rFonts w:ascii="Times New Roman;sans-serif" w:hAnsi="Times New Roman;sans-serif"/>
          <w:b w:val="false"/>
          <w:i/>
          <w:color w:val="000000"/>
          <w:sz w:val="16"/>
        </w:rPr>
        <w:t xml:space="preserve">(1)These amounts are a subset of, and are included in, the ordinary dividend amounts.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we had NOLs of $151.6 million, generated by our REIT, that will expire in 2029, unless they are utilized by us prior to expiration.</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 2020, 2021, and 2022 tax years remain subject to examination by federal, state and local tax authorities. The tax filings for tax year 2023 have not yet been filed, and once made, will be subject to examination by taxing authorities for a period of three years.</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07" w:before="0" w:after="0"/>
        <w:jc w:val="right"/>
        <w:rPr>
          <w:rFonts w:ascii="Times New Roman;sans-serif" w:hAnsi="Times New Roman;sans-serif"/>
          <w:b/>
          <w:color w:val="000000"/>
          <w:sz w:val="20"/>
        </w:rPr>
      </w:pPr>
      <w:r>
        <w:rPr>
          <w:rFonts w:ascii="Times New Roman;sans-serif" w:hAnsi="Times New Roman;sans-serif"/>
          <w:b/>
          <w:color w:val="000000"/>
          <w:sz w:val="20"/>
        </w:rPr>
        <w:t>Exhibit 4.2</w:t>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222885"/>
                <wp:effectExtent l="0" t="0" r="0" b="0"/>
                <wp:wrapNone/>
                <wp:docPr id="125" name="Frame12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 - 53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435.35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 - 53</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SUPPLEMENTAL INDENTURE (this “</w:t>
      </w:r>
      <w:r>
        <w:rPr>
          <w:rFonts w:ascii="Times New Roman;sans-serif" w:hAnsi="Times New Roman;sans-serif"/>
          <w:b w:val="false"/>
          <w:i/>
          <w:color w:val="000000"/>
          <w:sz w:val="20"/>
        </w:rPr>
        <w:t>Supplemental Indenture</w:t>
      </w:r>
      <w:r>
        <w:rPr>
          <w:color w:val="000000"/>
        </w:rPr>
        <w:t>”</w:t>
      </w:r>
      <w:r>
        <w:rPr>
          <w:rFonts w:ascii="Times New Roman;sans-serif" w:hAnsi="Times New Roman;sans-serif"/>
          <w:b w:val="false"/>
          <w:color w:val="000000"/>
          <w:sz w:val="20"/>
        </w:rPr>
        <w:t>), dated as of April 29, 2022, among VICI Properties L.P., a Delaware limited liability partnership (the “</w:t>
      </w:r>
      <w:r>
        <w:rPr>
          <w:rFonts w:ascii="Times New Roman;sans-serif" w:hAnsi="Times New Roman;sans-serif"/>
          <w:b w:val="false"/>
          <w:i/>
          <w:color w:val="000000"/>
          <w:sz w:val="20"/>
        </w:rPr>
        <w:t>Company</w:t>
      </w:r>
      <w:r>
        <w:rPr>
          <w:color w:val="000000"/>
        </w:rPr>
        <w:t>”</w:t>
      </w:r>
      <w:r>
        <w:rPr>
          <w:rFonts w:ascii="Times New Roman;sans-serif" w:hAnsi="Times New Roman;sans-serif"/>
          <w:b w:val="false"/>
          <w:color w:val="000000"/>
          <w:sz w:val="20"/>
        </w:rPr>
        <w:t>), VICI Note Co. Inc., a Delaware corporation (the “</w:t>
      </w:r>
      <w:r>
        <w:rPr>
          <w:rFonts w:ascii="Times New Roman;sans-serif" w:hAnsi="Times New Roman;sans-serif"/>
          <w:b w:val="false"/>
          <w:i/>
          <w:color w:val="000000"/>
          <w:sz w:val="20"/>
        </w:rPr>
        <w:t>Co-Issuer</w:t>
      </w:r>
      <w:r>
        <w:rPr>
          <w:color w:val="000000"/>
        </w:rPr>
        <w:t xml:space="preserve">” </w:t>
      </w:r>
      <w:r>
        <w:rPr>
          <w:rFonts w:ascii="Times New Roman;sans-serif" w:hAnsi="Times New Roman;sans-serif"/>
          <w:b w:val="false"/>
          <w:color w:val="000000"/>
          <w:sz w:val="20"/>
        </w:rPr>
        <w:t>and, together with the Company, the “</w:t>
      </w:r>
      <w:r>
        <w:rPr>
          <w:rFonts w:ascii="Times New Roman;sans-serif" w:hAnsi="Times New Roman;sans-serif"/>
          <w:b w:val="false"/>
          <w:i/>
          <w:color w:val="000000"/>
          <w:sz w:val="20"/>
        </w:rPr>
        <w:t>Issuers</w:t>
      </w:r>
      <w:r>
        <w:rPr>
          <w:color w:val="000000"/>
        </w:rPr>
        <w:t>”</w:t>
      </w:r>
      <w:r>
        <w:rPr>
          <w:rFonts w:ascii="Times New Roman;sans-serif" w:hAnsi="Times New Roman;sans-serif"/>
          <w:b w:val="false"/>
          <w:color w:val="000000"/>
          <w:sz w:val="20"/>
        </w:rPr>
        <w:t>), and UMB Bank, National Association, as Trustee under the Indenture referred to below (the “</w:t>
      </w:r>
      <w:r>
        <w:rPr>
          <w:rFonts w:ascii="Times New Roman;sans-serif" w:hAnsi="Times New Roman;sans-serif"/>
          <w:b w:val="false"/>
          <w:i/>
          <w:color w:val="000000"/>
          <w:sz w:val="20"/>
        </w:rPr>
        <w:t>Trustee</w:t>
      </w:r>
      <w:r>
        <w:rPr>
          <w:color w:val="000000"/>
        </w:rPr>
        <w:t>”</w:t>
      </w:r>
      <w:r>
        <w:rPr>
          <w:rFonts w:ascii="Times New Roman;sans-serif" w:hAnsi="Times New Roman;sans-serif"/>
          <w:b w:val="false"/>
          <w:color w:val="000000"/>
          <w:sz w:val="20"/>
        </w:rPr>
        <w:t>).</w:t>
      </w:r>
    </w:p>
    <w:p>
      <w:pPr>
        <w:pStyle w:val="TextBody"/>
        <w:bidi w:val="0"/>
        <w:spacing w:lineRule="auto" w:line="240"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W I T N E S S E T H</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WHEREAS, the Issuers have heretofore executed and delivered to the Trustee an indenture (the “</w:t>
      </w:r>
      <w:r>
        <w:rPr>
          <w:rFonts w:ascii="Times New Roman;sans-serif" w:hAnsi="Times New Roman;sans-serif"/>
          <w:b w:val="false"/>
          <w:i/>
          <w:color w:val="000000"/>
          <w:sz w:val="20"/>
        </w:rPr>
        <w:t>Indenture</w:t>
      </w:r>
      <w:r>
        <w:rPr>
          <w:color w:val="000000"/>
        </w:rPr>
        <w:t>”</w:t>
      </w:r>
      <w:r>
        <w:rPr>
          <w:rFonts w:ascii="Times New Roman;sans-serif" w:hAnsi="Times New Roman;sans-serif"/>
          <w:b w:val="false"/>
          <w:color w:val="000000"/>
          <w:sz w:val="20"/>
        </w:rPr>
        <w:t>), dated as of November 26, 2019, as amended from time to time, providing for the issuance of 4.250% Senior Notes due 2026 (the “</w:t>
      </w:r>
      <w:r>
        <w:rPr>
          <w:rFonts w:ascii="Times New Roman;sans-serif" w:hAnsi="Times New Roman;sans-serif"/>
          <w:b w:val="false"/>
          <w:i/>
          <w:color w:val="000000"/>
          <w:sz w:val="20"/>
        </w:rPr>
        <w:t>Notes</w:t>
      </w:r>
      <w:r>
        <w:rPr>
          <w:color w:val="000000"/>
        </w:rPr>
        <w:t>”</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WHEREAS, Section 9.01 of the Indenture provides that the Issuers and the Trustee may amend or supplement the Indenture without the consent of any Holder to, among other things, (i) secure the Notes and (ii) make any change that would provide any additional rights or benefits to the Holders of the Notes or that does not adversely affect the legal rights under the Indenture of any Holder; </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WHEREAS, the Issuers desire to amend the Indenture as set forth in Section 4 hereof to secure all Obligations with respect to the Notes with a pledge of all of the limited partnership interests of the Company directly owned by VICI Properties OP LLC; and</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WHEREAS, all things necessary to make this Supplemental Indenture a valid and binding agreement of the parties, in accordance with its terms, and a valid amendment of, and supplement to, the Indenture have been done, and the execution and delivery of this Supplemental Indenture have been duly authorized in all respects and, pursuant to Section 9.01 of the Indenture, the Issuers and the Trustee are authorized to execute and deliver this Supplemental Indenture.</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NOW, THEREFORE, in consideration of the foregoing and for other good and valuable consideration, the receipt of which is hereby acknowledged, the parties hereto mutually covenant and agree for the equal and ratable benefit of the Holders of the Notes as follows:</w:t>
      </w:r>
    </w:p>
    <w:p>
      <w:pPr>
        <w:pStyle w:val="TextBody"/>
        <w:bidi w:val="0"/>
        <w:spacing w:lineRule="auto" w:line="240" w:before="0" w:after="240"/>
        <w:ind w:left="0" w:right="0" w:firstLine="1080"/>
        <w:jc w:val="both"/>
        <w:rPr/>
      </w:pPr>
      <w:r>
        <w:rPr>
          <w:rFonts w:ascii="Times New Roman;sans-serif" w:hAnsi="Times New Roman;sans-serif"/>
          <w:b w:val="false"/>
          <w:color w:val="000000"/>
          <w:sz w:val="20"/>
        </w:rPr>
        <w:t>1.</w:t>
      </w:r>
      <w:r>
        <w:rPr>
          <w:rFonts w:ascii="Times New Roman;sans-serif" w:hAnsi="Times New Roman;sans-serif"/>
          <w:b w:val="false"/>
          <w:color w:val="000000"/>
          <w:sz w:val="20"/>
        </w:rPr>
        <w:t xml:space="preserve">Capitalized Terms. </w:t>
      </w:r>
    </w:p>
    <w:p>
      <w:pPr>
        <w:pStyle w:val="TextBody"/>
        <w:bidi w:val="0"/>
        <w:spacing w:lineRule="auto" w:line="240"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(a)Capitalized terms used herein without definition shall have the meanings assigned to them in the Indenture.</w:t>
      </w:r>
    </w:p>
    <w:p>
      <w:pPr>
        <w:pStyle w:val="TextBody"/>
        <w:bidi w:val="0"/>
        <w:spacing w:lineRule="auto" w:line="240"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(b)For all purposes of this Supplemental Indenture, capitalized terms used herein shall have the respective meanings specified below:</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i/>
          <w:color w:val="000000"/>
          <w:sz w:val="20"/>
        </w:rPr>
        <w:t>Credit Agreement</w:t>
      </w:r>
      <w:r>
        <w:rPr>
          <w:color w:val="000000"/>
        </w:rPr>
        <w:t xml:space="preserve">” </w:t>
      </w:r>
      <w:r>
        <w:rPr>
          <w:rFonts w:ascii="Times New Roman;sans-serif" w:hAnsi="Times New Roman;sans-serif"/>
          <w:b w:val="false"/>
          <w:color w:val="000000"/>
          <w:sz w:val="20"/>
        </w:rPr>
        <w:t>means that certain Credit Agreement, dated as of February 8, 2022, among the Company, the lenders from time to time party thereto, and JPMorgan Chase Bank, N.A., as administrative agent, including any related notes, guarantees and collateral documents, as the same may be amended, amended and restated, supplemented or otherwise modified from time to time.</w:t>
      </w:r>
    </w:p>
    <w:p>
      <w:pPr>
        <w:pStyle w:val="TextBody"/>
        <w:bidi w:val="0"/>
        <w:spacing w:lineRule="auto" w:line="240" w:before="0" w:after="240"/>
        <w:ind w:left="0" w:right="0" w:firstLine="720"/>
        <w:jc w:val="both"/>
        <w:rPr/>
      </w:pPr>
      <w:r>
        <w:rPr>
          <w:color w:val="000000"/>
          <w:shd w:fill="FFFFFF" w:val="clear"/>
        </w:rPr>
        <w:t>“</w:t>
      </w:r>
      <w:r>
        <w:rPr>
          <w:rFonts w:ascii="Times New Roman;sans-serif" w:hAnsi="Times New Roman;sans-serif"/>
          <w:b w:val="false"/>
          <w:i/>
          <w:color w:val="000000"/>
          <w:sz w:val="20"/>
          <w:shd w:fill="FFFFFF" w:val="clear"/>
        </w:rPr>
        <w:t>MGM Tax Protection Agreement</w:t>
      </w:r>
      <w:r>
        <w:rPr>
          <w:color w:val="000000"/>
          <w:shd w:fill="FFFFFF" w:val="clear"/>
        </w:rPr>
        <w:t xml:space="preserve">” </w:t>
      </w:r>
      <w:r>
        <w:rPr>
          <w:rFonts w:ascii="Times New Roman;sans-serif" w:hAnsi="Times New Roman;sans-serif"/>
          <w:b w:val="false"/>
          <w:color w:val="000000"/>
          <w:sz w:val="20"/>
          <w:shd w:fill="FFFFFF" w:val="clear"/>
        </w:rPr>
        <w:t>means that certain tax matters agreement, dated as of April 29, 2022, among VICI Properties OP LLC, VICI Properties Inc. and the Initial Protected Parties (as defined therein).</w:t>
      </w:r>
    </w:p>
    <w:p>
      <w:pPr>
        <w:pStyle w:val="TextBody"/>
        <w:bidi w:val="0"/>
        <w:spacing w:lineRule="auto" w:line="240" w:before="0" w:after="240"/>
        <w:ind w:left="0" w:right="0" w:firstLine="720"/>
        <w:jc w:val="both"/>
        <w:rPr/>
      </w:pPr>
      <w:r>
        <w:rPr>
          <w:color w:val="000000"/>
          <w:shd w:fill="FFFFFF" w:val="clear"/>
        </w:rPr>
        <w:t>“</w:t>
      </w:r>
      <w:r>
        <w:rPr>
          <w:rFonts w:ascii="Times New Roman;sans-serif" w:hAnsi="Times New Roman;sans-serif"/>
          <w:b w:val="false"/>
          <w:i/>
          <w:color w:val="000000"/>
          <w:sz w:val="20"/>
          <w:shd w:fill="FFFFFF" w:val="clear"/>
        </w:rPr>
        <w:t>Notes Secured Parties</w:t>
      </w:r>
      <w:r>
        <w:rPr>
          <w:color w:val="000000"/>
          <w:shd w:fill="FFFFFF" w:val="clear"/>
        </w:rPr>
        <w:t xml:space="preserve">” </w:t>
      </w:r>
      <w:r>
        <w:rPr>
          <w:rFonts w:ascii="Times New Roman;sans-serif" w:hAnsi="Times New Roman;sans-serif"/>
          <w:b w:val="false"/>
          <w:color w:val="000000"/>
          <w:sz w:val="20"/>
          <w:shd w:fill="FFFFFF" w:val="clear"/>
        </w:rPr>
        <w:t>has the meaning set forth in the Pledge Agreement.</w:t>
      </w:r>
    </w:p>
    <w:p>
      <w:pPr>
        <w:pStyle w:val="TextBody"/>
        <w:bidi w:val="0"/>
        <w:spacing w:lineRule="auto" w:line="240" w:before="0" w:after="240"/>
        <w:ind w:left="0" w:right="0" w:firstLine="720"/>
        <w:jc w:val="both"/>
        <w:rPr/>
      </w:pPr>
      <w:r>
        <w:rPr>
          <w:color w:val="000000"/>
          <w:shd w:fill="FFFFFF" w:val="clear"/>
        </w:rPr>
        <w:t>“</w:t>
      </w:r>
      <w:r>
        <w:rPr>
          <w:rFonts w:ascii="Times New Roman;sans-serif" w:hAnsi="Times New Roman;sans-serif"/>
          <w:b w:val="false"/>
          <w:i/>
          <w:color w:val="000000"/>
          <w:sz w:val="20"/>
          <w:shd w:fill="FFFFFF" w:val="clear"/>
        </w:rPr>
        <w:t>Pledge Agreement</w:t>
      </w:r>
      <w:r>
        <w:rPr>
          <w:color w:val="000000"/>
          <w:shd w:fill="FFFFFF" w:val="clear"/>
        </w:rPr>
        <w:t xml:space="preserve">” </w:t>
      </w:r>
      <w:r>
        <w:rPr>
          <w:rFonts w:ascii="Times New Roman;sans-serif" w:hAnsi="Times New Roman;sans-serif"/>
          <w:b w:val="false"/>
          <w:color w:val="000000"/>
          <w:sz w:val="20"/>
          <w:shd w:fill="FFFFFF" w:val="clear"/>
        </w:rPr>
        <w:t>means that certain Pledge Agreement, dated as of April 29, 2022, by VICI Properties OP LLC, a Delaware limited liability company,</w:t>
      </w:r>
      <w:r>
        <w:rPr>
          <w:color w:val="000000"/>
          <w:shd w:fill="FFFFFF" w:val="clear"/>
        </w:rPr>
        <w:t xml:space="preserve"> </w:t>
      </w:r>
      <w:r>
        <w:rPr>
          <w:rFonts w:ascii="Times New Roman;sans-serif" w:hAnsi="Times New Roman;sans-serif"/>
          <w:b w:val="false"/>
          <w:color w:val="000000"/>
          <w:sz w:val="20"/>
          <w:shd w:fill="FFFFFF" w:val="clear"/>
        </w:rPr>
        <w:t>as pledgor, in favor of the Trustee, for itself and the Notes Secured Parties, as the same may be amended, amended and restated, supplemented or otherwise modified from time to time in accordance with the terms thereof.</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i/>
          <w:color w:val="000000"/>
          <w:sz w:val="20"/>
        </w:rPr>
        <w:t>Pledged Interests</w:t>
      </w:r>
      <w:r>
        <w:rPr>
          <w:color w:val="000000"/>
        </w:rPr>
        <w:t xml:space="preserve">” </w:t>
      </w:r>
      <w:r>
        <w:rPr>
          <w:rFonts w:ascii="Times New Roman;sans-serif" w:hAnsi="Times New Roman;sans-serif"/>
          <w:b w:val="false"/>
          <w:color w:val="000000"/>
          <w:sz w:val="20"/>
        </w:rPr>
        <w:t>has the meaning set forth in the Pledge Agreement.</w:t>
      </w:r>
    </w:p>
    <w:p>
      <w:pPr>
        <w:pStyle w:val="TextBody"/>
        <w:bidi w:val="0"/>
        <w:spacing w:lineRule="auto" w:line="240" w:before="0" w:after="240"/>
        <w:ind w:left="0" w:right="0" w:firstLine="1080"/>
        <w:jc w:val="both"/>
        <w:rPr/>
      </w:pPr>
      <w:r>
        <w:rPr>
          <w:rFonts w:ascii="Times New Roman;sans-serif" w:hAnsi="Times New Roman;sans-serif"/>
          <w:b w:val="false"/>
          <w:color w:val="000000"/>
          <w:sz w:val="20"/>
        </w:rPr>
        <w:t>2.</w:t>
      </w:r>
      <w:r>
        <w:rPr>
          <w:rFonts w:ascii="Times New Roman;sans-serif" w:hAnsi="Times New Roman;sans-serif"/>
          <w:b w:val="false"/>
          <w:color w:val="000000"/>
          <w:sz w:val="20"/>
        </w:rPr>
        <w:t xml:space="preserve">Relationship with Indenture. The terms and provisions contained in this Supplemental Indenture will constitute, and are hereby expressly made, a part of the Indenture, and the Issuers and the Trustee, by their execution and delivery of this Supplemental Indenture, expressly agree to such terms and provisions and to be bound </w:t>
      </w:r>
    </w:p>
    <w:p>
      <w:pPr>
        <w:pStyle w:val="TextBody"/>
        <w:bidi w:val="0"/>
        <w:spacing w:before="0" w:after="0"/>
        <w:jc w:val="righ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75260"/>
                <wp:effectExtent l="0" t="0" r="0" b="0"/>
                <wp:wrapNone/>
                <wp:docPr id="126" name="Frame1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thereby. The Indenture and this Supplemental Indenture shall be read, taken and construed as one and the same instrument. In the event that any provision of this Supplemental Indenture expressly limits, qualifies or conflicts with a provision of the Indenture, such provision of this Supplemental Indenture shall control.</w:t>
      </w:r>
    </w:p>
    <w:p>
      <w:pPr>
        <w:pStyle w:val="TextBody"/>
        <w:bidi w:val="0"/>
        <w:spacing w:lineRule="auto" w:line="240" w:before="0" w:after="240"/>
        <w:ind w:left="0" w:right="0" w:firstLine="1080"/>
        <w:jc w:val="both"/>
        <w:rPr/>
      </w:pPr>
      <w:r>
        <w:rPr>
          <w:rFonts w:ascii="Times New Roman;sans-serif" w:hAnsi="Times New Roman;sans-serif"/>
          <w:b w:val="false"/>
          <w:color w:val="000000"/>
          <w:sz w:val="20"/>
        </w:rPr>
        <w:t>3.</w:t>
      </w:r>
      <w:r>
        <w:rPr>
          <w:rFonts w:ascii="Times New Roman;sans-serif" w:hAnsi="Times New Roman;sans-serif"/>
          <w:b w:val="false"/>
          <w:color w:val="000000"/>
          <w:sz w:val="20"/>
        </w:rPr>
        <w:t>Effectiveness; Conditions Precedent. The Issuers represent and warrant that each of the conditions precedent to the amendment and supplement of the Indenture (including such conditions pursuant to Article 9 of the Indenture) have been satisfied in all respects. Pursuant to Section 9.01 of the Indenture, the Issuers have provided to the Trustee a Board Resolution authorizing the execution of this Supplemental Indenture, an Officer’s Certificate and an Opinion of Counsel and have requested that the Trustee join with the Issuers in the execution of this Supplemental Indenture. The Issuers and the Trustee are on this date executing this Supplemental Indenture, which will become effective and operative on the date hereof.</w:t>
      </w:r>
    </w:p>
    <w:p>
      <w:pPr>
        <w:pStyle w:val="TextBody"/>
        <w:bidi w:val="0"/>
        <w:spacing w:lineRule="auto" w:line="240" w:before="0" w:after="240"/>
        <w:ind w:left="0" w:right="0" w:firstLine="1080"/>
        <w:jc w:val="both"/>
        <w:rPr/>
      </w:pPr>
      <w:r>
        <w:rPr>
          <w:rFonts w:ascii="Times New Roman;sans-serif" w:hAnsi="Times New Roman;sans-serif"/>
          <w:b w:val="false"/>
          <w:color w:val="000000"/>
          <w:sz w:val="20"/>
        </w:rPr>
        <w:t>4.</w:t>
      </w:r>
      <w:r>
        <w:rPr>
          <w:rFonts w:ascii="Times New Roman;sans-serif" w:hAnsi="Times New Roman;sans-serif"/>
          <w:b w:val="false"/>
          <w:color w:val="000000"/>
          <w:sz w:val="20"/>
        </w:rPr>
        <w:t xml:space="preserve">Indenture Amendments. Pursuant to Section 9.01 of the Indenture, the Indenture and the Notes are hereby amended by adding the following Article 13: </w:t>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ARTICLE 13</w:t>
      </w:r>
    </w:p>
    <w:p>
      <w:pPr>
        <w:pStyle w:val="TextBody"/>
        <w:bidi w:val="0"/>
        <w:spacing w:lineRule="auto" w:line="240"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EQUITY PLEDGE</w:t>
      </w:r>
    </w:p>
    <w:p>
      <w:pPr>
        <w:pStyle w:val="TextBody"/>
        <w:bidi w:val="0"/>
        <w:spacing w:lineRule="auto" w:line="240" w:before="0" w:after="240"/>
        <w:ind w:left="0" w:right="0" w:hanging="720"/>
        <w:jc w:val="both"/>
        <w:rPr/>
      </w:pPr>
      <w:r>
        <w:rPr>
          <w:rFonts w:ascii="Times New Roman;sans-serif" w:hAnsi="Times New Roman;sans-serif"/>
          <w:b w:val="false"/>
          <w:color w:val="000000"/>
          <w:sz w:val="20"/>
        </w:rPr>
        <w:t>Section 13.01</w:t>
      </w:r>
      <w:r>
        <w:rPr>
          <w:rFonts w:ascii="Times New Roman;sans-serif" w:hAnsi="Times New Roman;sans-serif"/>
          <w:b w:val="false"/>
          <w:i/>
          <w:color w:val="000000"/>
          <w:sz w:val="20"/>
        </w:rPr>
        <w:t>Grant of Security Interest</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Obligations with respect to the Notes will be secured as provided in the Pledge Agreement. Each Holder of a Note, by its acceptance thereof, consents and agrees to the terms of the Pledge Agreement as the same may be in effect or may be amended from time to time in accordance with its terms and authorizes and directs the Trustee to perform its obligations and exercise its rights thereunder in accordance therewith. Whether or not expressly provided in the Pledge Agreement, in acting thereunder, the Trustee shall be entitled to all of the rights, privileges, immunities and indemnities set forth in this Indenture.</w:t>
      </w:r>
    </w:p>
    <w:p>
      <w:pPr>
        <w:pStyle w:val="TextBody"/>
        <w:bidi w:val="0"/>
        <w:spacing w:lineRule="auto" w:line="240" w:before="0" w:after="240"/>
        <w:ind w:left="0" w:right="0" w:hanging="720"/>
        <w:jc w:val="both"/>
        <w:rPr/>
      </w:pPr>
      <w:r>
        <w:rPr>
          <w:rFonts w:ascii="Times New Roman;sans-serif" w:hAnsi="Times New Roman;sans-serif"/>
          <w:b w:val="false"/>
          <w:color w:val="000000"/>
          <w:sz w:val="20"/>
        </w:rPr>
        <w:t>Section 13.02</w:t>
      </w:r>
      <w:r>
        <w:rPr>
          <w:rFonts w:ascii="Times New Roman;sans-serif" w:hAnsi="Times New Roman;sans-serif"/>
          <w:b w:val="false"/>
          <w:i/>
          <w:color w:val="000000"/>
          <w:sz w:val="20"/>
        </w:rPr>
        <w:t>Termination of Security Interest</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Pursuant to the Pledge Agreement, the security interest in the Pledged Interests shall automatically terminate with respect to the Notes (i) upon payment in full of the principal of, together with premium, if any, and accrued and unpaid interest on, the Notes and all other Obligations under this Indenture that are due and payable at or prior to the time such principal, premium, if any, and interest, are paid; (ii) upon Legal Defeasance or Covenant Defeasance pursuant to the provisions set forth in Article 8 hereof or discharge of this Indenture in accordance with the provisions set forth in Article 11 hereof;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 xml:space="preserve">that the funds deposited with the Trustee, in trust, for the benefit of the Holders as required by Articles 8 and 11 hereof shall not be released other than in accordance with such provisions; or (iii) at the option of VICI Properties OP LLC, six months following the termination of the MGM Tax Protection Agreement;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that, in the case of this clause (iii), the security interest in the Pledged Interests has been released or will be simultaneously released under the Credit Agreement and any other outstanding Capital Markets Indebtedness of the Company. Upon receipt of an Officer’s Certificate from the Company certifying the satisfaction of the foregoing conditions, the Trustee shall, at the sole expense of the Issuers, execute, deliver or acknowledge (with such notarizations as are required) any necessary or proper instruments of termination, satisfaction or release to evidence the termination of the security interest in the Pledged Interests permitted to be terminated pursuant to the Pledge Agreement. The Trustee shall not be liable for any such release undertaken in reliance upon any such Officer’s Certificate, and notwithstanding any term hereof or in the Pledge Agreement to the contrary, the Trustee shall not be under any obligation to release any such security interest, or execute and deliver any such instrument of termination, satisfaction or release, unless and until it receives such Officer’s Certificate.</w:t>
      </w:r>
    </w:p>
    <w:p>
      <w:pPr>
        <w:pStyle w:val="TextBody"/>
        <w:bidi w:val="0"/>
        <w:spacing w:lineRule="auto" w:line="240" w:before="0" w:after="240"/>
        <w:ind w:left="0" w:right="0" w:hanging="1440"/>
        <w:jc w:val="both"/>
        <w:rPr/>
      </w:pPr>
      <w:r>
        <w:rPr>
          <w:rFonts w:ascii="Times New Roman;sans-serif" w:hAnsi="Times New Roman;sans-serif"/>
          <w:b w:val="false"/>
          <w:color w:val="000000"/>
          <w:sz w:val="20"/>
        </w:rPr>
        <w:t>Section 13.03</w:t>
      </w:r>
      <w:r>
        <w:rPr>
          <w:rFonts w:ascii="Times New Roman;sans-serif" w:hAnsi="Times New Roman;sans-serif"/>
          <w:b w:val="false"/>
          <w:i/>
          <w:color w:val="000000"/>
          <w:sz w:val="20"/>
        </w:rPr>
        <w:t>Authorization of Actions to Be Taken by the Trustee Under the Pledge Agreement</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Subject to the provisions of Sections 7.01 and 7.02 hereof, the Trustee may, without the consent of the Holders, and at the Issuers’ sole expense, take all actions it deems necessary or appropriate in order to enforce any of the terms of the Pledge Agreement. The Trustee will have the power to institute and maintain such suits and proceedings as it may deem expedient to prevent any impairment of the security interest in the Pledged Interests by any acts that may be unlawful or in violation of this Indenture or the Pledge Agreement, and such suits and proceedings as the Trustee may deem expedient to preserve or protect its interests and the interests of the Holders of </w:t>
      </w:r>
    </w:p>
    <w:p>
      <w:pPr>
        <w:pStyle w:val="TextBody"/>
        <w:bidi w:val="0"/>
        <w:spacing w:before="0" w:after="0"/>
        <w:jc w:val="righ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75260"/>
                <wp:effectExtent l="0" t="0" r="0" b="0"/>
                <wp:wrapNone/>
                <wp:docPr id="127" name="Frame1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Notes in the Pledged Interests (including power to institute and maintain suits or proceedings to restrain the enforcement of or compliance with any legislative or other governmental enactment, rule or order that may be unconstitutional or otherwise invalid if the enforcement of, or compliance with, such enactment, rule or order would impair the security interest in the Pledged Interests or be prejudicial to the interests of the Holders or of the Trustee).</w:t>
      </w:r>
    </w:p>
    <w:p>
      <w:pPr>
        <w:pStyle w:val="TextBody"/>
        <w:bidi w:val="0"/>
        <w:spacing w:lineRule="auto" w:line="240" w:before="0" w:after="240"/>
        <w:ind w:left="0" w:right="0" w:hanging="1440"/>
        <w:jc w:val="both"/>
        <w:rPr/>
      </w:pPr>
      <w:r>
        <w:rPr>
          <w:rFonts w:ascii="Times New Roman;sans-serif" w:hAnsi="Times New Roman;sans-serif"/>
          <w:b w:val="false"/>
          <w:color w:val="000000"/>
          <w:sz w:val="20"/>
        </w:rPr>
        <w:t>Section 13.04</w:t>
      </w:r>
      <w:r>
        <w:rPr>
          <w:rFonts w:ascii="Times New Roman;sans-serif" w:hAnsi="Times New Roman;sans-serif"/>
          <w:b w:val="false"/>
          <w:i/>
          <w:color w:val="000000"/>
          <w:sz w:val="20"/>
        </w:rPr>
        <w:t xml:space="preserve">No Representations; Further Assurances. </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Neither the Trustee nor any of its officers, directors, employees, attorneys or agents makes any representations as to, and shall not be responsible or liable for the existence, genuineness, value, protection or condition of, any of the Pledged Interests or as to the security afforded or intended to be afforded thereby, hereby or by the Pledge Agreement, or for the legality, sufficiency, effectiveness, validity, perfection, priority or enforceability of the security interests in any of the Pledged Interests created or intended to be created by the Pledge Agreement, whether impaired by operation of law or by reason of any action or omission to act on its part hereunder or under the Pledge Agreement, for the validity or sufficiency of the Pledge Agreement or any agreement or assignment contained therein, for the validity of the title of the pledgor under the Pledge Agreement to the Pledged Interests, for insuring the Pledged Interests or for the payment of taxes, charges, assessments or liens upon the Pledged Interests or otherwise as to the maintenance of the Pledged Interests or any defect or deficiency as to any such matters. The Trustee hereby disclaims any representation or warranty to the present and future Holders of Notes concerning the perfection of the security interests granted under the Pledge Agreement or the value of any of the Pledged Interests.</w:t>
      </w:r>
    </w:p>
    <w:p>
      <w:pPr>
        <w:pStyle w:val="TextBody"/>
        <w:bidi w:val="0"/>
        <w:spacing w:lineRule="auto" w:line="240" w:before="0" w:after="240"/>
        <w:ind w:left="0" w:right="0" w:hanging="1440"/>
        <w:jc w:val="both"/>
        <w:rPr/>
      </w:pPr>
      <w:r>
        <w:rPr>
          <w:rFonts w:ascii="Times New Roman;sans-serif" w:hAnsi="Times New Roman;sans-serif"/>
          <w:b w:val="false"/>
          <w:color w:val="000000"/>
          <w:sz w:val="20"/>
        </w:rPr>
        <w:t>Section 13.05</w:t>
      </w:r>
      <w:r>
        <w:rPr>
          <w:rFonts w:ascii="Times New Roman;sans-serif" w:hAnsi="Times New Roman;sans-serif"/>
          <w:b w:val="false"/>
          <w:i/>
          <w:color w:val="000000"/>
          <w:sz w:val="20"/>
        </w:rPr>
        <w:t>Certain Rights of Trustee under the Pledge Agreement</w:t>
      </w:r>
      <w:r>
        <w:rPr>
          <w:rFonts w:ascii="Times New Roman;sans-serif" w:hAnsi="Times New Roman;sans-serif"/>
          <w:b w:val="false"/>
          <w:color w:val="000000"/>
          <w:sz w:val="20"/>
        </w:rPr>
        <w:t>.</w:t>
      </w:r>
    </w:p>
    <w:p>
      <w:pPr>
        <w:pStyle w:val="TextBody"/>
        <w:bidi w:val="0"/>
        <w:spacing w:lineRule="auto" w:line="240" w:before="0" w:after="240"/>
        <w:ind w:left="0" w:right="0" w:firstLine="540"/>
        <w:jc w:val="both"/>
        <w:rPr/>
      </w:pPr>
      <w:r>
        <w:rPr>
          <w:rFonts w:ascii="Times New Roman;sans-serif" w:hAnsi="Times New Roman;sans-serif"/>
          <w:b w:val="false"/>
          <w:color w:val="000000"/>
          <w:sz w:val="20"/>
        </w:rPr>
        <w:t xml:space="preserve">(a)The Trustee shall have all the rights (including indemnification rights), powers, benefits, privileges, protections, indemnities and immunities provided in the Pledge Agreement and, additionally, shall have all the rights (including indemnification rights), benefits, privileges, protections, indemnities and immunities in its dealings under the Pledge Agreement as are provided to the Trustee under this Indenture and under applicable law, all of which are incorporated herein </w:t>
      </w:r>
      <w:r>
        <w:rPr>
          <w:rFonts w:ascii="Times New Roman;sans-serif" w:hAnsi="Times New Roman;sans-serif"/>
          <w:b w:val="false"/>
          <w:i/>
          <w:color w:val="000000"/>
          <w:sz w:val="20"/>
        </w:rPr>
        <w:t>mutatis mutandis</w:t>
      </w:r>
      <w:r>
        <w:rPr>
          <w:rFonts w:ascii="Times New Roman;sans-serif" w:hAnsi="Times New Roman;sans-serif"/>
          <w:b w:val="false"/>
          <w:color w:val="000000"/>
          <w:sz w:val="20"/>
        </w:rPr>
        <w:t>.</w:t>
      </w:r>
    </w:p>
    <w:p>
      <w:pPr>
        <w:pStyle w:val="TextBody"/>
        <w:bidi w:val="0"/>
        <w:spacing w:lineRule="auto" w:line="240" w:before="0" w:after="24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(b)Except as required or permitted by the Pledge Agreement, the Holders, by accepting a Note, acknowledge that the Trustee will not be obligated under the Pledge Agreement:</w:t>
      </w:r>
    </w:p>
    <w:p>
      <w:pPr>
        <w:pStyle w:val="TextBody"/>
        <w:bidi w:val="0"/>
        <w:spacing w:lineRule="auto" w:line="240" w:before="0" w:after="240"/>
        <w:ind w:left="0" w:right="0" w:firstLine="1080"/>
        <w:jc w:val="left"/>
        <w:rPr>
          <w:rFonts w:ascii="Times New Roman;sans-serif" w:hAnsi="Times New Roman;sans-serif"/>
          <w:b w:val="false"/>
          <w:color w:val="000000"/>
          <w:sz w:val="20"/>
        </w:rPr>
      </w:pPr>
      <w:r>
        <w:rPr>
          <w:rFonts w:ascii="Times New Roman;sans-serif" w:hAnsi="Times New Roman;sans-serif"/>
          <w:b w:val="false"/>
          <w:color w:val="000000"/>
          <w:sz w:val="20"/>
        </w:rPr>
        <w:t>(i)to act upon directions purported to be delivered to it by any Person, except in accordance with the Pledge Agreement and this Indenture;</w:t>
      </w:r>
    </w:p>
    <w:p>
      <w:pPr>
        <w:pStyle w:val="TextBody"/>
        <w:bidi w:val="0"/>
        <w:spacing w:lineRule="auto" w:line="240" w:before="0" w:after="240"/>
        <w:ind w:left="0" w:right="0" w:firstLine="1080"/>
        <w:jc w:val="left"/>
        <w:rPr>
          <w:rFonts w:ascii="Times New Roman;sans-serif" w:hAnsi="Times New Roman;sans-serif"/>
          <w:b w:val="false"/>
          <w:color w:val="000000"/>
          <w:sz w:val="20"/>
        </w:rPr>
      </w:pPr>
      <w:r>
        <w:rPr>
          <w:rFonts w:ascii="Times New Roman;sans-serif" w:hAnsi="Times New Roman;sans-serif"/>
          <w:b w:val="false"/>
          <w:color w:val="000000"/>
          <w:sz w:val="20"/>
        </w:rPr>
        <w:t>(ii)to foreclose upon or otherwise enforce any security interest granted pursuant to the Pledge Agreement; or</w:t>
      </w:r>
    </w:p>
    <w:p>
      <w:pPr>
        <w:pStyle w:val="TextBody"/>
        <w:bidi w:val="0"/>
        <w:spacing w:lineRule="auto" w:line="240" w:before="0" w:after="240"/>
        <w:ind w:left="0" w:right="0" w:firstLine="1080"/>
        <w:jc w:val="left"/>
        <w:rPr>
          <w:rFonts w:ascii="Times New Roman;sans-serif" w:hAnsi="Times New Roman;sans-serif"/>
          <w:b w:val="false"/>
          <w:color w:val="000000"/>
          <w:sz w:val="20"/>
        </w:rPr>
      </w:pPr>
      <w:r>
        <w:rPr>
          <w:rFonts w:ascii="Times New Roman;sans-serif" w:hAnsi="Times New Roman;sans-serif"/>
          <w:b w:val="false"/>
          <w:color w:val="000000"/>
          <w:sz w:val="20"/>
        </w:rPr>
        <w:t>(iii)to take any other action whatsoever with regard to the Pledge Agreement (including any security interests granted thereunder) or the Pledged Interests.</w:t>
      </w:r>
    </w:p>
    <w:p>
      <w:pPr>
        <w:pStyle w:val="TextBody"/>
        <w:bidi w:val="0"/>
        <w:spacing w:lineRule="auto" w:line="240" w:before="0" w:after="24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(c)For the avoidance of doubt, the Trustee will have no discretion under this Indenture or the Pledge Agreement and will not be required to make or give any determination, consent, approval, request or direction without the written direction of the Holders of a majority in aggregate principal amount of the then outstanding Notes.</w:t>
      </w:r>
    </w:p>
    <w:p>
      <w:pPr>
        <w:pStyle w:val="TextBody"/>
        <w:bidi w:val="0"/>
        <w:spacing w:lineRule="auto" w:line="240" w:before="0" w:after="240"/>
        <w:ind w:left="0" w:right="0" w:firstLine="540"/>
        <w:jc w:val="both"/>
        <w:rPr/>
      </w:pPr>
      <w:r>
        <w:rPr>
          <w:rFonts w:ascii="Times New Roman;sans-serif" w:hAnsi="Times New Roman;sans-serif"/>
          <w:b w:val="false"/>
          <w:color w:val="000000"/>
          <w:sz w:val="20"/>
        </w:rPr>
        <w:t>(d)Other than in connection with a release of the Pledged Interests in accordance with Section 13.02, in each case that the Trustee may or is requested or required hereunder or under the Pledge Agreement to take any action (an “</w:t>
      </w:r>
      <w:r>
        <w:rPr>
          <w:rFonts w:ascii="Times New Roman;sans-serif" w:hAnsi="Times New Roman;sans-serif"/>
          <w:b w:val="false"/>
          <w:i/>
          <w:color w:val="000000"/>
          <w:sz w:val="20"/>
        </w:rPr>
        <w:t>Action</w:t>
      </w:r>
      <w:r>
        <w:rPr>
          <w:color w:val="000000"/>
        </w:rPr>
        <w:t>”</w:t>
      </w:r>
      <w:r>
        <w:rPr>
          <w:rFonts w:ascii="Times New Roman;sans-serif" w:hAnsi="Times New Roman;sans-serif"/>
          <w:b w:val="false"/>
          <w:color w:val="000000"/>
          <w:sz w:val="20"/>
        </w:rPr>
        <w:t xml:space="preserve">), including without limitation to make any determination, to give consents, to exercise rights, powers or remedies, to release or sell the Pledged Interests or otherwise to act hereunder or under the Pledge Agreement, the Trustee may seek direction from the Holders of a majority in aggregate principal amount of the then outstanding Notes. The Trustee will not be liable with respect to any Action taken or omitted to be taken by it in accordance with the direction from the Holders of a majority in aggregate principal amount of the then outstanding Notes. If the Trustee requests direction from the Holders of a majority in aggregate principal amount of the then outstanding Notes with respect to any Action, the Trustee will be entitled to refrain from such Action until it has received direction from the Holders of a majority in aggregate principal amount of the then outstanding Notes, and if </w:t>
      </w:r>
    </w:p>
    <w:p>
      <w:pPr>
        <w:pStyle w:val="TextBody"/>
        <w:bidi w:val="0"/>
        <w:spacing w:before="0" w:after="0"/>
        <w:jc w:val="righ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75260"/>
                <wp:effectExtent l="0" t="0" r="0" b="0"/>
                <wp:wrapNone/>
                <wp:docPr id="128" name="Frame1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requested, indemnity satisfactory to it, and the Trustee will not incur liability to any Person by reason of so refraining.</w:t>
      </w:r>
    </w:p>
    <w:p>
      <w:pPr>
        <w:pStyle w:val="TextBody"/>
        <w:bidi w:val="0"/>
        <w:spacing w:lineRule="auto" w:line="240" w:before="0" w:after="240"/>
        <w:ind w:left="0" w:right="0" w:firstLine="1080"/>
        <w:jc w:val="both"/>
        <w:rPr/>
      </w:pPr>
      <w:r>
        <w:rPr>
          <w:rFonts w:ascii="Times New Roman;sans-serif" w:hAnsi="Times New Roman;sans-serif"/>
          <w:b w:val="false"/>
          <w:color w:val="000000"/>
          <w:sz w:val="20"/>
        </w:rPr>
        <w:t>5.</w:t>
      </w:r>
      <w:r>
        <w:rPr>
          <w:rFonts w:ascii="Times New Roman;sans-serif" w:hAnsi="Times New Roman;sans-serif"/>
          <w:b w:val="false"/>
          <w:color w:val="000000"/>
          <w:sz w:val="20"/>
        </w:rPr>
        <w:t>Notes. The Notes, with effect on and from the date hereof, shall be deemed supplemented, modified and amended in such manner as necessary to make the terms of the Notes consistent with the terms of the Indenture, as amended by this Supplemental Indenture.</w:t>
      </w:r>
    </w:p>
    <w:p>
      <w:pPr>
        <w:pStyle w:val="TextBody"/>
        <w:bidi w:val="0"/>
        <w:spacing w:lineRule="auto" w:line="240" w:before="0" w:after="240"/>
        <w:ind w:left="0" w:right="0" w:firstLine="1080"/>
        <w:jc w:val="both"/>
        <w:rPr/>
      </w:pPr>
      <w:r>
        <w:rPr>
          <w:rFonts w:ascii="Times New Roman;sans-serif" w:hAnsi="Times New Roman;sans-serif"/>
          <w:b w:val="false"/>
          <w:color w:val="000000"/>
          <w:sz w:val="20"/>
        </w:rPr>
        <w:t>6.</w:t>
      </w:r>
      <w:r>
        <w:rPr>
          <w:rFonts w:ascii="Times New Roman;sans-serif" w:hAnsi="Times New Roman;sans-serif"/>
          <w:b w:val="false"/>
          <w:color w:val="000000"/>
          <w:sz w:val="20"/>
        </w:rPr>
        <w:t>Ratification of the Indenture; Supplemental Indenture Part of the Indenture. Except as expressly amended hereby, the Indenture is in all respects ratified and confirmed and all the terms, conditions and provisions thereof shall remain in full force and effect. This Supplemental Indenture shall form a part of the Indenture for all purposes, and every Holder heretofore or hereafter authenticated and delivered shall be bound hereby. Upon and after the execution of this Supplemental Indenture, each reference to the Indenture or the Notes in the Indenture or the Notes shall mean and be a reference to the Indenture or the Notes as modified hereby after giving effect to this Supplemental Indenture. The rights, protections and indemnities provided to the Trustee under the Indenture shall apply to any action (or inaction) of the Trustee in connection herewith, including in connection with the execution and delivery of this Supplemental Indenture.</w:t>
      </w:r>
    </w:p>
    <w:p>
      <w:pPr>
        <w:pStyle w:val="TextBody"/>
        <w:bidi w:val="0"/>
        <w:spacing w:lineRule="auto" w:line="240" w:before="0" w:after="240"/>
        <w:ind w:left="0" w:right="0" w:firstLine="1080"/>
        <w:jc w:val="both"/>
        <w:rPr/>
      </w:pPr>
      <w:r>
        <w:rPr>
          <w:rFonts w:ascii="Times New Roman;sans-serif" w:hAnsi="Times New Roman;sans-serif"/>
          <w:b w:val="false"/>
          <w:color w:val="000000"/>
          <w:sz w:val="16"/>
        </w:rPr>
        <w:t>7.</w:t>
      </w:r>
      <w:r>
        <w:rPr>
          <w:rFonts w:ascii="Times New Roman;sans-serif" w:hAnsi="Times New Roman;sans-serif"/>
          <w:b w:val="false"/>
          <w:color w:val="000000"/>
          <w:sz w:val="20"/>
        </w:rPr>
        <w:t>No Recourse Against Others. No recourse for the payment of the principal of, premium, if any, or interest on any of the Notes or for any claim based thereon or otherwise in respect thereof, and no recourse under or upon any obligation, covenant or agreement of the Issuers in the Indenture, or in any of the Notes or because of the creation of any Indebtedness represented thereby, shall be had against any past, present or future incorporator, partner, stockholder, officer, director, employee or controlling person in their capacity as such of the Issuers or of any successor Person thereof. Each Holder, by accepting the Notes, waives and releases all such liability. The waiver and release are part of the consideration for issuance of the Notes. The waiver may not be effective to waive liabilities under the federal securities laws.</w:t>
      </w:r>
    </w:p>
    <w:p>
      <w:pPr>
        <w:pStyle w:val="TextBody"/>
        <w:bidi w:val="0"/>
        <w:spacing w:lineRule="auto" w:line="240" w:before="0" w:after="240"/>
        <w:ind w:left="0" w:right="0" w:firstLine="1080"/>
        <w:jc w:val="both"/>
        <w:rPr/>
      </w:pPr>
      <w:r>
        <w:rPr>
          <w:rFonts w:ascii="Times New Roman;sans-serif" w:hAnsi="Times New Roman;sans-serif"/>
          <w:b w:val="false"/>
          <w:color w:val="000000"/>
          <w:sz w:val="20"/>
        </w:rPr>
        <w:t>8.</w:t>
      </w:r>
      <w:r>
        <w:rPr>
          <w:rFonts w:ascii="Times New Roman;sans-serif" w:hAnsi="Times New Roman;sans-serif"/>
          <w:b w:val="false"/>
          <w:color w:val="000000"/>
          <w:sz w:val="20"/>
        </w:rPr>
        <w:t>New York Law to Govern. THE INTERNAL LAW OF THE STATE OF NEW YORK SHALL GOVERN AND BE USED TO CONSTRUE THIS SUPPLEMENTAL INDENTURE WITHOUT GIVING EFFECT TO APPLICABLE PRINCIPLES OF CONFLICTS OF LAW TO THE EXTENT THAT THE APPLICATION OF THE LAWS OF ANOTHER JURISDICTION WOULD BE REQUIRED THEREBY.</w:t>
      </w:r>
    </w:p>
    <w:p>
      <w:pPr>
        <w:pStyle w:val="TextBody"/>
        <w:bidi w:val="0"/>
        <w:spacing w:lineRule="auto" w:line="240" w:before="0" w:after="240"/>
        <w:ind w:left="0" w:right="0" w:firstLine="1080"/>
        <w:jc w:val="both"/>
        <w:rPr/>
      </w:pPr>
      <w:r>
        <w:rPr>
          <w:rFonts w:ascii="Times New Roman;sans-serif" w:hAnsi="Times New Roman;sans-serif"/>
          <w:b w:val="false"/>
          <w:color w:val="000000"/>
          <w:sz w:val="20"/>
        </w:rPr>
        <w:t>9.</w:t>
      </w:r>
      <w:r>
        <w:rPr>
          <w:rFonts w:ascii="Times New Roman;sans-serif" w:hAnsi="Times New Roman;sans-serif"/>
          <w:b w:val="false"/>
          <w:color w:val="000000"/>
          <w:sz w:val="20"/>
        </w:rPr>
        <w:t>Counterparts. The parties may sign any number of copies of this Supplemental Indenture. Each signed copy shall be an original, but all of them together represent the same agreement.</w:t>
      </w:r>
      <w:r>
        <w:rPr>
          <w:color w:val="000000"/>
        </w:rPr>
        <w:t xml:space="preserve"> </w:t>
      </w:r>
      <w:r>
        <w:rPr>
          <w:rFonts w:ascii="Times New Roman;sans-serif" w:hAnsi="Times New Roman;sans-serif"/>
          <w:b w:val="false"/>
          <w:color w:val="000000"/>
          <w:sz w:val="20"/>
        </w:rPr>
        <w:t>Delivery of an executed signature page of this Supplemental Indenture by facsimile or any other rapid transmission device designed to produce a written record of the communication transmitted shall be as effective as delivery of a manually executed counterpart thereof. The words “execution,” “executed,” “signed,” signature” and words of like import in this Supplemental Indenture or in any other certificate, agreement or document related to this Supplemental Indenture shall include images of manually executed signatures transmitted by facsimile, email or other electronic format (including, without limitation, “pdf,” “tif” or “jpg”) and other electronic signatures (including, without limitation, DocuSign and AdobeSign). The use of electronic signatures and electronic records (including, without limitation, any contract or other record created, generated, sent, communicated, received, or stored by electronic means) shall be of the same legal effect, validity and enforceability as a manually executed signature or use of a paper-based record-keeping system to the fullest extent permitted by applicable law, including the Federal Electronic Signatures in Global and National Commerce Act, the New York State Electronic Signatures and Records Act and any other applicable law, including, without limitation, any state law based on the Uniform Electronic Transactions Act or the Uniform Commercial Code.</w:t>
      </w:r>
    </w:p>
    <w:p>
      <w:pPr>
        <w:pStyle w:val="TextBody"/>
        <w:bidi w:val="0"/>
        <w:spacing w:lineRule="auto" w:line="240" w:before="0" w:after="240"/>
        <w:ind w:left="0" w:right="0" w:firstLine="1080"/>
        <w:jc w:val="both"/>
        <w:rPr/>
      </w:pPr>
      <w:r>
        <w:rPr>
          <w:rFonts w:ascii="Times New Roman;sans-serif" w:hAnsi="Times New Roman;sans-serif"/>
          <w:b w:val="false"/>
          <w:color w:val="000000"/>
          <w:sz w:val="20"/>
        </w:rPr>
        <w:t>10.</w:t>
      </w:r>
      <w:r>
        <w:rPr>
          <w:rFonts w:ascii="Times New Roman;sans-serif" w:hAnsi="Times New Roman;sans-serif"/>
          <w:b w:val="false"/>
          <w:color w:val="000000"/>
          <w:sz w:val="20"/>
        </w:rPr>
        <w:t>Effect of Headings. The Section headings herein are for convenience only and shall not affect the construction hereof.</w:t>
      </w:r>
    </w:p>
    <w:p>
      <w:pPr>
        <w:pStyle w:val="TextBody"/>
        <w:bidi w:val="0"/>
        <w:spacing w:lineRule="auto" w:line="240" w:before="0" w:after="240"/>
        <w:ind w:left="0" w:right="0" w:firstLine="1080"/>
        <w:jc w:val="both"/>
        <w:rPr/>
      </w:pPr>
      <w:r>
        <w:rPr>
          <w:rFonts w:ascii="Times New Roman;sans-serif" w:hAnsi="Times New Roman;sans-serif"/>
          <w:b w:val="false"/>
          <w:color w:val="000000"/>
          <w:sz w:val="20"/>
        </w:rPr>
        <w:t>11.</w:t>
      </w:r>
      <w:r>
        <w:rPr>
          <w:rFonts w:ascii="Times New Roman;sans-serif" w:hAnsi="Times New Roman;sans-serif"/>
          <w:b w:val="false"/>
          <w:color w:val="000000"/>
          <w:sz w:val="20"/>
        </w:rPr>
        <w:t>The Trustee. The Trustee shall not be responsible in any manner whatsoever for or in respect of the validity or sufficiency of this Supplemental Indenture or for or in respect of the recitals contained herein, all of which recitals are made solely by the Issuers.</w:t>
      </w:r>
    </w:p>
    <w:p>
      <w:pPr>
        <w:pStyle w:val="TextBody"/>
        <w:bidi w:val="0"/>
        <w:spacing w:lineRule="auto" w:line="240" w:before="0" w:after="240"/>
        <w:jc w:val="center"/>
        <w:rPr/>
      </w:pPr>
      <w:r>
        <w:rPr>
          <w:rFonts w:ascii="Times New Roman;sans-serif" w:hAnsi="Times New Roman;sans-serif"/>
          <w:b w:val="false"/>
          <w:color w:val="000000"/>
          <w:sz w:val="20"/>
        </w:rPr>
        <w:t>[</w:t>
      </w:r>
      <w:r>
        <w:rPr>
          <w:rFonts w:ascii="Times New Roman;sans-serif" w:hAnsi="Times New Roman;sans-serif"/>
          <w:b w:val="false"/>
          <w:i/>
          <w:color w:val="000000"/>
          <w:sz w:val="20"/>
        </w:rPr>
        <w:t>Signature pages follow</w:t>
      </w:r>
      <w:r>
        <w:rPr>
          <w:rFonts w:ascii="Times New Roman;sans-serif" w:hAnsi="Times New Roman;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75260"/>
                <wp:effectExtent l="0" t="0" r="0" b="0"/>
                <wp:wrapNone/>
                <wp:docPr id="129" name="Frame1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WITNESS WHEREOF, the parties hereto have caused this Supplemental Indenture to be duly executed and attested, all as of the date first above written.</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Dated: April 29, 2022</w:t>
      </w:r>
    </w:p>
    <w:p>
      <w:pPr>
        <w:pStyle w:val="TextBody"/>
        <w:bidi w:val="0"/>
        <w:spacing w:before="0" w:after="240"/>
        <w:ind w:left="0" w:right="0" w:firstLine="720"/>
        <w:jc w:val="both"/>
        <w:rPr/>
      </w:pPr>
      <w:r>
        <w:rPr/>
      </w:r>
    </w:p>
    <w:p>
      <w:pPr>
        <w:pStyle w:val="TextBody"/>
        <w:bidi w:val="0"/>
        <w:spacing w:lineRule="auto" w:line="240" w:before="0" w:after="24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VICI PROPERTIES L.P.</w:t>
      </w:r>
    </w:p>
    <w:p>
      <w:pPr>
        <w:pStyle w:val="TextBody"/>
        <w:bidi w:val="0"/>
        <w:spacing w:lineRule="auto" w:line="240"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BY: VICI PROPERTIES GP LLC, its general partner</w:t>
      </w:r>
    </w:p>
    <w:p>
      <w:pPr>
        <w:pStyle w:val="TextBody"/>
        <w:bidi w:val="0"/>
        <w:spacing w:before="0" w:after="240"/>
        <w:jc w:val="left"/>
        <w:rPr/>
      </w:pPr>
      <w:r>
        <w:rPr/>
      </w:r>
    </w:p>
    <w:p>
      <w:pPr>
        <w:pStyle w:val="TextBody"/>
        <w:bidi w:val="0"/>
        <w:spacing w:lineRule="auto" w:line="240" w:before="0" w:after="0"/>
        <w:ind w:left="0" w:right="0" w:firstLine="720"/>
        <w:jc w:val="left"/>
        <w:rPr/>
      </w:pPr>
      <w:r>
        <w:rPr>
          <w:rFonts w:ascii="Times New Roman;sans-serif" w:hAnsi="Times New Roman;sans-serif"/>
          <w:b w:val="false"/>
          <w:color w:val="000000"/>
          <w:sz w:val="20"/>
        </w:rPr>
        <w:t>By:</w:t>
      </w:r>
      <w:r>
        <w:rPr>
          <w:color w:val="000000"/>
          <w:u w:val="single"/>
        </w:rPr>
        <w:t xml:space="preserve"> </w:t>
      </w:r>
      <w:r>
        <w:rPr>
          <w:rFonts w:ascii="Times New Roman;sans-serif" w:hAnsi="Times New Roman;sans-serif"/>
          <w:b w:val="false"/>
          <w:color w:val="000000"/>
          <w:sz w:val="20"/>
          <w:u w:val="single"/>
        </w:rPr>
        <w:t>/s/ David A. Kieske    </w:t>
      </w:r>
    </w:p>
    <w:p>
      <w:pPr>
        <w:pStyle w:val="TextBody"/>
        <w:bidi w:val="0"/>
        <w:spacing w:lineRule="auto" w:line="240"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Name: David A. Kieske</w:t>
      </w:r>
    </w:p>
    <w:p>
      <w:pPr>
        <w:pStyle w:val="TextBody"/>
        <w:bidi w:val="0"/>
        <w:spacing w:lineRule="auto" w:line="240"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Title: Treasurer</w:t>
      </w:r>
    </w:p>
    <w:p>
      <w:pPr>
        <w:pStyle w:val="TextBody"/>
        <w:bidi w:val="0"/>
        <w:spacing w:before="0" w:after="240"/>
        <w:ind w:left="0" w:right="0" w:firstLine="360"/>
        <w:jc w:val="both"/>
        <w:rPr/>
      </w:pPr>
      <w:r>
        <w:rPr/>
      </w:r>
    </w:p>
    <w:p>
      <w:pPr>
        <w:pStyle w:val="TextBody"/>
        <w:bidi w:val="0"/>
        <w:spacing w:lineRule="auto" w:line="240" w:before="0" w:after="24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VICI NOTE CO. INC.</w:t>
      </w:r>
    </w:p>
    <w:p>
      <w:pPr>
        <w:pStyle w:val="TextBody"/>
        <w:bidi w:val="0"/>
        <w:spacing w:before="0" w:after="240"/>
        <w:ind w:left="0" w:right="0" w:firstLine="720"/>
        <w:jc w:val="left"/>
        <w:rPr/>
      </w:pPr>
      <w:r>
        <w:rPr/>
      </w:r>
    </w:p>
    <w:p>
      <w:pPr>
        <w:pStyle w:val="TextBody"/>
        <w:bidi w:val="0"/>
        <w:spacing w:lineRule="auto" w:line="240" w:before="0" w:after="0"/>
        <w:ind w:left="0" w:right="0" w:firstLine="4"/>
        <w:jc w:val="left"/>
        <w:rPr/>
      </w:pPr>
      <w:r>
        <w:rPr>
          <w:rFonts w:ascii="Times New Roman;sans-serif" w:hAnsi="Times New Roman;sans-serif"/>
          <w:b w:val="false"/>
          <w:color w:val="000000"/>
          <w:sz w:val="20"/>
        </w:rPr>
        <w:t>By:</w:t>
      </w:r>
      <w:r>
        <w:rPr>
          <w:color w:val="000000"/>
          <w:u w:val="single"/>
        </w:rPr>
        <w:t xml:space="preserve"> </w:t>
      </w:r>
      <w:r>
        <w:rPr>
          <w:rFonts w:ascii="Times New Roman;sans-serif" w:hAnsi="Times New Roman;sans-serif"/>
          <w:b w:val="false"/>
          <w:color w:val="000000"/>
          <w:sz w:val="20"/>
          <w:u w:val="single"/>
        </w:rPr>
        <w:t>/s/ David A. Kieske    </w:t>
      </w:r>
    </w:p>
    <w:p>
      <w:pPr>
        <w:pStyle w:val="TextBody"/>
        <w:bidi w:val="0"/>
        <w:spacing w:lineRule="auto" w:line="240" w:before="0" w:after="0"/>
        <w:ind w:left="0" w:right="0" w:firstLine="4"/>
        <w:jc w:val="left"/>
        <w:rPr>
          <w:rFonts w:ascii="Times New Roman;sans-serif" w:hAnsi="Times New Roman;sans-serif"/>
          <w:b w:val="false"/>
          <w:color w:val="000000"/>
          <w:sz w:val="20"/>
        </w:rPr>
      </w:pPr>
      <w:r>
        <w:rPr>
          <w:rFonts w:ascii="Times New Roman;sans-serif" w:hAnsi="Times New Roman;sans-serif"/>
          <w:b w:val="false"/>
          <w:color w:val="000000"/>
          <w:sz w:val="20"/>
        </w:rPr>
        <w:t>Name: David A. Kieske</w:t>
      </w:r>
    </w:p>
    <w:p>
      <w:pPr>
        <w:pStyle w:val="TextBody"/>
        <w:bidi w:val="0"/>
        <w:spacing w:lineRule="auto" w:line="240"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Title: Treasurer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53670"/>
                <wp:effectExtent l="0" t="0" r="0" b="0"/>
                <wp:wrapNone/>
                <wp:docPr id="130" name="Frame128"/>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307" w:before="0" w:after="0"/>
                              <w:jc w:val="center"/>
                              <w:rPr/>
                            </w:pPr>
                            <w:r>
                              <w:rPr>
                                <w:rFonts w:ascii="Times New Roman;sans-serif" w:hAnsi="Times New Roman;sans-serif"/>
                                <w:b w:val="false"/>
                                <w:color w:val="000000"/>
                                <w:sz w:val="21"/>
                              </w:rPr>
                              <w:t>[</w:t>
                            </w:r>
                            <w:r>
                              <w:rPr>
                                <w:rFonts w:ascii="Times New Roman;sans-serif" w:hAnsi="Times New Roman;sans-serif"/>
                                <w:b w:val="false"/>
                                <w:i/>
                                <w:color w:val="000000"/>
                                <w:sz w:val="21"/>
                              </w:rPr>
                              <w:t>Signature Page to Supplemental Indenture – VICI 4.250% Notes due 2026 - VICI</w:t>
                            </w:r>
                            <w:r>
                              <w:rPr>
                                <w:rFonts w:ascii="Times New Roman;sans-serif" w:hAnsi="Times New Roman;sans-serif"/>
                                <w:b w:val="false"/>
                                <w:color w:val="000000"/>
                                <w:sz w:val="21"/>
                              </w:rPr>
                              <w: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7" w:before="0" w:after="0"/>
                        <w:jc w:val="center"/>
                        <w:rPr/>
                      </w:pPr>
                      <w:r>
                        <w:rPr>
                          <w:rFonts w:ascii="Times New Roman;sans-serif" w:hAnsi="Times New Roman;sans-serif"/>
                          <w:b w:val="false"/>
                          <w:color w:val="000000"/>
                          <w:sz w:val="21"/>
                        </w:rPr>
                        <w:t>[</w:t>
                      </w:r>
                      <w:r>
                        <w:rPr>
                          <w:rFonts w:ascii="Times New Roman;sans-serif" w:hAnsi="Times New Roman;sans-serif"/>
                          <w:b w:val="false"/>
                          <w:i/>
                          <w:color w:val="000000"/>
                          <w:sz w:val="21"/>
                        </w:rPr>
                        <w:t>Signature Page to Supplemental Indenture – VICI 4.250% Notes due 2026 - VICI</w:t>
                      </w:r>
                      <w:r>
                        <w:rPr>
                          <w:rFonts w:ascii="Times New Roman;sans-serif" w:hAnsi="Times New Roman;sans-serif"/>
                          <w:b w:val="false"/>
                          <w:color w:val="000000"/>
                          <w:sz w:val="21"/>
                        </w:rPr>
                        <w:t>]</w:t>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color w:val="000000"/>
          <w:sz w:val="20"/>
        </w:rPr>
        <w:t>UMB BANK, NATIONAL ASSOCIATION</w:t>
      </w:r>
      <w:r>
        <w:rPr>
          <w:rFonts w:ascii="Times New Roman;sans-serif" w:hAnsi="Times New Roman;sans-serif"/>
          <w:b w:val="false"/>
          <w:color w:val="000000"/>
          <w:sz w:val="20"/>
        </w:rPr>
        <w:t>, as Trustee</w:t>
      </w:r>
    </w:p>
    <w:p>
      <w:pPr>
        <w:pStyle w:val="TextBody"/>
        <w:bidi w:val="0"/>
        <w:spacing w:before="0" w:after="240"/>
        <w:jc w:val="both"/>
        <w:rPr/>
      </w:pPr>
      <w:r>
        <w:rPr/>
      </w:r>
    </w:p>
    <w:p>
      <w:pPr>
        <w:pStyle w:val="TextBody"/>
        <w:bidi w:val="0"/>
        <w:spacing w:lineRule="auto" w:line="240" w:before="0" w:after="0"/>
        <w:jc w:val="both"/>
        <w:rPr/>
      </w:pPr>
      <w:r>
        <w:rPr>
          <w:rFonts w:ascii="Times New Roman;sans-serif" w:hAnsi="Times New Roman;sans-serif"/>
          <w:b w:val="false"/>
          <w:color w:val="000000"/>
          <w:sz w:val="20"/>
        </w:rPr>
        <w:t xml:space="preserve">By: </w:t>
      </w:r>
      <w:r>
        <w:rPr>
          <w:color w:val="000000"/>
          <w:u w:val="single"/>
        </w:rPr>
        <w:t>    </w:t>
      </w:r>
      <w:r>
        <w:rPr>
          <w:rFonts w:ascii="Times New Roman;sans-serif" w:hAnsi="Times New Roman;sans-serif"/>
          <w:b w:val="false"/>
          <w:color w:val="000000"/>
          <w:sz w:val="20"/>
          <w:u w:val="single"/>
        </w:rPr>
        <w:t>/s/ Gavin Wilkinson        </w:t>
      </w:r>
      <w:r>
        <w:rPr>
          <w:color w:val="000000"/>
        </w:rPr>
        <w:t>    </w:t>
      </w:r>
    </w:p>
    <w:p>
      <w:pPr>
        <w:pStyle w:val="TextBody"/>
        <w:bidi w:val="0"/>
        <w:spacing w:lineRule="auto" w:line="240"/>
        <w:ind w:left="0" w:right="0" w:firstLine="90"/>
        <w:jc w:val="both"/>
        <w:rPr>
          <w:rFonts w:ascii="Times New Roman;sans-serif" w:hAnsi="Times New Roman;sans-serif"/>
          <w:b w:val="false"/>
          <w:color w:val="000000"/>
          <w:sz w:val="20"/>
        </w:rPr>
      </w:pPr>
      <w:r>
        <w:rPr>
          <w:rFonts w:ascii="Times New Roman;sans-serif" w:hAnsi="Times New Roman;sans-serif"/>
          <w:b w:val="false"/>
          <w:color w:val="000000"/>
          <w:sz w:val="20"/>
        </w:rPr>
        <w:t>Authorized Signatory</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07" w:before="0" w:after="0"/>
        <w:jc w:val="right"/>
        <w:rPr>
          <w:rFonts w:ascii="Times New Roman;sans-serif" w:hAnsi="Times New Roman;sans-serif"/>
          <w:b/>
          <w:color w:val="000000"/>
          <w:sz w:val="20"/>
        </w:rPr>
      </w:pPr>
      <w:r>
        <w:rPr>
          <w:rFonts w:ascii="Times New Roman;sans-serif" w:hAnsi="Times New Roman;sans-serif"/>
          <w:b/>
          <w:color w:val="000000"/>
          <w:sz w:val="20"/>
        </w:rPr>
        <w:t>Exhibit 4.4</w:t>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53670"/>
                <wp:effectExtent l="0" t="0" r="0" b="0"/>
                <wp:wrapNone/>
                <wp:docPr id="131" name="Frame129"/>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307" w:before="0" w:after="0"/>
                              <w:jc w:val="center"/>
                              <w:rPr/>
                            </w:pPr>
                            <w:r>
                              <w:rPr>
                                <w:rFonts w:ascii="Times New Roman;sans-serif" w:hAnsi="Times New Roman;sans-serif"/>
                                <w:b w:val="false"/>
                                <w:color w:val="000000"/>
                                <w:sz w:val="21"/>
                              </w:rPr>
                              <w:t>[</w:t>
                            </w:r>
                            <w:r>
                              <w:rPr>
                                <w:rFonts w:ascii="Times New Roman;sans-serif" w:hAnsi="Times New Roman;sans-serif"/>
                                <w:b w:val="false"/>
                                <w:i/>
                                <w:color w:val="000000"/>
                                <w:sz w:val="21"/>
                              </w:rPr>
                              <w:t>Signature Page to Supplemental Indenture – VICI 4.250% Notes due 2026 - Trustee</w:t>
                            </w:r>
                            <w:r>
                              <w:rPr>
                                <w:rFonts w:ascii="Times New Roman;sans-serif" w:hAnsi="Times New Roman;sans-serif"/>
                                <w:b w:val="false"/>
                                <w:color w:val="000000"/>
                                <w:sz w:val="21"/>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435.35pt;mso-position-horizontal:left;mso-position-horizontal-relative:text">
                <v:textbox>
                  <w:txbxContent>
                    <w:p>
                      <w:pPr>
                        <w:pStyle w:val="TextBody"/>
                        <w:bidi w:val="0"/>
                        <w:spacing w:lineRule="auto" w:line="307" w:before="0" w:after="0"/>
                        <w:jc w:val="center"/>
                        <w:rPr/>
                      </w:pPr>
                      <w:r>
                        <w:rPr>
                          <w:rFonts w:ascii="Times New Roman;sans-serif" w:hAnsi="Times New Roman;sans-serif"/>
                          <w:b w:val="false"/>
                          <w:color w:val="000000"/>
                          <w:sz w:val="21"/>
                        </w:rPr>
                        <w:t>[</w:t>
                      </w:r>
                      <w:r>
                        <w:rPr>
                          <w:rFonts w:ascii="Times New Roman;sans-serif" w:hAnsi="Times New Roman;sans-serif"/>
                          <w:b w:val="false"/>
                          <w:i/>
                          <w:color w:val="000000"/>
                          <w:sz w:val="21"/>
                        </w:rPr>
                        <w:t>Signature Page to Supplemental Indenture – VICI 4.250% Notes due 2026 - Trustee</w:t>
                      </w:r>
                      <w:r>
                        <w:rPr>
                          <w:rFonts w:ascii="Times New Roman;sans-serif" w:hAnsi="Times New Roman;sans-serif"/>
                          <w:b w:val="false"/>
                          <w:color w:val="000000"/>
                          <w:sz w:val="21"/>
                        </w:rPr>
                        <w:t>]</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SUPPLEMENTAL INDENTURE (this “</w:t>
      </w:r>
      <w:r>
        <w:rPr>
          <w:rFonts w:ascii="Times New Roman;sans-serif" w:hAnsi="Times New Roman;sans-serif"/>
          <w:b w:val="false"/>
          <w:i/>
          <w:color w:val="000000"/>
          <w:sz w:val="20"/>
        </w:rPr>
        <w:t>Supplemental Indenture</w:t>
      </w:r>
      <w:r>
        <w:rPr>
          <w:color w:val="000000"/>
        </w:rPr>
        <w:t>”</w:t>
      </w:r>
      <w:r>
        <w:rPr>
          <w:rFonts w:ascii="Times New Roman;sans-serif" w:hAnsi="Times New Roman;sans-serif"/>
          <w:b w:val="false"/>
          <w:color w:val="000000"/>
          <w:sz w:val="20"/>
        </w:rPr>
        <w:t>), dated as of April 29, 2022, among VICI Properties L.P., a Delaware limited liability partnership (the “</w:t>
      </w:r>
      <w:r>
        <w:rPr>
          <w:rFonts w:ascii="Times New Roman;sans-serif" w:hAnsi="Times New Roman;sans-serif"/>
          <w:b w:val="false"/>
          <w:i/>
          <w:color w:val="000000"/>
          <w:sz w:val="20"/>
        </w:rPr>
        <w:t>Company</w:t>
      </w:r>
      <w:r>
        <w:rPr>
          <w:color w:val="000000"/>
        </w:rPr>
        <w:t>”</w:t>
      </w:r>
      <w:r>
        <w:rPr>
          <w:rFonts w:ascii="Times New Roman;sans-serif" w:hAnsi="Times New Roman;sans-serif"/>
          <w:b w:val="false"/>
          <w:color w:val="000000"/>
          <w:sz w:val="20"/>
        </w:rPr>
        <w:t>), VICI Note Co. Inc., a Delaware corporation (the “</w:t>
      </w:r>
      <w:r>
        <w:rPr>
          <w:rFonts w:ascii="Times New Roman;sans-serif" w:hAnsi="Times New Roman;sans-serif"/>
          <w:b w:val="false"/>
          <w:i/>
          <w:color w:val="000000"/>
          <w:sz w:val="20"/>
        </w:rPr>
        <w:t>Co-Issuer</w:t>
      </w:r>
      <w:r>
        <w:rPr>
          <w:color w:val="000000"/>
        </w:rPr>
        <w:t xml:space="preserve">” </w:t>
      </w:r>
      <w:r>
        <w:rPr>
          <w:rFonts w:ascii="Times New Roman;sans-serif" w:hAnsi="Times New Roman;sans-serif"/>
          <w:b w:val="false"/>
          <w:color w:val="000000"/>
          <w:sz w:val="20"/>
        </w:rPr>
        <w:t>and, together with the Company, the “</w:t>
      </w:r>
      <w:r>
        <w:rPr>
          <w:rFonts w:ascii="Times New Roman;sans-serif" w:hAnsi="Times New Roman;sans-serif"/>
          <w:b w:val="false"/>
          <w:i/>
          <w:color w:val="000000"/>
          <w:sz w:val="20"/>
        </w:rPr>
        <w:t>Issuers</w:t>
      </w:r>
      <w:r>
        <w:rPr>
          <w:color w:val="000000"/>
        </w:rPr>
        <w:t>”</w:t>
      </w:r>
      <w:r>
        <w:rPr>
          <w:rFonts w:ascii="Times New Roman;sans-serif" w:hAnsi="Times New Roman;sans-serif"/>
          <w:b w:val="false"/>
          <w:color w:val="000000"/>
          <w:sz w:val="20"/>
        </w:rPr>
        <w:t>), and UMB Bank, National Association, as Trustee under the Indenture referred to below (the “</w:t>
      </w:r>
      <w:r>
        <w:rPr>
          <w:rFonts w:ascii="Times New Roman;sans-serif" w:hAnsi="Times New Roman;sans-serif"/>
          <w:b w:val="false"/>
          <w:i/>
          <w:color w:val="000000"/>
          <w:sz w:val="20"/>
        </w:rPr>
        <w:t>Trustee</w:t>
      </w:r>
      <w:r>
        <w:rPr>
          <w:color w:val="000000"/>
        </w:rPr>
        <w:t>”</w:t>
      </w:r>
      <w:r>
        <w:rPr>
          <w:rFonts w:ascii="Times New Roman;sans-serif" w:hAnsi="Times New Roman;sans-serif"/>
          <w:b w:val="false"/>
          <w:color w:val="000000"/>
          <w:sz w:val="20"/>
        </w:rPr>
        <w:t>).</w:t>
      </w:r>
    </w:p>
    <w:p>
      <w:pPr>
        <w:pStyle w:val="TextBody"/>
        <w:bidi w:val="0"/>
        <w:spacing w:lineRule="auto" w:line="240"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W I T N E S S E T H</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WHEREAS, the Issuers have heretofore executed and delivered to the Trustee an indenture (the “</w:t>
      </w:r>
      <w:r>
        <w:rPr>
          <w:rFonts w:ascii="Times New Roman;sans-serif" w:hAnsi="Times New Roman;sans-serif"/>
          <w:b w:val="false"/>
          <w:i/>
          <w:color w:val="000000"/>
          <w:sz w:val="20"/>
        </w:rPr>
        <w:t>Indenture</w:t>
      </w:r>
      <w:r>
        <w:rPr>
          <w:color w:val="000000"/>
        </w:rPr>
        <w:t>”</w:t>
      </w:r>
      <w:r>
        <w:rPr>
          <w:rFonts w:ascii="Times New Roman;sans-serif" w:hAnsi="Times New Roman;sans-serif"/>
          <w:b w:val="false"/>
          <w:color w:val="000000"/>
          <w:sz w:val="20"/>
        </w:rPr>
        <w:t>), dated as of November 26, 2019, as amended from time to time, providing for the issuance of 4.625% Senior Notes due 2029 (the “</w:t>
      </w:r>
      <w:r>
        <w:rPr>
          <w:rFonts w:ascii="Times New Roman;sans-serif" w:hAnsi="Times New Roman;sans-serif"/>
          <w:b w:val="false"/>
          <w:i/>
          <w:color w:val="000000"/>
          <w:sz w:val="20"/>
        </w:rPr>
        <w:t>Notes</w:t>
      </w:r>
      <w:r>
        <w:rPr>
          <w:color w:val="000000"/>
        </w:rPr>
        <w:t>”</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WHEREAS, Section 9.01 of the Indenture provides that the Issuers and the Trustee may amend or supplement the Indenture without the consent of any Holder to, among other things, (i) secure the Notes and (ii) make any change that would provide any additional rights or benefits to the Holders of the Notes or that does not adversely affect the legal rights under the Indenture of any Holder; </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WHEREAS, the Issuers desire to amend the Indenture as set forth in Section 4 hereof to secure all Obligations with respect to the Notes with a pledge of all of the limited partnership interests of the Company directly owned by VICI Properties OP LLC; and</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WHEREAS, all things necessary to make this Supplemental Indenture a valid and binding agreement of the parties, in accordance with its terms, and a valid amendment of, and supplement to, the Indenture have been done, and the execution and delivery of this Supplemental Indenture have been duly authorized in all respects and, pursuant to Section 9.01 of the Indenture, the Issuers and the Trustee are authorized to execute and deliver this Supplemental Indenture.</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NOW, THEREFORE, in consideration of the foregoing and for other good and valuable consideration, the receipt of which is hereby acknowledged, the parties hereto mutually covenant and agree for the equal and ratable benefit of the Holders of the Notes as follows:</w:t>
      </w:r>
    </w:p>
    <w:p>
      <w:pPr>
        <w:pStyle w:val="TextBody"/>
        <w:bidi w:val="0"/>
        <w:spacing w:lineRule="auto" w:line="240" w:before="0" w:after="240"/>
        <w:ind w:left="0" w:right="0" w:firstLine="1080"/>
        <w:jc w:val="both"/>
        <w:rPr/>
      </w:pPr>
      <w:r>
        <w:rPr>
          <w:rFonts w:ascii="Times New Roman;sans-serif" w:hAnsi="Times New Roman;sans-serif"/>
          <w:b w:val="false"/>
          <w:color w:val="000000"/>
          <w:sz w:val="20"/>
        </w:rPr>
        <w:t>1.</w:t>
      </w:r>
      <w:r>
        <w:rPr>
          <w:rFonts w:ascii="Times New Roman;sans-serif" w:hAnsi="Times New Roman;sans-serif"/>
          <w:b w:val="false"/>
          <w:color w:val="000000"/>
          <w:sz w:val="20"/>
        </w:rPr>
        <w:t xml:space="preserve">Capitalized Terms. </w:t>
      </w:r>
    </w:p>
    <w:p>
      <w:pPr>
        <w:pStyle w:val="TextBody"/>
        <w:bidi w:val="0"/>
        <w:spacing w:lineRule="auto" w:line="240"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(a)Capitalized terms used herein without definition shall have the meanings assigned to them in the Indenture.</w:t>
      </w:r>
    </w:p>
    <w:p>
      <w:pPr>
        <w:pStyle w:val="TextBody"/>
        <w:bidi w:val="0"/>
        <w:spacing w:lineRule="auto" w:line="240"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(b)For all purposes of this Supplemental Indenture, capitalized terms used herein shall have the respective meanings specified below:</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i/>
          <w:color w:val="000000"/>
          <w:sz w:val="20"/>
        </w:rPr>
        <w:t>Credit Agreement</w:t>
      </w:r>
      <w:r>
        <w:rPr>
          <w:color w:val="000000"/>
        </w:rPr>
        <w:t xml:space="preserve">” </w:t>
      </w:r>
      <w:r>
        <w:rPr>
          <w:rFonts w:ascii="Times New Roman;sans-serif" w:hAnsi="Times New Roman;sans-serif"/>
          <w:b w:val="false"/>
          <w:color w:val="000000"/>
          <w:sz w:val="20"/>
        </w:rPr>
        <w:t>means that certain Credit Agreement, dated as of February 8, 2022, among the Company, the lenders from time to time party thereto, and JPMorgan Chase Bank, N.A., as administrative agent, including any related notes, guarantees and collateral documents, as the same may be amended, amended and restated, supplemented or otherwise modified from time to time.</w:t>
      </w:r>
    </w:p>
    <w:p>
      <w:pPr>
        <w:pStyle w:val="TextBody"/>
        <w:bidi w:val="0"/>
        <w:spacing w:lineRule="auto" w:line="240" w:before="0" w:after="240"/>
        <w:ind w:left="0" w:right="0" w:firstLine="720"/>
        <w:jc w:val="both"/>
        <w:rPr/>
      </w:pPr>
      <w:r>
        <w:rPr>
          <w:color w:val="000000"/>
          <w:shd w:fill="FFFFFF" w:val="clear"/>
        </w:rPr>
        <w:t>“</w:t>
      </w:r>
      <w:r>
        <w:rPr>
          <w:rFonts w:ascii="Times New Roman;sans-serif" w:hAnsi="Times New Roman;sans-serif"/>
          <w:b w:val="false"/>
          <w:i/>
          <w:color w:val="000000"/>
          <w:sz w:val="20"/>
          <w:shd w:fill="FFFFFF" w:val="clear"/>
        </w:rPr>
        <w:t>MGM Tax Protection Agreement</w:t>
      </w:r>
      <w:r>
        <w:rPr>
          <w:color w:val="000000"/>
          <w:shd w:fill="FFFFFF" w:val="clear"/>
        </w:rPr>
        <w:t xml:space="preserve">” </w:t>
      </w:r>
      <w:r>
        <w:rPr>
          <w:rFonts w:ascii="Times New Roman;sans-serif" w:hAnsi="Times New Roman;sans-serif"/>
          <w:b w:val="false"/>
          <w:color w:val="000000"/>
          <w:sz w:val="20"/>
          <w:shd w:fill="FFFFFF" w:val="clear"/>
        </w:rPr>
        <w:t>means that certain tax matters agreement, dated as of April 29, 2022, among VICI Properties OP LLC, VICI Properties Inc. and the Initial Protected Parties (as defined therein).</w:t>
      </w:r>
    </w:p>
    <w:p>
      <w:pPr>
        <w:pStyle w:val="TextBody"/>
        <w:bidi w:val="0"/>
        <w:spacing w:lineRule="auto" w:line="240" w:before="0" w:after="240"/>
        <w:ind w:left="0" w:right="0" w:firstLine="720"/>
        <w:jc w:val="both"/>
        <w:rPr/>
      </w:pPr>
      <w:r>
        <w:rPr>
          <w:color w:val="000000"/>
          <w:shd w:fill="FFFFFF" w:val="clear"/>
        </w:rPr>
        <w:t>“</w:t>
      </w:r>
      <w:r>
        <w:rPr>
          <w:rFonts w:ascii="Times New Roman;sans-serif" w:hAnsi="Times New Roman;sans-serif"/>
          <w:b w:val="false"/>
          <w:i/>
          <w:color w:val="000000"/>
          <w:sz w:val="20"/>
          <w:shd w:fill="FFFFFF" w:val="clear"/>
        </w:rPr>
        <w:t>Notes Secured Parties</w:t>
      </w:r>
      <w:r>
        <w:rPr>
          <w:color w:val="000000"/>
          <w:shd w:fill="FFFFFF" w:val="clear"/>
        </w:rPr>
        <w:t xml:space="preserve">” </w:t>
      </w:r>
      <w:r>
        <w:rPr>
          <w:rFonts w:ascii="Times New Roman;sans-serif" w:hAnsi="Times New Roman;sans-serif"/>
          <w:b w:val="false"/>
          <w:color w:val="000000"/>
          <w:sz w:val="20"/>
          <w:shd w:fill="FFFFFF" w:val="clear"/>
        </w:rPr>
        <w:t>has the meaning set forth in the Pledge Agreement.</w:t>
      </w:r>
    </w:p>
    <w:p>
      <w:pPr>
        <w:pStyle w:val="TextBody"/>
        <w:bidi w:val="0"/>
        <w:spacing w:lineRule="auto" w:line="240" w:before="0" w:after="240"/>
        <w:ind w:left="0" w:right="0" w:firstLine="720"/>
        <w:jc w:val="both"/>
        <w:rPr/>
      </w:pPr>
      <w:r>
        <w:rPr>
          <w:color w:val="000000"/>
          <w:shd w:fill="FFFFFF" w:val="clear"/>
        </w:rPr>
        <w:t>“</w:t>
      </w:r>
      <w:r>
        <w:rPr>
          <w:rFonts w:ascii="Times New Roman;sans-serif" w:hAnsi="Times New Roman;sans-serif"/>
          <w:b w:val="false"/>
          <w:i/>
          <w:color w:val="000000"/>
          <w:sz w:val="20"/>
          <w:shd w:fill="FFFFFF" w:val="clear"/>
        </w:rPr>
        <w:t>Pledge Agreement</w:t>
      </w:r>
      <w:r>
        <w:rPr>
          <w:color w:val="000000"/>
          <w:shd w:fill="FFFFFF" w:val="clear"/>
        </w:rPr>
        <w:t xml:space="preserve">” </w:t>
      </w:r>
      <w:r>
        <w:rPr>
          <w:rFonts w:ascii="Times New Roman;sans-serif" w:hAnsi="Times New Roman;sans-serif"/>
          <w:b w:val="false"/>
          <w:color w:val="000000"/>
          <w:sz w:val="20"/>
          <w:shd w:fill="FFFFFF" w:val="clear"/>
        </w:rPr>
        <w:t>means that certain Pledge Agreement, dated as of April 29, 2022, by VICI Properties OP LLC, a Delaware limited liability company,</w:t>
      </w:r>
      <w:r>
        <w:rPr>
          <w:color w:val="000000"/>
          <w:shd w:fill="FFFFFF" w:val="clear"/>
        </w:rPr>
        <w:t xml:space="preserve"> </w:t>
      </w:r>
      <w:r>
        <w:rPr>
          <w:rFonts w:ascii="Times New Roman;sans-serif" w:hAnsi="Times New Roman;sans-serif"/>
          <w:b w:val="false"/>
          <w:color w:val="000000"/>
          <w:sz w:val="20"/>
          <w:shd w:fill="FFFFFF" w:val="clear"/>
        </w:rPr>
        <w:t>as pledgor, in favor of the Trustee, for itself and the Notes Secured Parties, as the same may be amended, amended and restated, supplemented or otherwise modified from time to time in accordance with the terms thereof.</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i/>
          <w:color w:val="000000"/>
          <w:sz w:val="20"/>
        </w:rPr>
        <w:t>Pledged Interests</w:t>
      </w:r>
      <w:r>
        <w:rPr>
          <w:color w:val="000000"/>
        </w:rPr>
        <w:t xml:space="preserve">” </w:t>
      </w:r>
      <w:r>
        <w:rPr>
          <w:rFonts w:ascii="Times New Roman;sans-serif" w:hAnsi="Times New Roman;sans-serif"/>
          <w:b w:val="false"/>
          <w:color w:val="000000"/>
          <w:sz w:val="20"/>
        </w:rPr>
        <w:t>has the meaning set forth in the Pledge Agreement.</w:t>
      </w:r>
    </w:p>
    <w:p>
      <w:pPr>
        <w:pStyle w:val="TextBody"/>
        <w:bidi w:val="0"/>
        <w:spacing w:lineRule="auto" w:line="240" w:before="0" w:after="240"/>
        <w:ind w:left="0" w:right="0" w:firstLine="1080"/>
        <w:jc w:val="both"/>
        <w:rPr/>
      </w:pPr>
      <w:r>
        <w:rPr>
          <w:rFonts w:ascii="Times New Roman;sans-serif" w:hAnsi="Times New Roman;sans-serif"/>
          <w:b w:val="false"/>
          <w:color w:val="000000"/>
          <w:sz w:val="20"/>
        </w:rPr>
        <w:t>2.</w:t>
      </w:r>
      <w:r>
        <w:rPr>
          <w:rFonts w:ascii="Times New Roman;sans-serif" w:hAnsi="Times New Roman;sans-serif"/>
          <w:b w:val="false"/>
          <w:color w:val="000000"/>
          <w:sz w:val="20"/>
        </w:rPr>
        <w:t xml:space="preserve">Relationship with Indenture. The terms and provisions contained in this Supplemental Indenture will constitute, and are hereby expressly made, a part of the Indenture, and the Issuers and the Trustee, by their execution and delivery of this Supplemental Indenture, expressly agree to such terms and provisions and to be bound </w:t>
      </w:r>
    </w:p>
    <w:p>
      <w:pPr>
        <w:pStyle w:val="TextBody"/>
        <w:bidi w:val="0"/>
        <w:spacing w:before="0" w:after="0"/>
        <w:jc w:val="both"/>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75260"/>
                <wp:effectExtent l="0" t="0" r="0" b="0"/>
                <wp:wrapNone/>
                <wp:docPr id="132" name="Frame1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thereby. The Indenture and this Supplemental Indenture shall be read, taken and construed as one and the same instrument. In the event that any provision of this Supplemental Indenture expressly limits, qualifies or conflicts with a provision of the Indenture, such provision of this Supplemental Indenture shall control.</w:t>
      </w:r>
    </w:p>
    <w:p>
      <w:pPr>
        <w:pStyle w:val="TextBody"/>
        <w:bidi w:val="0"/>
        <w:spacing w:lineRule="auto" w:line="240" w:before="0" w:after="240"/>
        <w:ind w:left="0" w:right="0" w:firstLine="1080"/>
        <w:jc w:val="both"/>
        <w:rPr/>
      </w:pPr>
      <w:r>
        <w:rPr>
          <w:rFonts w:ascii="Times New Roman;sans-serif" w:hAnsi="Times New Roman;sans-serif"/>
          <w:b w:val="false"/>
          <w:color w:val="000000"/>
          <w:sz w:val="20"/>
        </w:rPr>
        <w:t>3.</w:t>
      </w:r>
      <w:r>
        <w:rPr>
          <w:rFonts w:ascii="Times New Roman;sans-serif" w:hAnsi="Times New Roman;sans-serif"/>
          <w:b w:val="false"/>
          <w:color w:val="000000"/>
          <w:sz w:val="20"/>
        </w:rPr>
        <w:t>Effectiveness; Conditions Precedent. The Issuers represent and warrant that each of the conditions precedent to the amendment and supplement of the Indenture (including such conditions pursuant to Article 9 of the Indenture) have been satisfied in all respects. Pursuant to Section 9.01 of the Indenture, the Issuers have provided to the Trustee a Board Resolution authorizing the execution of this Supplemental Indenture, an Officer’s Certificate and an Opinion of Counsel and have requested that the Trustee join with the Issuers in the execution of this Supplemental Indenture. The Issuers and the Trustee are on this date executing this Supplemental Indenture, which will become effective and operative on the date hereof.</w:t>
      </w:r>
    </w:p>
    <w:p>
      <w:pPr>
        <w:pStyle w:val="TextBody"/>
        <w:bidi w:val="0"/>
        <w:spacing w:lineRule="auto" w:line="240" w:before="0" w:after="240"/>
        <w:ind w:left="0" w:right="0" w:firstLine="1080"/>
        <w:jc w:val="both"/>
        <w:rPr/>
      </w:pPr>
      <w:r>
        <w:rPr>
          <w:rFonts w:ascii="Times New Roman;sans-serif" w:hAnsi="Times New Roman;sans-serif"/>
          <w:b w:val="false"/>
          <w:color w:val="000000"/>
          <w:sz w:val="20"/>
        </w:rPr>
        <w:t>4.</w:t>
      </w:r>
      <w:r>
        <w:rPr>
          <w:rFonts w:ascii="Times New Roman;sans-serif" w:hAnsi="Times New Roman;sans-serif"/>
          <w:b w:val="false"/>
          <w:color w:val="000000"/>
          <w:sz w:val="20"/>
        </w:rPr>
        <w:t xml:space="preserve">Indenture Amendments. Pursuant to Section 9.01 of the Indenture, the Indenture and the Notes are hereby amended by adding the following Article 13: </w:t>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ARTICLE 13</w:t>
      </w:r>
    </w:p>
    <w:p>
      <w:pPr>
        <w:pStyle w:val="TextBody"/>
        <w:bidi w:val="0"/>
        <w:spacing w:lineRule="auto" w:line="240"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EQUITY PLEDGE</w:t>
      </w:r>
    </w:p>
    <w:p>
      <w:pPr>
        <w:pStyle w:val="TextBody"/>
        <w:bidi w:val="0"/>
        <w:spacing w:lineRule="auto" w:line="240" w:before="0" w:after="240"/>
        <w:ind w:left="0" w:right="0" w:hanging="720"/>
        <w:jc w:val="both"/>
        <w:rPr/>
      </w:pPr>
      <w:r>
        <w:rPr>
          <w:rFonts w:ascii="Times New Roman;sans-serif" w:hAnsi="Times New Roman;sans-serif"/>
          <w:b w:val="false"/>
          <w:color w:val="000000"/>
          <w:sz w:val="20"/>
        </w:rPr>
        <w:t>Section 13.01</w:t>
      </w:r>
      <w:r>
        <w:rPr>
          <w:rFonts w:ascii="Times New Roman;sans-serif" w:hAnsi="Times New Roman;sans-serif"/>
          <w:b w:val="false"/>
          <w:i/>
          <w:color w:val="000000"/>
          <w:sz w:val="20"/>
        </w:rPr>
        <w:t>Grant of Security Interest</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Obligations with respect to the Notes will be secured as provided in the Pledge Agreement. Each Holder of a Note, by its acceptance thereof, consents and agrees to the terms of the Pledge Agreement as the same may be in effect or may be amended from time to time in accordance with its terms and authorizes and directs the Trustee to perform its obligations and exercise its rights thereunder in accordance therewith. Whether or not expressly provided in the Pledge Agreement, in acting thereunder, the Trustee shall be entitled to all of the rights, privileges, immunities and indemnities set forth in this Indenture.</w:t>
      </w:r>
    </w:p>
    <w:p>
      <w:pPr>
        <w:pStyle w:val="TextBody"/>
        <w:bidi w:val="0"/>
        <w:spacing w:lineRule="auto" w:line="240" w:before="0" w:after="240"/>
        <w:ind w:left="0" w:right="0" w:hanging="720"/>
        <w:jc w:val="both"/>
        <w:rPr/>
      </w:pPr>
      <w:r>
        <w:rPr>
          <w:rFonts w:ascii="Times New Roman;sans-serif" w:hAnsi="Times New Roman;sans-serif"/>
          <w:b w:val="false"/>
          <w:color w:val="000000"/>
          <w:sz w:val="20"/>
        </w:rPr>
        <w:t>Section 13.02</w:t>
      </w:r>
      <w:r>
        <w:rPr>
          <w:rFonts w:ascii="Times New Roman;sans-serif" w:hAnsi="Times New Roman;sans-serif"/>
          <w:b w:val="false"/>
          <w:i/>
          <w:color w:val="000000"/>
          <w:sz w:val="20"/>
        </w:rPr>
        <w:t>Termination of Security Interest</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Pursuant to the Pledge Agreement, the security interest in the Pledged Interests shall automatically terminate with respect to the Notes (i) upon payment in full of the principal of, together with premium, if any, and accrued and unpaid interest on, the Notes and all other Obligations under this Indenture that are due and payable at or prior to the time such principal, premium, if any, and interest, are paid; (ii) upon Legal Defeasance or Covenant Defeasance pursuant to the provisions set forth in Article 8 hereof or discharge of this Indenture in accordance with the provisions set forth in Article 11 hereof;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 xml:space="preserve">that the funds deposited with the Trustee, in trust, for the benefit of the Holders as required by Articles 8 and 11 hereof shall not be released other than in accordance with such provisions; or (iii) at the option of VICI Properties OP LLC, six months following the termination of the MGM Tax Protection Agreement;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that, in the case of this clause (iii), the security interest in the Pledged Interests has been released or will be simultaneously released under the Credit Agreement and any other outstanding Capital Markets Indebtedness of the Company. Upon receipt of an Officer’s Certificate from the Company certifying the satisfaction of the foregoing conditions, the Trustee shall, at the sole expense of the Issuers, execute, deliver or acknowledge (with such notarizations as are required) any necessary or proper instruments of termination, satisfaction or release to evidence the termination of the security interest in the Pledged Interests permitted to be terminated pursuant to the Pledge Agreement. The Trustee shall not be liable for any such release undertaken in reliance upon any such Officer’s Certificate, and notwithstanding any term hereof or in the Pledge Agreement to the contrary, the Trustee shall not be under any obligation to release any such security interest, or execute and deliver any such instrument of termination, satisfaction or release, unless and until it receives such Officer’s Certificate.</w:t>
      </w:r>
    </w:p>
    <w:p>
      <w:pPr>
        <w:pStyle w:val="TextBody"/>
        <w:bidi w:val="0"/>
        <w:spacing w:lineRule="auto" w:line="240" w:before="0" w:after="240"/>
        <w:ind w:left="0" w:right="0" w:hanging="1440"/>
        <w:jc w:val="both"/>
        <w:rPr/>
      </w:pPr>
      <w:r>
        <w:rPr>
          <w:rFonts w:ascii="Times New Roman;sans-serif" w:hAnsi="Times New Roman;sans-serif"/>
          <w:b w:val="false"/>
          <w:color w:val="000000"/>
          <w:sz w:val="20"/>
        </w:rPr>
        <w:t>Section 13.03</w:t>
      </w:r>
      <w:r>
        <w:rPr>
          <w:rFonts w:ascii="Times New Roman;sans-serif" w:hAnsi="Times New Roman;sans-serif"/>
          <w:b w:val="false"/>
          <w:i/>
          <w:color w:val="000000"/>
          <w:sz w:val="20"/>
        </w:rPr>
        <w:t>Authorization of Actions to Be Taken by the Trustee Under the Pledge Agreement</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Subject to the provisions of Sections 7.01 and 7.02 hereof, the Trustee may, without the consent of the Holders, and at the Issuers’ sole expense, take all actions it deems necessary or appropriate in order to enforce any of the terms of the Pledge Agreement. The Trustee will have the power to institute and maintain such suits and proceedings as it may deem expedient to prevent any impairment of the security interest in the Pledged Interests by any acts that may be unlawful or in violation of this Indenture or the Pledge Agreement, and such suits and proceedings as the Trustee may deem expedient to preserve or protect its interests and the interests of the Holders of </w:t>
      </w:r>
    </w:p>
    <w:p>
      <w:pPr>
        <w:pStyle w:val="TextBody"/>
        <w:bidi w:val="0"/>
        <w:spacing w:before="0" w:after="0"/>
        <w:jc w:val="both"/>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75260"/>
                <wp:effectExtent l="0" t="0" r="0" b="0"/>
                <wp:wrapNone/>
                <wp:docPr id="133" name="Frame1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Notes in the Pledged Interests (including power to institute and maintain suits or proceedings to restrain the enforcement of or compliance with any legislative or other governmental enactment, rule or order that may be unconstitutional or otherwise invalid if the enforcement of, or compliance with, such enactment, rule or order would impair the security interest in the Pledged Interests or be prejudicial to the interests of the Holders or of the Trustee).</w:t>
      </w:r>
    </w:p>
    <w:p>
      <w:pPr>
        <w:pStyle w:val="TextBody"/>
        <w:bidi w:val="0"/>
        <w:spacing w:lineRule="auto" w:line="240" w:before="0" w:after="240"/>
        <w:ind w:left="0" w:right="0" w:hanging="1440"/>
        <w:jc w:val="both"/>
        <w:rPr/>
      </w:pPr>
      <w:r>
        <w:rPr>
          <w:rFonts w:ascii="Times New Roman;sans-serif" w:hAnsi="Times New Roman;sans-serif"/>
          <w:b w:val="false"/>
          <w:color w:val="000000"/>
          <w:sz w:val="20"/>
        </w:rPr>
        <w:t>Section 13.04</w:t>
      </w:r>
      <w:r>
        <w:rPr>
          <w:rFonts w:ascii="Times New Roman;sans-serif" w:hAnsi="Times New Roman;sans-serif"/>
          <w:b w:val="false"/>
          <w:i/>
          <w:color w:val="000000"/>
          <w:sz w:val="20"/>
        </w:rPr>
        <w:t xml:space="preserve">No Representations; Further Assurances. </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Neither the Trustee nor any of its officers, directors, employees, attorneys or agents makes any representations as to, and shall not be responsible or liable for the existence, genuineness, value, protection or condition of, any of the Pledged Interests or as to the security afforded or intended to be afforded thereby, hereby or by the Pledge Agreement, or for the legality, sufficiency, effectiveness, validity, perfection, priority or enforceability of the security interests in any of the Pledged Interests created or intended to be created by the Pledge Agreement, whether impaired by operation of law or by reason of any action or omission to act on its part hereunder or under the Pledge Agreement, for the validity or sufficiency of the Pledge Agreement or any agreement or assignment contained therein, for the validity of the title of the pledgor under the Pledge Agreement to the Pledged Interests, for insuring the Pledged Interests or for the payment of taxes, charges, assessments or liens upon the Pledged Interests or otherwise as to the maintenance of the Pledged Interests or any defect or deficiency as to any such matters. The Trustee hereby disclaims any representation or warranty to the present and future Holders of Notes concerning the perfection of the security interests granted under the Pledge Agreement or the value of any of the Pledged Interests.</w:t>
      </w:r>
    </w:p>
    <w:p>
      <w:pPr>
        <w:pStyle w:val="TextBody"/>
        <w:bidi w:val="0"/>
        <w:spacing w:lineRule="auto" w:line="240" w:before="0" w:after="240"/>
        <w:ind w:left="0" w:right="0" w:hanging="1440"/>
        <w:jc w:val="both"/>
        <w:rPr/>
      </w:pPr>
      <w:r>
        <w:rPr>
          <w:rFonts w:ascii="Times New Roman;sans-serif" w:hAnsi="Times New Roman;sans-serif"/>
          <w:b w:val="false"/>
          <w:color w:val="000000"/>
          <w:sz w:val="20"/>
        </w:rPr>
        <w:t>Section 13.05</w:t>
      </w:r>
      <w:r>
        <w:rPr>
          <w:rFonts w:ascii="Times New Roman;sans-serif" w:hAnsi="Times New Roman;sans-serif"/>
          <w:b w:val="false"/>
          <w:i/>
          <w:color w:val="000000"/>
          <w:sz w:val="20"/>
        </w:rPr>
        <w:t>Certain Rights of Trustee under the Pledge Agreement</w:t>
      </w:r>
      <w:r>
        <w:rPr>
          <w:rFonts w:ascii="Times New Roman;sans-serif" w:hAnsi="Times New Roman;sans-serif"/>
          <w:b w:val="false"/>
          <w:color w:val="000000"/>
          <w:sz w:val="20"/>
        </w:rPr>
        <w:t>.</w:t>
      </w:r>
    </w:p>
    <w:p>
      <w:pPr>
        <w:pStyle w:val="TextBody"/>
        <w:bidi w:val="0"/>
        <w:spacing w:lineRule="auto" w:line="240" w:before="0" w:after="240"/>
        <w:ind w:left="0" w:right="0" w:firstLine="540"/>
        <w:jc w:val="both"/>
        <w:rPr/>
      </w:pPr>
      <w:r>
        <w:rPr>
          <w:rFonts w:ascii="Times New Roman;sans-serif" w:hAnsi="Times New Roman;sans-serif"/>
          <w:b w:val="false"/>
          <w:color w:val="000000"/>
          <w:sz w:val="20"/>
        </w:rPr>
        <w:t xml:space="preserve">(a)The Trustee shall have all the rights (including indemnification rights), powers, benefits, privileges, protections, indemnities and immunities provided in the Pledge Agreement and, additionally, shall have all the rights (including indemnification rights), benefits, privileges, protections, indemnities and immunities in its dealings under the Pledge Agreement as are provided to the Trustee under this Indenture and under applicable law, all of which are incorporated herein </w:t>
      </w:r>
      <w:r>
        <w:rPr>
          <w:rFonts w:ascii="Times New Roman;sans-serif" w:hAnsi="Times New Roman;sans-serif"/>
          <w:b w:val="false"/>
          <w:i/>
          <w:color w:val="000000"/>
          <w:sz w:val="20"/>
        </w:rPr>
        <w:t>mutatis mutandis</w:t>
      </w:r>
      <w:r>
        <w:rPr>
          <w:rFonts w:ascii="Times New Roman;sans-serif" w:hAnsi="Times New Roman;sans-serif"/>
          <w:b w:val="false"/>
          <w:color w:val="000000"/>
          <w:sz w:val="20"/>
        </w:rPr>
        <w:t>.</w:t>
      </w:r>
    </w:p>
    <w:p>
      <w:pPr>
        <w:pStyle w:val="TextBody"/>
        <w:bidi w:val="0"/>
        <w:spacing w:lineRule="auto" w:line="240" w:before="0" w:after="24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(b)Except as required or permitted by the Pledge Agreement, the Holders, by accepting a Note, acknowledge that the Trustee will not be obligated under the Pledge Agreement:</w:t>
      </w:r>
    </w:p>
    <w:p>
      <w:pPr>
        <w:pStyle w:val="TextBody"/>
        <w:bidi w:val="0"/>
        <w:spacing w:lineRule="auto" w:line="240" w:before="0" w:after="240"/>
        <w:ind w:left="0" w:right="0" w:firstLine="1080"/>
        <w:jc w:val="left"/>
        <w:rPr>
          <w:rFonts w:ascii="Times New Roman;sans-serif" w:hAnsi="Times New Roman;sans-serif"/>
          <w:b w:val="false"/>
          <w:color w:val="000000"/>
          <w:sz w:val="20"/>
        </w:rPr>
      </w:pPr>
      <w:r>
        <w:rPr>
          <w:rFonts w:ascii="Times New Roman;sans-serif" w:hAnsi="Times New Roman;sans-serif"/>
          <w:b w:val="false"/>
          <w:color w:val="000000"/>
          <w:sz w:val="20"/>
        </w:rPr>
        <w:t>(i)to act upon directions purported to be delivered to it by any Person, except in accordance with the Pledge Agreement and this Indenture;</w:t>
      </w:r>
    </w:p>
    <w:p>
      <w:pPr>
        <w:pStyle w:val="TextBody"/>
        <w:bidi w:val="0"/>
        <w:spacing w:lineRule="auto" w:line="240" w:before="0" w:after="240"/>
        <w:ind w:left="0" w:right="0" w:firstLine="1080"/>
        <w:jc w:val="left"/>
        <w:rPr>
          <w:rFonts w:ascii="Times New Roman;sans-serif" w:hAnsi="Times New Roman;sans-serif"/>
          <w:b w:val="false"/>
          <w:color w:val="000000"/>
          <w:sz w:val="20"/>
        </w:rPr>
      </w:pPr>
      <w:r>
        <w:rPr>
          <w:rFonts w:ascii="Times New Roman;sans-serif" w:hAnsi="Times New Roman;sans-serif"/>
          <w:b w:val="false"/>
          <w:color w:val="000000"/>
          <w:sz w:val="20"/>
        </w:rPr>
        <w:t>(ii)to foreclose upon or otherwise enforce any security interest granted pursuant to the Pledge Agreement; or</w:t>
      </w:r>
    </w:p>
    <w:p>
      <w:pPr>
        <w:pStyle w:val="TextBody"/>
        <w:bidi w:val="0"/>
        <w:spacing w:lineRule="auto" w:line="240" w:before="0" w:after="240"/>
        <w:ind w:left="0" w:right="0" w:firstLine="1080"/>
        <w:jc w:val="left"/>
        <w:rPr>
          <w:rFonts w:ascii="Times New Roman;sans-serif" w:hAnsi="Times New Roman;sans-serif"/>
          <w:b w:val="false"/>
          <w:color w:val="000000"/>
          <w:sz w:val="20"/>
        </w:rPr>
      </w:pPr>
      <w:r>
        <w:rPr>
          <w:rFonts w:ascii="Times New Roman;sans-serif" w:hAnsi="Times New Roman;sans-serif"/>
          <w:b w:val="false"/>
          <w:color w:val="000000"/>
          <w:sz w:val="20"/>
        </w:rPr>
        <w:t>(iii)to take any other action whatsoever with regard to the Pledge Agreement (including any security interests granted thereunder) or the Pledged Interests.</w:t>
      </w:r>
    </w:p>
    <w:p>
      <w:pPr>
        <w:pStyle w:val="TextBody"/>
        <w:bidi w:val="0"/>
        <w:spacing w:lineRule="auto" w:line="240" w:before="0" w:after="24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(c)For the avoidance of doubt, the Trustee will have no discretion under this Indenture or the Pledge Agreement and will not be required to make or give any determination, consent, approval, request or direction without the written direction of the Holders of a majority in aggregate principal amount of the then outstanding Notes.</w:t>
      </w:r>
    </w:p>
    <w:p>
      <w:pPr>
        <w:pStyle w:val="TextBody"/>
        <w:bidi w:val="0"/>
        <w:spacing w:lineRule="auto" w:line="240" w:before="0" w:after="240"/>
        <w:ind w:left="0" w:right="0" w:firstLine="540"/>
        <w:jc w:val="both"/>
        <w:rPr/>
      </w:pPr>
      <w:r>
        <w:rPr>
          <w:rFonts w:ascii="Times New Roman;sans-serif" w:hAnsi="Times New Roman;sans-serif"/>
          <w:b w:val="false"/>
          <w:color w:val="000000"/>
          <w:sz w:val="20"/>
        </w:rPr>
        <w:t>(d)Other than in connection with a release of the Pledged Interests in accordance with Section 13.02, in each case that the Trustee may or is requested or required hereunder or under the Pledge Agreement to take any action (an “</w:t>
      </w:r>
      <w:r>
        <w:rPr>
          <w:rFonts w:ascii="Times New Roman;sans-serif" w:hAnsi="Times New Roman;sans-serif"/>
          <w:b w:val="false"/>
          <w:i/>
          <w:color w:val="000000"/>
          <w:sz w:val="20"/>
        </w:rPr>
        <w:t>Action</w:t>
      </w:r>
      <w:r>
        <w:rPr>
          <w:color w:val="000000"/>
        </w:rPr>
        <w:t>”</w:t>
      </w:r>
      <w:r>
        <w:rPr>
          <w:rFonts w:ascii="Times New Roman;sans-serif" w:hAnsi="Times New Roman;sans-serif"/>
          <w:b w:val="false"/>
          <w:color w:val="000000"/>
          <w:sz w:val="20"/>
        </w:rPr>
        <w:t xml:space="preserve">), including without limitation to make any determination, to give consents, to exercise rights, powers or remedies, to release or sell the Pledged Interests or otherwise to act hereunder or under the Pledge Agreement, the Trustee may seek direction from the Holders of a majority in aggregate principal amount of the then outstanding Notes. The Trustee will not be liable with respect to any Action taken or omitted to be taken by it in accordance with the direction from the Holders of a majority in aggregate principal amount of the then outstanding Notes. If the Trustee requests direction from the Holders of a majority in aggregate principal amount of the then outstanding Notes with respect to any Action, the Trustee will be entitled to refrain from such Action until it has received direction from the Holders of a majority in aggregate principal amount of the then outstanding Notes, and if </w:t>
      </w:r>
    </w:p>
    <w:p>
      <w:pPr>
        <w:pStyle w:val="TextBody"/>
        <w:bidi w:val="0"/>
        <w:spacing w:before="0" w:after="0"/>
        <w:jc w:val="both"/>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75260"/>
                <wp:effectExtent l="0" t="0" r="0" b="0"/>
                <wp:wrapNone/>
                <wp:docPr id="134" name="Frame1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requested, indemnity satisfactory to it, and the Trustee will not incur liability to any Person by reason of so refraining.</w:t>
      </w:r>
    </w:p>
    <w:p>
      <w:pPr>
        <w:pStyle w:val="TextBody"/>
        <w:bidi w:val="0"/>
        <w:spacing w:lineRule="auto" w:line="240" w:before="0" w:after="240"/>
        <w:ind w:left="0" w:right="0" w:firstLine="1080"/>
        <w:jc w:val="both"/>
        <w:rPr/>
      </w:pPr>
      <w:r>
        <w:rPr>
          <w:rFonts w:ascii="Times New Roman;sans-serif" w:hAnsi="Times New Roman;sans-serif"/>
          <w:b w:val="false"/>
          <w:color w:val="000000"/>
          <w:sz w:val="20"/>
        </w:rPr>
        <w:t>5.</w:t>
      </w:r>
      <w:r>
        <w:rPr>
          <w:rFonts w:ascii="Times New Roman;sans-serif" w:hAnsi="Times New Roman;sans-serif"/>
          <w:b w:val="false"/>
          <w:color w:val="000000"/>
          <w:sz w:val="20"/>
        </w:rPr>
        <w:t>Notes. The Notes, with effect on and from the date hereof, shall be deemed supplemented, modified and amended in such manner as necessary to make the terms of the Notes consistent with the terms of the Indenture, as amended by this Supplemental Indenture.</w:t>
      </w:r>
    </w:p>
    <w:p>
      <w:pPr>
        <w:pStyle w:val="TextBody"/>
        <w:bidi w:val="0"/>
        <w:spacing w:lineRule="auto" w:line="240" w:before="0" w:after="240"/>
        <w:ind w:left="0" w:right="0" w:firstLine="1080"/>
        <w:jc w:val="both"/>
        <w:rPr/>
      </w:pPr>
      <w:r>
        <w:rPr>
          <w:rFonts w:ascii="Times New Roman;sans-serif" w:hAnsi="Times New Roman;sans-serif"/>
          <w:b w:val="false"/>
          <w:color w:val="000000"/>
          <w:sz w:val="20"/>
        </w:rPr>
        <w:t>6.</w:t>
      </w:r>
      <w:r>
        <w:rPr>
          <w:rFonts w:ascii="Times New Roman;sans-serif" w:hAnsi="Times New Roman;sans-serif"/>
          <w:b w:val="false"/>
          <w:color w:val="000000"/>
          <w:sz w:val="20"/>
        </w:rPr>
        <w:t>Ratification of the Indenture; Supplemental Indenture Part of the Indenture. Except as expressly amended hereby, the Indenture is in all respects ratified and confirmed and all the terms, conditions and provisions thereof shall remain in full force and effect. This Supplemental Indenture shall form a part of the Indenture for all purposes, and every Holder heretofore or hereafter authenticated and delivered shall be bound hereby. Upon and after the execution of this Supplemental Indenture, each reference to the Indenture or the Notes in the Indenture or the Notes shall mean and be a reference to the Indenture or the Notes as modified hereby after giving effect to this Supplemental Indenture. The rights, protections and indemnities provided to the Trustee under the Indenture shall apply to any action (or inaction) of the Trustee in connection herewith, including in connection with the execution and delivery of this Supplemental Indenture.</w:t>
      </w:r>
    </w:p>
    <w:p>
      <w:pPr>
        <w:pStyle w:val="TextBody"/>
        <w:bidi w:val="0"/>
        <w:spacing w:lineRule="auto" w:line="240" w:before="0" w:after="240"/>
        <w:ind w:left="0" w:right="0" w:firstLine="1080"/>
        <w:jc w:val="both"/>
        <w:rPr/>
      </w:pPr>
      <w:r>
        <w:rPr>
          <w:rFonts w:ascii="Times New Roman;sans-serif" w:hAnsi="Times New Roman;sans-serif"/>
          <w:b w:val="false"/>
          <w:color w:val="000000"/>
          <w:sz w:val="16"/>
        </w:rPr>
        <w:t>7.</w:t>
      </w:r>
      <w:r>
        <w:rPr>
          <w:rFonts w:ascii="Times New Roman;sans-serif" w:hAnsi="Times New Roman;sans-serif"/>
          <w:b w:val="false"/>
          <w:color w:val="000000"/>
          <w:sz w:val="20"/>
        </w:rPr>
        <w:t>No Recourse Against Others. No recourse for the payment of the principal of, premium, if any, or interest on any of the Notes or for any claim based thereon or otherwise in respect thereof, and no recourse under or upon any obligation, covenant or agreement of the Issuers in the Indenture, or in any of the Notes or because of the creation of any Indebtedness represented thereby, shall be had against any past, present or future incorporator, partner, stockholder, officer, director, employee or controlling person in their capacity as such of the Issuers or of any successor Person thereof. Each Holder, by accepting the Notes, waives and releases all such liability. The waiver and release are part of the consideration for issuance of the Notes. The waiver may not be effective to waive liabilities under the federal securities laws.</w:t>
      </w:r>
    </w:p>
    <w:p>
      <w:pPr>
        <w:pStyle w:val="TextBody"/>
        <w:bidi w:val="0"/>
        <w:spacing w:lineRule="auto" w:line="240" w:before="0" w:after="240"/>
        <w:ind w:left="0" w:right="0" w:firstLine="1080"/>
        <w:jc w:val="both"/>
        <w:rPr/>
      </w:pPr>
      <w:r>
        <w:rPr>
          <w:rFonts w:ascii="Times New Roman;sans-serif" w:hAnsi="Times New Roman;sans-serif"/>
          <w:b w:val="false"/>
          <w:color w:val="000000"/>
          <w:sz w:val="20"/>
        </w:rPr>
        <w:t>8.</w:t>
      </w:r>
      <w:r>
        <w:rPr>
          <w:rFonts w:ascii="Times New Roman;sans-serif" w:hAnsi="Times New Roman;sans-serif"/>
          <w:b w:val="false"/>
          <w:color w:val="000000"/>
          <w:sz w:val="20"/>
        </w:rPr>
        <w:t>New York Law to Govern. THE INTERNAL LAW OF THE STATE OF NEW YORK SHALL GOVERN AND BE USED TO CONSTRUE THIS SUPPLEMENTAL INDENTURE WITHOUT GIVING EFFECT TO APPLICABLE PRINCIPLES OF CONFLICTS OF LAW TO THE EXTENT THAT THE APPLICATION OF THE LAWS OF ANOTHER JURISDICTION WOULD BE REQUIRED THEREBY.</w:t>
      </w:r>
    </w:p>
    <w:p>
      <w:pPr>
        <w:pStyle w:val="TextBody"/>
        <w:bidi w:val="0"/>
        <w:spacing w:lineRule="auto" w:line="240" w:before="0" w:after="240"/>
        <w:ind w:left="0" w:right="0" w:firstLine="1080"/>
        <w:jc w:val="both"/>
        <w:rPr/>
      </w:pPr>
      <w:r>
        <w:rPr>
          <w:rFonts w:ascii="Times New Roman;sans-serif" w:hAnsi="Times New Roman;sans-serif"/>
          <w:b w:val="false"/>
          <w:color w:val="000000"/>
          <w:sz w:val="20"/>
        </w:rPr>
        <w:t>9.</w:t>
      </w:r>
      <w:r>
        <w:rPr>
          <w:rFonts w:ascii="Times New Roman;sans-serif" w:hAnsi="Times New Roman;sans-serif"/>
          <w:b w:val="false"/>
          <w:color w:val="000000"/>
          <w:sz w:val="20"/>
        </w:rPr>
        <w:t>Counterparts. The parties may sign any number of copies of this Supplemental Indenture. Each signed copy shall be an original, but all of them together represent the same agreement.</w:t>
      </w:r>
      <w:r>
        <w:rPr>
          <w:color w:val="000000"/>
        </w:rPr>
        <w:t xml:space="preserve"> </w:t>
      </w:r>
      <w:r>
        <w:rPr>
          <w:rFonts w:ascii="Times New Roman;sans-serif" w:hAnsi="Times New Roman;sans-serif"/>
          <w:b w:val="false"/>
          <w:color w:val="000000"/>
          <w:sz w:val="20"/>
        </w:rPr>
        <w:t>Delivery of an executed signature page of this Supplemental Indenture by facsimile or any other rapid transmission device designed to produce a written record of the communication transmitted shall be as effective as delivery of a manually executed counterpart thereof. The words “execution,” “executed,” “signed,” signature” and words of like import in this Supplemental Indenture or in any other certificate, agreement or document related to this Supplemental Indenture shall include images of manually executed signatures transmitted by facsimile, email or other electronic format (including, without limitation, “pdf,” “tif” or “jpg”) and other electronic signatures (including, without limitation, DocuSign and AdobeSign). The use of electronic signatures and electronic records (including, without limitation, any contract or other record created, generated, sent, communicated, received, or stored by electronic means) shall be of the same legal effect, validity and enforceability as a manually executed signature or use of a paper-based record-keeping system to the fullest extent permitted by applicable law, including the Federal Electronic Signatures in Global and National Commerce Act, the New York State Electronic Signatures and Records Act and any other applicable law, including, without limitation, any state law based on the Uniform Electronic Transactions Act or the Uniform Commercial Code.</w:t>
      </w:r>
    </w:p>
    <w:p>
      <w:pPr>
        <w:pStyle w:val="TextBody"/>
        <w:bidi w:val="0"/>
        <w:spacing w:lineRule="auto" w:line="240" w:before="0" w:after="240"/>
        <w:ind w:left="0" w:right="0" w:firstLine="1080"/>
        <w:jc w:val="both"/>
        <w:rPr/>
      </w:pPr>
      <w:r>
        <w:rPr>
          <w:rFonts w:ascii="Times New Roman;sans-serif" w:hAnsi="Times New Roman;sans-serif"/>
          <w:b w:val="false"/>
          <w:color w:val="000000"/>
          <w:sz w:val="20"/>
        </w:rPr>
        <w:t>10.</w:t>
      </w:r>
      <w:r>
        <w:rPr>
          <w:rFonts w:ascii="Times New Roman;sans-serif" w:hAnsi="Times New Roman;sans-serif"/>
          <w:b w:val="false"/>
          <w:color w:val="000000"/>
          <w:sz w:val="20"/>
        </w:rPr>
        <w:t>Effect of Headings. The Section headings herein are for convenience only and shall not affect the construction hereof.</w:t>
      </w:r>
    </w:p>
    <w:p>
      <w:pPr>
        <w:pStyle w:val="TextBody"/>
        <w:bidi w:val="0"/>
        <w:spacing w:lineRule="auto" w:line="240" w:before="0" w:after="240"/>
        <w:ind w:left="0" w:right="0" w:firstLine="1080"/>
        <w:jc w:val="both"/>
        <w:rPr/>
      </w:pPr>
      <w:r>
        <w:rPr>
          <w:rFonts w:ascii="Times New Roman;sans-serif" w:hAnsi="Times New Roman;sans-serif"/>
          <w:b w:val="false"/>
          <w:color w:val="000000"/>
          <w:sz w:val="20"/>
        </w:rPr>
        <w:t>11.</w:t>
      </w:r>
      <w:r>
        <w:rPr>
          <w:rFonts w:ascii="Times New Roman;sans-serif" w:hAnsi="Times New Roman;sans-serif"/>
          <w:b w:val="false"/>
          <w:color w:val="000000"/>
          <w:sz w:val="20"/>
        </w:rPr>
        <w:t>The Trustee. The Trustee shall not be responsible in any manner whatsoever for or in respect of the validity or sufficiency of this Supplemental Indenture or for or in respect of the recitals contained herein, all of which recitals are made solely by the Issuers.</w:t>
      </w:r>
    </w:p>
    <w:p>
      <w:pPr>
        <w:pStyle w:val="TextBody"/>
        <w:bidi w:val="0"/>
        <w:spacing w:lineRule="auto" w:line="240" w:before="0" w:after="240"/>
        <w:jc w:val="center"/>
        <w:rPr/>
      </w:pPr>
      <w:r>
        <w:rPr>
          <w:rFonts w:ascii="Times New Roman;sans-serif" w:hAnsi="Times New Roman;sans-serif"/>
          <w:b w:val="false"/>
          <w:color w:val="000000"/>
          <w:sz w:val="20"/>
        </w:rPr>
        <w:t>[</w:t>
      </w:r>
      <w:r>
        <w:rPr>
          <w:rFonts w:ascii="Times New Roman;sans-serif" w:hAnsi="Times New Roman;sans-serif"/>
          <w:b w:val="false"/>
          <w:i/>
          <w:color w:val="000000"/>
          <w:sz w:val="20"/>
        </w:rPr>
        <w:t>Signature pages follow</w:t>
      </w:r>
      <w:r>
        <w:rPr>
          <w:rFonts w:ascii="Times New Roman;sans-serif" w:hAnsi="Times New Roman;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75260"/>
                <wp:effectExtent l="0" t="0" r="0" b="0"/>
                <wp:wrapNone/>
                <wp:docPr id="135" name="Frame1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WITNESS WHEREOF, the parties hereto have caused this Supplemental Indenture to be duly executed and attested, all as of the date first above written.</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Dated: April 29, 2022</w:t>
      </w:r>
    </w:p>
    <w:p>
      <w:pPr>
        <w:pStyle w:val="TextBody"/>
        <w:bidi w:val="0"/>
        <w:spacing w:before="0" w:after="240"/>
        <w:ind w:left="0" w:right="0" w:firstLine="720"/>
        <w:jc w:val="both"/>
        <w:rPr/>
      </w:pPr>
      <w:r>
        <w:rPr/>
      </w:r>
    </w:p>
    <w:p>
      <w:pPr>
        <w:pStyle w:val="TextBody"/>
        <w:bidi w:val="0"/>
        <w:spacing w:lineRule="auto" w:line="240" w:before="0" w:after="24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VICI PROPERTIES L.P.</w:t>
      </w:r>
    </w:p>
    <w:p>
      <w:pPr>
        <w:pStyle w:val="TextBody"/>
        <w:bidi w:val="0"/>
        <w:spacing w:lineRule="auto" w:line="240"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BY: VICI PROPERTIES GP LLC, its general partner</w:t>
      </w:r>
    </w:p>
    <w:p>
      <w:pPr>
        <w:pStyle w:val="TextBody"/>
        <w:bidi w:val="0"/>
        <w:spacing w:before="0" w:after="240"/>
        <w:jc w:val="left"/>
        <w:rPr/>
      </w:pPr>
      <w:r>
        <w:rPr/>
      </w:r>
    </w:p>
    <w:p>
      <w:pPr>
        <w:pStyle w:val="TextBody"/>
        <w:bidi w:val="0"/>
        <w:spacing w:lineRule="auto" w:line="240" w:before="0" w:after="0"/>
        <w:ind w:left="0" w:right="0" w:firstLine="720"/>
        <w:jc w:val="left"/>
        <w:rPr/>
      </w:pPr>
      <w:r>
        <w:rPr>
          <w:rFonts w:ascii="Times New Roman;sans-serif" w:hAnsi="Times New Roman;sans-serif"/>
          <w:b w:val="false"/>
          <w:color w:val="000000"/>
          <w:sz w:val="20"/>
        </w:rPr>
        <w:t>By:</w:t>
      </w:r>
      <w:r>
        <w:rPr>
          <w:color w:val="000000"/>
          <w:u w:val="single"/>
        </w:rPr>
        <w:t xml:space="preserve"> </w:t>
      </w:r>
      <w:r>
        <w:rPr>
          <w:rFonts w:ascii="Times New Roman;sans-serif" w:hAnsi="Times New Roman;sans-serif"/>
          <w:b w:val="false"/>
          <w:color w:val="000000"/>
          <w:sz w:val="20"/>
          <w:u w:val="single"/>
        </w:rPr>
        <w:t>/s/ David A. Kieske    </w:t>
      </w:r>
    </w:p>
    <w:p>
      <w:pPr>
        <w:pStyle w:val="TextBody"/>
        <w:bidi w:val="0"/>
        <w:spacing w:lineRule="auto" w:line="240"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Name: David A. Kieske</w:t>
      </w:r>
    </w:p>
    <w:p>
      <w:pPr>
        <w:pStyle w:val="TextBody"/>
        <w:bidi w:val="0"/>
        <w:spacing w:lineRule="auto" w:line="240"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Title: Treasurer</w:t>
      </w:r>
    </w:p>
    <w:p>
      <w:pPr>
        <w:pStyle w:val="TextBody"/>
        <w:bidi w:val="0"/>
        <w:spacing w:before="0" w:after="240"/>
        <w:ind w:left="0" w:right="0" w:firstLine="360"/>
        <w:jc w:val="both"/>
        <w:rPr/>
      </w:pPr>
      <w:r>
        <w:rPr/>
      </w:r>
    </w:p>
    <w:p>
      <w:pPr>
        <w:pStyle w:val="TextBody"/>
        <w:bidi w:val="0"/>
        <w:spacing w:lineRule="auto" w:line="240" w:before="0" w:after="24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VICI NOTE CO. INC.</w:t>
      </w:r>
    </w:p>
    <w:p>
      <w:pPr>
        <w:pStyle w:val="TextBody"/>
        <w:bidi w:val="0"/>
        <w:spacing w:before="0" w:after="240"/>
        <w:ind w:left="0" w:right="0" w:firstLine="720"/>
        <w:jc w:val="left"/>
        <w:rPr/>
      </w:pPr>
      <w:r>
        <w:rPr/>
      </w:r>
    </w:p>
    <w:p>
      <w:pPr>
        <w:pStyle w:val="TextBody"/>
        <w:bidi w:val="0"/>
        <w:spacing w:lineRule="auto" w:line="240" w:before="0" w:after="0"/>
        <w:ind w:left="0" w:right="0" w:firstLine="4"/>
        <w:jc w:val="left"/>
        <w:rPr/>
      </w:pPr>
      <w:r>
        <w:rPr>
          <w:rFonts w:ascii="Times New Roman;sans-serif" w:hAnsi="Times New Roman;sans-serif"/>
          <w:b w:val="false"/>
          <w:color w:val="000000"/>
          <w:sz w:val="20"/>
        </w:rPr>
        <w:t>By:</w:t>
      </w:r>
      <w:r>
        <w:rPr>
          <w:color w:val="000000"/>
          <w:u w:val="single"/>
        </w:rPr>
        <w:t xml:space="preserve"> </w:t>
      </w:r>
      <w:r>
        <w:rPr>
          <w:rFonts w:ascii="Times New Roman;sans-serif" w:hAnsi="Times New Roman;sans-serif"/>
          <w:b w:val="false"/>
          <w:color w:val="000000"/>
          <w:sz w:val="20"/>
          <w:u w:val="single"/>
        </w:rPr>
        <w:t>/s/ David A. Kieske    </w:t>
      </w:r>
    </w:p>
    <w:p>
      <w:pPr>
        <w:pStyle w:val="TextBody"/>
        <w:bidi w:val="0"/>
        <w:spacing w:lineRule="auto" w:line="240" w:before="0" w:after="0"/>
        <w:ind w:left="0" w:right="0" w:firstLine="4"/>
        <w:jc w:val="left"/>
        <w:rPr>
          <w:rFonts w:ascii="Times New Roman;sans-serif" w:hAnsi="Times New Roman;sans-serif"/>
          <w:b w:val="false"/>
          <w:color w:val="000000"/>
          <w:sz w:val="20"/>
        </w:rPr>
      </w:pPr>
      <w:r>
        <w:rPr>
          <w:rFonts w:ascii="Times New Roman;sans-serif" w:hAnsi="Times New Roman;sans-serif"/>
          <w:b w:val="false"/>
          <w:color w:val="000000"/>
          <w:sz w:val="20"/>
        </w:rPr>
        <w:t>Name: David A. Kieske</w:t>
      </w:r>
    </w:p>
    <w:p>
      <w:pPr>
        <w:pStyle w:val="TextBody"/>
        <w:bidi w:val="0"/>
        <w:spacing w:lineRule="auto" w:line="240"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Title: Treasurer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53670"/>
                <wp:effectExtent l="0" t="0" r="0" b="0"/>
                <wp:wrapNone/>
                <wp:docPr id="136" name="Frame134"/>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307" w:before="0" w:after="0"/>
                              <w:jc w:val="center"/>
                              <w:rPr/>
                            </w:pPr>
                            <w:r>
                              <w:rPr>
                                <w:rFonts w:ascii="Times New Roman;sans-serif" w:hAnsi="Times New Roman;sans-serif"/>
                                <w:b w:val="false"/>
                                <w:color w:val="000000"/>
                                <w:sz w:val="21"/>
                              </w:rPr>
                              <w:t>[</w:t>
                            </w:r>
                            <w:r>
                              <w:rPr>
                                <w:rFonts w:ascii="Times New Roman;sans-serif" w:hAnsi="Times New Roman;sans-serif"/>
                                <w:b w:val="false"/>
                                <w:i/>
                                <w:color w:val="000000"/>
                                <w:sz w:val="21"/>
                              </w:rPr>
                              <w:t>Signature Page to Supplemental Indenture – VICI 4.625% Notes due 2029 - VICI</w:t>
                            </w:r>
                            <w:r>
                              <w:rPr>
                                <w:rFonts w:ascii="Times New Roman;sans-serif" w:hAnsi="Times New Roman;sans-serif"/>
                                <w:b w:val="false"/>
                                <w:color w:val="000000"/>
                                <w:sz w:val="21"/>
                              </w:rPr>
                              <w: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7" w:before="0" w:after="0"/>
                        <w:jc w:val="center"/>
                        <w:rPr/>
                      </w:pPr>
                      <w:r>
                        <w:rPr>
                          <w:rFonts w:ascii="Times New Roman;sans-serif" w:hAnsi="Times New Roman;sans-serif"/>
                          <w:b w:val="false"/>
                          <w:color w:val="000000"/>
                          <w:sz w:val="21"/>
                        </w:rPr>
                        <w:t>[</w:t>
                      </w:r>
                      <w:r>
                        <w:rPr>
                          <w:rFonts w:ascii="Times New Roman;sans-serif" w:hAnsi="Times New Roman;sans-serif"/>
                          <w:b w:val="false"/>
                          <w:i/>
                          <w:color w:val="000000"/>
                          <w:sz w:val="21"/>
                        </w:rPr>
                        <w:t>Signature Page to Supplemental Indenture – VICI 4.625% Notes due 2029 - VICI</w:t>
                      </w:r>
                      <w:r>
                        <w:rPr>
                          <w:rFonts w:ascii="Times New Roman;sans-serif" w:hAnsi="Times New Roman;sans-serif"/>
                          <w:b w:val="false"/>
                          <w:color w:val="000000"/>
                          <w:sz w:val="21"/>
                        </w:rPr>
                        <w:t>]</w:t>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color w:val="000000"/>
          <w:sz w:val="20"/>
        </w:rPr>
        <w:t>UMB BANK, NATIONAL ASSOCIATION</w:t>
      </w:r>
      <w:r>
        <w:rPr>
          <w:rFonts w:ascii="Times New Roman;sans-serif" w:hAnsi="Times New Roman;sans-serif"/>
          <w:b w:val="false"/>
          <w:color w:val="000000"/>
          <w:sz w:val="20"/>
        </w:rPr>
        <w:t>, as Trustee</w:t>
      </w:r>
    </w:p>
    <w:p>
      <w:pPr>
        <w:pStyle w:val="TextBody"/>
        <w:bidi w:val="0"/>
        <w:spacing w:before="0" w:after="240"/>
        <w:jc w:val="both"/>
        <w:rPr/>
      </w:pPr>
      <w:r>
        <w:rPr/>
      </w:r>
    </w:p>
    <w:p>
      <w:pPr>
        <w:pStyle w:val="TextBody"/>
        <w:bidi w:val="0"/>
        <w:spacing w:lineRule="auto" w:line="240" w:before="0" w:after="0"/>
        <w:jc w:val="both"/>
        <w:rPr/>
      </w:pPr>
      <w:r>
        <w:rPr>
          <w:rFonts w:ascii="Times New Roman;sans-serif" w:hAnsi="Times New Roman;sans-serif"/>
          <w:b w:val="false"/>
          <w:color w:val="000000"/>
          <w:sz w:val="20"/>
        </w:rPr>
        <w:t xml:space="preserve">By: </w:t>
      </w:r>
      <w:r>
        <w:rPr>
          <w:color w:val="000000"/>
          <w:u w:val="single"/>
        </w:rPr>
        <w:t>    </w:t>
      </w:r>
      <w:r>
        <w:rPr>
          <w:rFonts w:ascii="Times New Roman;sans-serif" w:hAnsi="Times New Roman;sans-serif"/>
          <w:b w:val="false"/>
          <w:color w:val="000000"/>
          <w:sz w:val="20"/>
          <w:u w:val="single"/>
        </w:rPr>
        <w:t>/s/ Gavin Wilkinson        </w:t>
      </w:r>
      <w:r>
        <w:rPr>
          <w:color w:val="000000"/>
        </w:rPr>
        <w:t>    </w:t>
      </w:r>
    </w:p>
    <w:p>
      <w:pPr>
        <w:pStyle w:val="TextBody"/>
        <w:bidi w:val="0"/>
        <w:spacing w:lineRule="auto" w:line="240"/>
        <w:ind w:left="0" w:right="0" w:firstLine="90"/>
        <w:jc w:val="both"/>
        <w:rPr>
          <w:rFonts w:ascii="Times New Roman;sans-serif" w:hAnsi="Times New Roman;sans-serif"/>
          <w:b w:val="false"/>
          <w:color w:val="000000"/>
          <w:sz w:val="20"/>
        </w:rPr>
      </w:pPr>
      <w:r>
        <w:rPr>
          <w:rFonts w:ascii="Times New Roman;sans-serif" w:hAnsi="Times New Roman;sans-serif"/>
          <w:b w:val="false"/>
          <w:color w:val="000000"/>
          <w:sz w:val="20"/>
        </w:rPr>
        <w:t>Authorized Signatory</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04" w:before="0" w:after="0"/>
        <w:jc w:val="right"/>
        <w:rPr>
          <w:rFonts w:ascii="Times New Roman;sans-serif" w:hAnsi="Times New Roman;sans-serif"/>
          <w:b/>
          <w:color w:val="000000"/>
          <w:sz w:val="20"/>
        </w:rPr>
      </w:pPr>
      <w:r>
        <w:rPr>
          <w:rFonts w:ascii="Times New Roman;sans-serif" w:hAnsi="Times New Roman;sans-serif"/>
          <w:b/>
          <w:color w:val="000000"/>
          <w:sz w:val="20"/>
        </w:rPr>
        <w:t>Exhibit 4.6</w:t>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53670"/>
                <wp:effectExtent l="0" t="0" r="0" b="0"/>
                <wp:wrapNone/>
                <wp:docPr id="137" name="Frame135"/>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307" w:before="0" w:after="0"/>
                              <w:jc w:val="center"/>
                              <w:rPr/>
                            </w:pPr>
                            <w:r>
                              <w:rPr>
                                <w:rFonts w:ascii="Times New Roman;sans-serif" w:hAnsi="Times New Roman;sans-serif"/>
                                <w:b w:val="false"/>
                                <w:color w:val="000000"/>
                                <w:sz w:val="21"/>
                              </w:rPr>
                              <w:t>[</w:t>
                            </w:r>
                            <w:r>
                              <w:rPr>
                                <w:rFonts w:ascii="Times New Roman;sans-serif" w:hAnsi="Times New Roman;sans-serif"/>
                                <w:b w:val="false"/>
                                <w:i/>
                                <w:color w:val="000000"/>
                                <w:sz w:val="21"/>
                              </w:rPr>
                              <w:t>Signature Page to Supplemental Indenture – VICI 4.625% Notes due 2029 - Trustee</w:t>
                            </w:r>
                            <w:r>
                              <w:rPr>
                                <w:rFonts w:ascii="Times New Roman;sans-serif" w:hAnsi="Times New Roman;sans-serif"/>
                                <w:b w:val="false"/>
                                <w:color w:val="000000"/>
                                <w:sz w:val="21"/>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435.35pt;mso-position-horizontal:left;mso-position-horizontal-relative:text">
                <v:textbox>
                  <w:txbxContent>
                    <w:p>
                      <w:pPr>
                        <w:pStyle w:val="TextBody"/>
                        <w:bidi w:val="0"/>
                        <w:spacing w:lineRule="auto" w:line="307" w:before="0" w:after="0"/>
                        <w:jc w:val="center"/>
                        <w:rPr/>
                      </w:pPr>
                      <w:r>
                        <w:rPr>
                          <w:rFonts w:ascii="Times New Roman;sans-serif" w:hAnsi="Times New Roman;sans-serif"/>
                          <w:b w:val="false"/>
                          <w:color w:val="000000"/>
                          <w:sz w:val="21"/>
                        </w:rPr>
                        <w:t>[</w:t>
                      </w:r>
                      <w:r>
                        <w:rPr>
                          <w:rFonts w:ascii="Times New Roman;sans-serif" w:hAnsi="Times New Roman;sans-serif"/>
                          <w:b w:val="false"/>
                          <w:i/>
                          <w:color w:val="000000"/>
                          <w:sz w:val="21"/>
                        </w:rPr>
                        <w:t>Signature Page to Supplemental Indenture – VICI 4.625% Notes due 2029 - Trustee</w:t>
                      </w:r>
                      <w:r>
                        <w:rPr>
                          <w:rFonts w:ascii="Times New Roman;sans-serif" w:hAnsi="Times New Roman;sans-serif"/>
                          <w:b w:val="false"/>
                          <w:color w:val="000000"/>
                          <w:sz w:val="21"/>
                        </w:rPr>
                        <w:t>]</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SUPPLEMENTAL INDENTURE (this “</w:t>
      </w:r>
      <w:r>
        <w:rPr>
          <w:rFonts w:ascii="Times New Roman;sans-serif" w:hAnsi="Times New Roman;sans-serif"/>
          <w:b w:val="false"/>
          <w:i/>
          <w:color w:val="000000"/>
          <w:sz w:val="20"/>
        </w:rPr>
        <w:t>Supplemental Indenture</w:t>
      </w:r>
      <w:r>
        <w:rPr>
          <w:color w:val="000000"/>
        </w:rPr>
        <w:t>”</w:t>
      </w:r>
      <w:r>
        <w:rPr>
          <w:rFonts w:ascii="Times New Roman;sans-serif" w:hAnsi="Times New Roman;sans-serif"/>
          <w:b w:val="false"/>
          <w:color w:val="000000"/>
          <w:sz w:val="20"/>
        </w:rPr>
        <w:t>), dated as of April 29, 2022, among VICI Properties L.P., a Delaware limited liability partnership (the “</w:t>
      </w:r>
      <w:r>
        <w:rPr>
          <w:rFonts w:ascii="Times New Roman;sans-serif" w:hAnsi="Times New Roman;sans-serif"/>
          <w:b w:val="false"/>
          <w:i/>
          <w:color w:val="000000"/>
          <w:sz w:val="20"/>
        </w:rPr>
        <w:t>Company</w:t>
      </w:r>
      <w:r>
        <w:rPr>
          <w:color w:val="000000"/>
        </w:rPr>
        <w:t>”</w:t>
      </w:r>
      <w:r>
        <w:rPr>
          <w:rFonts w:ascii="Times New Roman;sans-serif" w:hAnsi="Times New Roman;sans-serif"/>
          <w:b w:val="false"/>
          <w:color w:val="000000"/>
          <w:sz w:val="20"/>
        </w:rPr>
        <w:t>), VICI Note Co. Inc., a Delaware corporation (the “</w:t>
      </w:r>
      <w:r>
        <w:rPr>
          <w:rFonts w:ascii="Times New Roman;sans-serif" w:hAnsi="Times New Roman;sans-serif"/>
          <w:b w:val="false"/>
          <w:i/>
          <w:color w:val="000000"/>
          <w:sz w:val="20"/>
        </w:rPr>
        <w:t>Co-Issuer</w:t>
      </w:r>
      <w:r>
        <w:rPr>
          <w:color w:val="000000"/>
        </w:rPr>
        <w:t xml:space="preserve">” </w:t>
      </w:r>
      <w:r>
        <w:rPr>
          <w:rFonts w:ascii="Times New Roman;sans-serif" w:hAnsi="Times New Roman;sans-serif"/>
          <w:b w:val="false"/>
          <w:color w:val="000000"/>
          <w:sz w:val="20"/>
        </w:rPr>
        <w:t>and, together with the Company, the “</w:t>
      </w:r>
      <w:r>
        <w:rPr>
          <w:rFonts w:ascii="Times New Roman;sans-serif" w:hAnsi="Times New Roman;sans-serif"/>
          <w:b w:val="false"/>
          <w:i/>
          <w:color w:val="000000"/>
          <w:sz w:val="20"/>
        </w:rPr>
        <w:t>Issuers</w:t>
      </w:r>
      <w:r>
        <w:rPr>
          <w:color w:val="000000"/>
        </w:rPr>
        <w:t>”</w:t>
      </w:r>
      <w:r>
        <w:rPr>
          <w:rFonts w:ascii="Times New Roman;sans-serif" w:hAnsi="Times New Roman;sans-serif"/>
          <w:b w:val="false"/>
          <w:color w:val="000000"/>
          <w:sz w:val="20"/>
        </w:rPr>
        <w:t>), and UMB Bank, National Association, as Trustee under the Indenture referred to below (the “</w:t>
      </w:r>
      <w:r>
        <w:rPr>
          <w:rFonts w:ascii="Times New Roman;sans-serif" w:hAnsi="Times New Roman;sans-serif"/>
          <w:b w:val="false"/>
          <w:i/>
          <w:color w:val="000000"/>
          <w:sz w:val="20"/>
        </w:rPr>
        <w:t>Trustee</w:t>
      </w:r>
      <w:r>
        <w:rPr>
          <w:color w:val="000000"/>
        </w:rPr>
        <w:t>”</w:t>
      </w:r>
      <w:r>
        <w:rPr>
          <w:rFonts w:ascii="Times New Roman;sans-serif" w:hAnsi="Times New Roman;sans-serif"/>
          <w:b w:val="false"/>
          <w:color w:val="000000"/>
          <w:sz w:val="20"/>
        </w:rPr>
        <w:t>).</w:t>
      </w:r>
    </w:p>
    <w:p>
      <w:pPr>
        <w:pStyle w:val="TextBody"/>
        <w:bidi w:val="0"/>
        <w:spacing w:lineRule="auto" w:line="240"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W I T N E S S E T H</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WHEREAS, the Issuers have heretofore executed and delivered to the Trustee an indenture (the “</w:t>
      </w:r>
      <w:r>
        <w:rPr>
          <w:rFonts w:ascii="Times New Roman;sans-serif" w:hAnsi="Times New Roman;sans-serif"/>
          <w:b w:val="false"/>
          <w:i/>
          <w:color w:val="000000"/>
          <w:sz w:val="20"/>
        </w:rPr>
        <w:t>Indenture</w:t>
      </w:r>
      <w:r>
        <w:rPr>
          <w:color w:val="000000"/>
        </w:rPr>
        <w:t>”</w:t>
      </w:r>
      <w:r>
        <w:rPr>
          <w:rFonts w:ascii="Times New Roman;sans-serif" w:hAnsi="Times New Roman;sans-serif"/>
          <w:b w:val="false"/>
          <w:color w:val="000000"/>
          <w:sz w:val="20"/>
        </w:rPr>
        <w:t>), dated as of February 5, 2020, as amended from time to time, providing for the issuance of 3.500% Senior Notes due 2025 (the “</w:t>
      </w:r>
      <w:r>
        <w:rPr>
          <w:rFonts w:ascii="Times New Roman;sans-serif" w:hAnsi="Times New Roman;sans-serif"/>
          <w:b w:val="false"/>
          <w:i/>
          <w:color w:val="000000"/>
          <w:sz w:val="20"/>
        </w:rPr>
        <w:t>Notes</w:t>
      </w:r>
      <w:r>
        <w:rPr>
          <w:color w:val="000000"/>
        </w:rPr>
        <w:t>”</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WHEREAS, Section 9.01 of the Indenture provides that the Issuers and the Trustee may amend or supplement the Indenture without the consent of any Holder to, among other things, (i) secure the Notes and (ii) make any change that would provide any additional rights or benefits to the Holders of the Notes or that does not adversely affect the legal rights under the Indenture of any Holder; </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WHEREAS, the Issuers desire to amend the Indenture as set forth in Section 4 hereof to secure all Obligations with respect to the Notes with a pledge of all of the limited partnership interests of the Company directly owned by VICI Properties OP LLC; and</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WHEREAS, all things necessary to make this Supplemental Indenture a valid and binding agreement of the parties, in accordance with its terms, and a valid amendment of, and supplement to, the Indenture have been done, and the execution and delivery of this Supplemental Indenture have been duly authorized in all respects and, pursuant to Section 9.01 of the Indenture, the Issuers and the Trustee are authorized to execute and deliver this Supplemental Indenture.</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NOW, THEREFORE, in consideration of the foregoing and for other good and valuable consideration, the receipt of which is hereby acknowledged, the parties hereto mutually covenant and agree for the equal and ratable benefit of the Holders of the Notes as follows:</w:t>
      </w:r>
    </w:p>
    <w:p>
      <w:pPr>
        <w:pStyle w:val="TextBody"/>
        <w:bidi w:val="0"/>
        <w:spacing w:lineRule="auto" w:line="240" w:before="0" w:after="240"/>
        <w:ind w:left="0" w:right="0" w:firstLine="1080"/>
        <w:jc w:val="both"/>
        <w:rPr/>
      </w:pPr>
      <w:r>
        <w:rPr>
          <w:rFonts w:ascii="Times New Roman;sans-serif" w:hAnsi="Times New Roman;sans-serif"/>
          <w:b w:val="false"/>
          <w:color w:val="000000"/>
          <w:sz w:val="20"/>
        </w:rPr>
        <w:t>1.</w:t>
      </w:r>
      <w:r>
        <w:rPr>
          <w:rFonts w:ascii="Times New Roman;sans-serif" w:hAnsi="Times New Roman;sans-serif"/>
          <w:b w:val="false"/>
          <w:color w:val="000000"/>
          <w:sz w:val="20"/>
        </w:rPr>
        <w:t xml:space="preserve">Capitalized Terms. </w:t>
      </w:r>
    </w:p>
    <w:p>
      <w:pPr>
        <w:pStyle w:val="TextBody"/>
        <w:bidi w:val="0"/>
        <w:spacing w:lineRule="auto" w:line="240"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(a)Capitalized terms used herein without definition shall have the meanings assigned to them in the Indenture.</w:t>
      </w:r>
    </w:p>
    <w:p>
      <w:pPr>
        <w:pStyle w:val="TextBody"/>
        <w:bidi w:val="0"/>
        <w:spacing w:lineRule="auto" w:line="240"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(b)For all purposes of this Supplemental Indenture, capitalized terms used herein shall have the respective meanings specified below:</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i/>
          <w:color w:val="000000"/>
          <w:sz w:val="20"/>
        </w:rPr>
        <w:t>Credit Agreement</w:t>
      </w:r>
      <w:r>
        <w:rPr>
          <w:color w:val="000000"/>
        </w:rPr>
        <w:t xml:space="preserve">” </w:t>
      </w:r>
      <w:r>
        <w:rPr>
          <w:rFonts w:ascii="Times New Roman;sans-serif" w:hAnsi="Times New Roman;sans-serif"/>
          <w:b w:val="false"/>
          <w:color w:val="000000"/>
          <w:sz w:val="20"/>
        </w:rPr>
        <w:t>means that certain Credit Agreement, dated as of February 8, 2022, among the Company, the lenders from time to time party thereto, and JPMorgan Chase Bank, N.A., as administrative agent, including any related notes, guarantees and collateral documents, as the same may be amended, amended and restated, supplemented or otherwise modified from time to time.</w:t>
      </w:r>
    </w:p>
    <w:p>
      <w:pPr>
        <w:pStyle w:val="TextBody"/>
        <w:bidi w:val="0"/>
        <w:spacing w:lineRule="auto" w:line="240" w:before="0" w:after="240"/>
        <w:ind w:left="0" w:right="0" w:firstLine="720"/>
        <w:jc w:val="both"/>
        <w:rPr/>
      </w:pPr>
      <w:r>
        <w:rPr>
          <w:color w:val="000000"/>
          <w:shd w:fill="FFFFFF" w:val="clear"/>
        </w:rPr>
        <w:t>“</w:t>
      </w:r>
      <w:r>
        <w:rPr>
          <w:rFonts w:ascii="Times New Roman;sans-serif" w:hAnsi="Times New Roman;sans-serif"/>
          <w:b w:val="false"/>
          <w:i/>
          <w:color w:val="000000"/>
          <w:sz w:val="20"/>
          <w:shd w:fill="FFFFFF" w:val="clear"/>
        </w:rPr>
        <w:t>MGM Tax Protection Agreement</w:t>
      </w:r>
      <w:r>
        <w:rPr>
          <w:color w:val="000000"/>
          <w:shd w:fill="FFFFFF" w:val="clear"/>
        </w:rPr>
        <w:t xml:space="preserve">” </w:t>
      </w:r>
      <w:r>
        <w:rPr>
          <w:rFonts w:ascii="Times New Roman;sans-serif" w:hAnsi="Times New Roman;sans-serif"/>
          <w:b w:val="false"/>
          <w:color w:val="000000"/>
          <w:sz w:val="20"/>
          <w:shd w:fill="FFFFFF" w:val="clear"/>
        </w:rPr>
        <w:t>means that certain tax matters agreement, dated as of April 29, 2022, among VICI Properties OP LLC, VICI Properties Inc. and the Initial Protected Parties (as defined therein).</w:t>
      </w:r>
    </w:p>
    <w:p>
      <w:pPr>
        <w:pStyle w:val="TextBody"/>
        <w:bidi w:val="0"/>
        <w:spacing w:lineRule="auto" w:line="240" w:before="0" w:after="240"/>
        <w:ind w:left="0" w:right="0" w:firstLine="720"/>
        <w:jc w:val="both"/>
        <w:rPr/>
      </w:pPr>
      <w:r>
        <w:rPr>
          <w:color w:val="000000"/>
          <w:shd w:fill="FFFFFF" w:val="clear"/>
        </w:rPr>
        <w:t>“</w:t>
      </w:r>
      <w:r>
        <w:rPr>
          <w:rFonts w:ascii="Times New Roman;sans-serif" w:hAnsi="Times New Roman;sans-serif"/>
          <w:b w:val="false"/>
          <w:i/>
          <w:color w:val="000000"/>
          <w:sz w:val="20"/>
          <w:shd w:fill="FFFFFF" w:val="clear"/>
        </w:rPr>
        <w:t>Notes Secured Parties</w:t>
      </w:r>
      <w:r>
        <w:rPr>
          <w:color w:val="000000"/>
          <w:shd w:fill="FFFFFF" w:val="clear"/>
        </w:rPr>
        <w:t xml:space="preserve">” </w:t>
      </w:r>
      <w:r>
        <w:rPr>
          <w:rFonts w:ascii="Times New Roman;sans-serif" w:hAnsi="Times New Roman;sans-serif"/>
          <w:b w:val="false"/>
          <w:color w:val="000000"/>
          <w:sz w:val="20"/>
          <w:shd w:fill="FFFFFF" w:val="clear"/>
        </w:rPr>
        <w:t>has the meaning set forth in the Pledge Agreement.</w:t>
      </w:r>
    </w:p>
    <w:p>
      <w:pPr>
        <w:pStyle w:val="TextBody"/>
        <w:bidi w:val="0"/>
        <w:spacing w:lineRule="auto" w:line="240" w:before="0" w:after="240"/>
        <w:ind w:left="0" w:right="0" w:firstLine="720"/>
        <w:jc w:val="both"/>
        <w:rPr/>
      </w:pPr>
      <w:r>
        <w:rPr>
          <w:color w:val="000000"/>
          <w:shd w:fill="FFFFFF" w:val="clear"/>
        </w:rPr>
        <w:t>“</w:t>
      </w:r>
      <w:r>
        <w:rPr>
          <w:rFonts w:ascii="Times New Roman;sans-serif" w:hAnsi="Times New Roman;sans-serif"/>
          <w:b w:val="false"/>
          <w:i/>
          <w:color w:val="000000"/>
          <w:sz w:val="20"/>
          <w:shd w:fill="FFFFFF" w:val="clear"/>
        </w:rPr>
        <w:t>Pledge Agreement</w:t>
      </w:r>
      <w:r>
        <w:rPr>
          <w:color w:val="000000"/>
          <w:shd w:fill="FFFFFF" w:val="clear"/>
        </w:rPr>
        <w:t xml:space="preserve">” </w:t>
      </w:r>
      <w:r>
        <w:rPr>
          <w:rFonts w:ascii="Times New Roman;sans-serif" w:hAnsi="Times New Roman;sans-serif"/>
          <w:b w:val="false"/>
          <w:color w:val="000000"/>
          <w:sz w:val="20"/>
          <w:shd w:fill="FFFFFF" w:val="clear"/>
        </w:rPr>
        <w:t>means that certain Pledge Agreement, dated as of April 29, 2022, by VICI Properties OP LLC, a Delaware limited liability company,</w:t>
      </w:r>
      <w:r>
        <w:rPr>
          <w:color w:val="000000"/>
          <w:shd w:fill="FFFFFF" w:val="clear"/>
        </w:rPr>
        <w:t xml:space="preserve"> </w:t>
      </w:r>
      <w:r>
        <w:rPr>
          <w:rFonts w:ascii="Times New Roman;sans-serif" w:hAnsi="Times New Roman;sans-serif"/>
          <w:b w:val="false"/>
          <w:color w:val="000000"/>
          <w:sz w:val="20"/>
          <w:shd w:fill="FFFFFF" w:val="clear"/>
        </w:rPr>
        <w:t>as pledgor, in favor of the Trustee, for itself and the Notes Secured Parties, as the same may be amended, amended and restated, supplemented or otherwise modified from time to time in accordance with the terms thereof.</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i/>
          <w:color w:val="000000"/>
          <w:sz w:val="20"/>
        </w:rPr>
        <w:t>Pledged Interests</w:t>
      </w:r>
      <w:r>
        <w:rPr>
          <w:color w:val="000000"/>
        </w:rPr>
        <w:t xml:space="preserve">” </w:t>
      </w:r>
      <w:r>
        <w:rPr>
          <w:rFonts w:ascii="Times New Roman;sans-serif" w:hAnsi="Times New Roman;sans-serif"/>
          <w:b w:val="false"/>
          <w:color w:val="000000"/>
          <w:sz w:val="20"/>
        </w:rPr>
        <w:t>has the meaning set forth in the Pledge Agreement.</w:t>
      </w:r>
    </w:p>
    <w:p>
      <w:pPr>
        <w:pStyle w:val="TextBody"/>
        <w:bidi w:val="0"/>
        <w:spacing w:lineRule="auto" w:line="240" w:before="0" w:after="240"/>
        <w:ind w:left="0" w:right="0" w:firstLine="1080"/>
        <w:jc w:val="both"/>
        <w:rPr/>
      </w:pPr>
      <w:r>
        <w:rPr>
          <w:rFonts w:ascii="Times New Roman;sans-serif" w:hAnsi="Times New Roman;sans-serif"/>
          <w:b w:val="false"/>
          <w:color w:val="000000"/>
          <w:sz w:val="20"/>
        </w:rPr>
        <w:t>2.</w:t>
      </w:r>
      <w:r>
        <w:rPr>
          <w:rFonts w:ascii="Times New Roman;sans-serif" w:hAnsi="Times New Roman;sans-serif"/>
          <w:b w:val="false"/>
          <w:color w:val="000000"/>
          <w:sz w:val="20"/>
        </w:rPr>
        <w:t xml:space="preserve">Relationship with Indenture. The terms and provisions contained in this Supplemental Indenture will constitute, and are hereby expressly made, a part of the Indenture, and the Issuers and the Trustee, by their execution and delivery of this Supplemental Indenture, expressly agree to such terms and provisions and to be bound </w:t>
      </w:r>
    </w:p>
    <w:p>
      <w:pPr>
        <w:pStyle w:val="TextBody"/>
        <w:bidi w:val="0"/>
        <w:spacing w:before="0" w:after="0"/>
        <w:jc w:val="righ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75260"/>
                <wp:effectExtent l="0" t="0" r="0" b="0"/>
                <wp:wrapNone/>
                <wp:docPr id="138" name="Frame1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thereby. The Indenture and this Supplemental Indenture shall be read, taken and construed as one and the same instrument. In the event that any provision of this Supplemental Indenture expressly limits, qualifies or conflicts with a provision of the Indenture, such provision of this Supplemental Indenture shall control.</w:t>
      </w:r>
    </w:p>
    <w:p>
      <w:pPr>
        <w:pStyle w:val="TextBody"/>
        <w:bidi w:val="0"/>
        <w:spacing w:lineRule="auto" w:line="240" w:before="0" w:after="240"/>
        <w:ind w:left="0" w:right="0" w:firstLine="1080"/>
        <w:jc w:val="both"/>
        <w:rPr/>
      </w:pPr>
      <w:r>
        <w:rPr>
          <w:rFonts w:ascii="Times New Roman;sans-serif" w:hAnsi="Times New Roman;sans-serif"/>
          <w:b w:val="false"/>
          <w:color w:val="000000"/>
          <w:sz w:val="20"/>
        </w:rPr>
        <w:t>3.</w:t>
      </w:r>
      <w:r>
        <w:rPr>
          <w:rFonts w:ascii="Times New Roman;sans-serif" w:hAnsi="Times New Roman;sans-serif"/>
          <w:b w:val="false"/>
          <w:color w:val="000000"/>
          <w:sz w:val="20"/>
        </w:rPr>
        <w:t>Effectiveness; Conditions Precedent. The Issuers represent and warrant that each of the conditions precedent to the amendment and supplement of the Indenture (including such conditions pursuant to Article 9 of the Indenture) have been satisfied in all respects. Pursuant to Section 9.01 of the Indenture, the Issuers have provided to the Trustee a Board Resolution authorizing the execution of this Supplemental Indenture, an Officer’s Certificate and an Opinion of Counsel and have requested that the Trustee join with the Issuers in the execution of this Supplemental Indenture. The Issuers and the Trustee are on this date executing this Supplemental Indenture, which will become effective and operative on the date hereof.</w:t>
      </w:r>
    </w:p>
    <w:p>
      <w:pPr>
        <w:pStyle w:val="TextBody"/>
        <w:bidi w:val="0"/>
        <w:spacing w:lineRule="auto" w:line="240" w:before="0" w:after="240"/>
        <w:ind w:left="0" w:right="0" w:firstLine="1080"/>
        <w:jc w:val="both"/>
        <w:rPr/>
      </w:pPr>
      <w:r>
        <w:rPr>
          <w:rFonts w:ascii="Times New Roman;sans-serif" w:hAnsi="Times New Roman;sans-serif"/>
          <w:b w:val="false"/>
          <w:color w:val="000000"/>
          <w:sz w:val="20"/>
        </w:rPr>
        <w:t>4.</w:t>
      </w:r>
      <w:r>
        <w:rPr>
          <w:rFonts w:ascii="Times New Roman;sans-serif" w:hAnsi="Times New Roman;sans-serif"/>
          <w:b w:val="false"/>
          <w:color w:val="000000"/>
          <w:sz w:val="20"/>
        </w:rPr>
        <w:t xml:space="preserve">Indenture Amendments. Pursuant to Section 9.01 of the Indenture, the Indenture and the Notes are hereby amended by adding the following Article 13: </w:t>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ARTICLE 13</w:t>
      </w:r>
    </w:p>
    <w:p>
      <w:pPr>
        <w:pStyle w:val="TextBody"/>
        <w:bidi w:val="0"/>
        <w:spacing w:lineRule="auto" w:line="240"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EQUITY PLEDGE</w:t>
      </w:r>
    </w:p>
    <w:p>
      <w:pPr>
        <w:pStyle w:val="TextBody"/>
        <w:bidi w:val="0"/>
        <w:spacing w:lineRule="auto" w:line="240" w:before="0" w:after="240"/>
        <w:ind w:left="0" w:right="0" w:hanging="720"/>
        <w:jc w:val="both"/>
        <w:rPr/>
      </w:pPr>
      <w:r>
        <w:rPr>
          <w:rFonts w:ascii="Times New Roman;sans-serif" w:hAnsi="Times New Roman;sans-serif"/>
          <w:b w:val="false"/>
          <w:color w:val="000000"/>
          <w:sz w:val="20"/>
        </w:rPr>
        <w:t>Section 13.01</w:t>
      </w:r>
      <w:r>
        <w:rPr>
          <w:rFonts w:ascii="Times New Roman;sans-serif" w:hAnsi="Times New Roman;sans-serif"/>
          <w:b w:val="false"/>
          <w:i/>
          <w:color w:val="000000"/>
          <w:sz w:val="20"/>
        </w:rPr>
        <w:t>Grant of Security Interest</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Obligations with respect to the Notes will be secured as provided in the Pledge Agreement. Each Holder of a Note, by its acceptance thereof, consents and agrees to the terms of the Pledge Agreement as the same may be in effect or may be amended from time to time in accordance with its terms and authorizes and directs the Trustee to perform its obligations and exercise its rights thereunder in accordance therewith. Whether or not expressly provided in the Pledge Agreement, in acting thereunder, the Trustee shall be entitled to all of the rights, privileges, immunities and indemnities set forth in this Indenture.</w:t>
      </w:r>
    </w:p>
    <w:p>
      <w:pPr>
        <w:pStyle w:val="TextBody"/>
        <w:bidi w:val="0"/>
        <w:spacing w:lineRule="auto" w:line="240" w:before="0" w:after="240"/>
        <w:ind w:left="0" w:right="0" w:hanging="720"/>
        <w:jc w:val="both"/>
        <w:rPr/>
      </w:pPr>
      <w:r>
        <w:rPr>
          <w:rFonts w:ascii="Times New Roman;sans-serif" w:hAnsi="Times New Roman;sans-serif"/>
          <w:b w:val="false"/>
          <w:color w:val="000000"/>
          <w:sz w:val="20"/>
        </w:rPr>
        <w:t>Section 13.02</w:t>
      </w:r>
      <w:r>
        <w:rPr>
          <w:rFonts w:ascii="Times New Roman;sans-serif" w:hAnsi="Times New Roman;sans-serif"/>
          <w:b w:val="false"/>
          <w:i/>
          <w:color w:val="000000"/>
          <w:sz w:val="20"/>
        </w:rPr>
        <w:t>Termination of Security Interest</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Pursuant to the Pledge Agreement, the security interest in the Pledged Interests shall automatically terminate with respect to the Notes (i) upon payment in full of the principal of, together with premium, if any, and accrued and unpaid interest on, the Notes and all other Obligations under this Indenture that are due and payable at or prior to the time such principal, premium, if any, and interest, are paid; (ii) upon Legal Defeasance or Covenant Defeasance pursuant to the provisions set forth in Article 8 hereof or discharge of this Indenture in accordance with the provisions set forth in Article 11 hereof;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 xml:space="preserve">that the funds deposited with the Trustee, in trust, for the benefit of the Holders as required by Articles 8 and 11 hereof shall not be released other than in accordance with such provisions; or (iii) at the option of VICI Properties OP LLC, six months following the termination of the MGM Tax Protection Agreement;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that, in the case of this clause (iii), the security interest in the Pledged Interests has been released or will be simultaneously released under the Credit Agreement and any other outstanding Capital Markets Indebtedness of the Company. Upon receipt of an Officer’s Certificate from the Company certifying the satisfaction of the foregoing conditions, the Trustee shall, at the sole expense of the Issuers, execute, deliver or acknowledge (with such notarizations as are required) any necessary or proper instruments of termination, satisfaction or release to evidence the termination of the security interest in the Pledged Interests permitted to be terminated pursuant to the Pledge Agreement. The Trustee shall not be liable for any such release undertaken in reliance upon any such Officer’s Certificate, and notwithstanding any term hereof or in the Pledge Agreement to the contrary, the Trustee shall not be under any obligation to release any such security interest, or execute and deliver any such instrument of termination, satisfaction or release, unless and until it receives such Officer’s Certificate.</w:t>
      </w:r>
    </w:p>
    <w:p>
      <w:pPr>
        <w:pStyle w:val="TextBody"/>
        <w:bidi w:val="0"/>
        <w:spacing w:lineRule="auto" w:line="240" w:before="0" w:after="240"/>
        <w:ind w:left="0" w:right="0" w:hanging="1440"/>
        <w:jc w:val="both"/>
        <w:rPr/>
      </w:pPr>
      <w:r>
        <w:rPr>
          <w:rFonts w:ascii="Times New Roman;sans-serif" w:hAnsi="Times New Roman;sans-serif"/>
          <w:b w:val="false"/>
          <w:color w:val="000000"/>
          <w:sz w:val="20"/>
        </w:rPr>
        <w:t>Section 13.03</w:t>
      </w:r>
      <w:r>
        <w:rPr>
          <w:rFonts w:ascii="Times New Roman;sans-serif" w:hAnsi="Times New Roman;sans-serif"/>
          <w:b w:val="false"/>
          <w:i/>
          <w:color w:val="000000"/>
          <w:sz w:val="20"/>
        </w:rPr>
        <w:t>Authorization of Actions to Be Taken by the Trustee Under the Pledge Agreement</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Subject to the provisions of Sections 7.01 and 7.02 hereof, the Trustee may, without the consent of the Holders, and at the Issuers’ sole expense, take all actions it deems necessary or appropriate in order to enforce any of the terms of the Pledge Agreement. The Trustee will have the power to institute and maintain such suits and proceedings as it may deem expedient to prevent any impairment of the security interest in the Pledged Interests by any acts that may be unlawful or in violation of this Indenture or the Pledge Agreement, and such suits and proceedings as the Trustee may deem expedient to preserve or protect its interests and the interests of the Holders of </w:t>
      </w:r>
    </w:p>
    <w:p>
      <w:pPr>
        <w:pStyle w:val="TextBody"/>
        <w:bidi w:val="0"/>
        <w:spacing w:before="0" w:after="0"/>
        <w:jc w:val="righ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75260"/>
                <wp:effectExtent l="0" t="0" r="0" b="0"/>
                <wp:wrapNone/>
                <wp:docPr id="139" name="Frame1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Notes in the Pledged Interests (including power to institute and maintain suits or proceedings to restrain the enforcement of or compliance with any legislative or other governmental enactment, rule or order that may be unconstitutional or otherwise invalid if the enforcement of, or compliance with, such enactment, rule or order would impair the security interest in the Pledged Interests or be prejudicial to the interests of the Holders or of the Trustee).</w:t>
      </w:r>
    </w:p>
    <w:p>
      <w:pPr>
        <w:pStyle w:val="TextBody"/>
        <w:bidi w:val="0"/>
        <w:spacing w:lineRule="auto" w:line="240" w:before="0" w:after="240"/>
        <w:ind w:left="0" w:right="0" w:hanging="1440"/>
        <w:jc w:val="both"/>
        <w:rPr/>
      </w:pPr>
      <w:r>
        <w:rPr>
          <w:rFonts w:ascii="Times New Roman;sans-serif" w:hAnsi="Times New Roman;sans-serif"/>
          <w:b w:val="false"/>
          <w:color w:val="000000"/>
          <w:sz w:val="20"/>
        </w:rPr>
        <w:t>Section 13.04</w:t>
      </w:r>
      <w:r>
        <w:rPr>
          <w:rFonts w:ascii="Times New Roman;sans-serif" w:hAnsi="Times New Roman;sans-serif"/>
          <w:b w:val="false"/>
          <w:i/>
          <w:color w:val="000000"/>
          <w:sz w:val="20"/>
        </w:rPr>
        <w:t xml:space="preserve">No Representations; Further Assurances. </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Neither the Trustee nor any of its officers, directors, employees, attorneys or agents makes any representations as to, and shall not be responsible or liable for the existence, genuineness, value, protection or condition of, any of the Pledged Interests or as to the security afforded or intended to be afforded thereby, hereby or by the Pledge Agreement, or for the legality, sufficiency, effectiveness, validity, perfection, priority or enforceability of the security interests in any of the Pledged Interests created or intended to be created by the Pledge Agreement, whether impaired by operation of law or by reason of any action or omission to act on its part hereunder or under the Pledge Agreement, for the validity or sufficiency of the Pledge Agreement or any agreement or assignment contained therein, for the validity of the title of the pledgor under the Pledge Agreement to the Pledged Interests, for insuring the Pledged Interests or for the payment of taxes, charges, assessments or liens upon the Pledged Interests or otherwise as to the maintenance of the Pledged Interests or any defect or deficiency as to any such matters. The Trustee hereby disclaims any representation or warranty to the present and future Holders of Notes concerning the perfection of the security interests granted under the Pledge Agreement or the value of any of the Pledged Interests.</w:t>
      </w:r>
    </w:p>
    <w:p>
      <w:pPr>
        <w:pStyle w:val="TextBody"/>
        <w:bidi w:val="0"/>
        <w:spacing w:lineRule="auto" w:line="240" w:before="0" w:after="240"/>
        <w:ind w:left="0" w:right="0" w:hanging="1440"/>
        <w:jc w:val="both"/>
        <w:rPr/>
      </w:pPr>
      <w:r>
        <w:rPr>
          <w:rFonts w:ascii="Times New Roman;sans-serif" w:hAnsi="Times New Roman;sans-serif"/>
          <w:b w:val="false"/>
          <w:color w:val="000000"/>
          <w:sz w:val="20"/>
        </w:rPr>
        <w:t>Section 13.05</w:t>
      </w:r>
      <w:r>
        <w:rPr>
          <w:rFonts w:ascii="Times New Roman;sans-serif" w:hAnsi="Times New Roman;sans-serif"/>
          <w:b w:val="false"/>
          <w:i/>
          <w:color w:val="000000"/>
          <w:sz w:val="20"/>
        </w:rPr>
        <w:t>Certain Rights of Trustee under the Pledge Agreement</w:t>
      </w:r>
      <w:r>
        <w:rPr>
          <w:rFonts w:ascii="Times New Roman;sans-serif" w:hAnsi="Times New Roman;sans-serif"/>
          <w:b w:val="false"/>
          <w:color w:val="000000"/>
          <w:sz w:val="20"/>
        </w:rPr>
        <w:t>.</w:t>
      </w:r>
    </w:p>
    <w:p>
      <w:pPr>
        <w:pStyle w:val="TextBody"/>
        <w:bidi w:val="0"/>
        <w:spacing w:lineRule="auto" w:line="240" w:before="0" w:after="240"/>
        <w:ind w:left="0" w:right="0" w:firstLine="540"/>
        <w:jc w:val="both"/>
        <w:rPr/>
      </w:pPr>
      <w:r>
        <w:rPr>
          <w:rFonts w:ascii="Times New Roman;sans-serif" w:hAnsi="Times New Roman;sans-serif"/>
          <w:b w:val="false"/>
          <w:color w:val="000000"/>
          <w:sz w:val="20"/>
        </w:rPr>
        <w:t xml:space="preserve">(a)The Trustee shall have all the rights (including indemnification rights), powers, benefits, privileges, protections, indemnities and immunities provided in the Pledge Agreement and, additionally, shall have all the rights (including indemnification rights), benefits, privileges, protections, indemnities and immunities in its dealings under the Pledge Agreement as are provided to the Trustee under this Indenture and under applicable law, all of which are incorporated herein </w:t>
      </w:r>
      <w:r>
        <w:rPr>
          <w:rFonts w:ascii="Times New Roman;sans-serif" w:hAnsi="Times New Roman;sans-serif"/>
          <w:b w:val="false"/>
          <w:i/>
          <w:color w:val="000000"/>
          <w:sz w:val="20"/>
        </w:rPr>
        <w:t>mutatis mutandis</w:t>
      </w:r>
      <w:r>
        <w:rPr>
          <w:rFonts w:ascii="Times New Roman;sans-serif" w:hAnsi="Times New Roman;sans-serif"/>
          <w:b w:val="false"/>
          <w:color w:val="000000"/>
          <w:sz w:val="20"/>
        </w:rPr>
        <w:t>.</w:t>
      </w:r>
    </w:p>
    <w:p>
      <w:pPr>
        <w:pStyle w:val="TextBody"/>
        <w:bidi w:val="0"/>
        <w:spacing w:lineRule="auto" w:line="240" w:before="0" w:after="24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(b)Except as required or permitted by the Pledge Agreement, the Holders, by accepting a Note, acknowledge that the Trustee will not be obligated under the Pledge Agreement:</w:t>
      </w:r>
    </w:p>
    <w:p>
      <w:pPr>
        <w:pStyle w:val="TextBody"/>
        <w:bidi w:val="0"/>
        <w:spacing w:lineRule="auto" w:line="240" w:before="0" w:after="240"/>
        <w:ind w:left="0" w:right="0" w:firstLine="1080"/>
        <w:jc w:val="both"/>
        <w:rPr>
          <w:rFonts w:ascii="Times New Roman;sans-serif" w:hAnsi="Times New Roman;sans-serif"/>
          <w:b w:val="false"/>
          <w:color w:val="000000"/>
          <w:sz w:val="20"/>
        </w:rPr>
      </w:pPr>
      <w:r>
        <w:rPr>
          <w:rFonts w:ascii="Times New Roman;sans-serif" w:hAnsi="Times New Roman;sans-serif"/>
          <w:b w:val="false"/>
          <w:color w:val="000000"/>
          <w:sz w:val="20"/>
        </w:rPr>
        <w:t>(i)to act upon directions purported to be delivered to it by any Person, except in accordance with the Pledge Agreement and this Indenture;</w:t>
      </w:r>
    </w:p>
    <w:p>
      <w:pPr>
        <w:pStyle w:val="TextBody"/>
        <w:bidi w:val="0"/>
        <w:spacing w:lineRule="auto" w:line="240" w:before="0" w:after="240"/>
        <w:ind w:left="0" w:right="0" w:firstLine="1080"/>
        <w:jc w:val="both"/>
        <w:rPr>
          <w:rFonts w:ascii="Times New Roman;sans-serif" w:hAnsi="Times New Roman;sans-serif"/>
          <w:b w:val="false"/>
          <w:color w:val="000000"/>
          <w:sz w:val="20"/>
        </w:rPr>
      </w:pPr>
      <w:r>
        <w:rPr>
          <w:rFonts w:ascii="Times New Roman;sans-serif" w:hAnsi="Times New Roman;sans-serif"/>
          <w:b w:val="false"/>
          <w:color w:val="000000"/>
          <w:sz w:val="20"/>
        </w:rPr>
        <w:t>(ii)to foreclose upon or otherwise enforce any security interest granted pursuant to the Pledge Agreement; or</w:t>
      </w:r>
    </w:p>
    <w:p>
      <w:pPr>
        <w:pStyle w:val="TextBody"/>
        <w:bidi w:val="0"/>
        <w:spacing w:lineRule="auto" w:line="240" w:before="0" w:after="240"/>
        <w:ind w:left="0" w:right="0" w:firstLine="1080"/>
        <w:jc w:val="both"/>
        <w:rPr>
          <w:rFonts w:ascii="Times New Roman;sans-serif" w:hAnsi="Times New Roman;sans-serif"/>
          <w:b w:val="false"/>
          <w:color w:val="000000"/>
          <w:sz w:val="20"/>
        </w:rPr>
      </w:pPr>
      <w:r>
        <w:rPr>
          <w:rFonts w:ascii="Times New Roman;sans-serif" w:hAnsi="Times New Roman;sans-serif"/>
          <w:b w:val="false"/>
          <w:color w:val="000000"/>
          <w:sz w:val="20"/>
        </w:rPr>
        <w:t>(iii)to take any other action whatsoever with regard to the Pledge Agreement (including any security interests granted thereunder) or the Pledged Interests.</w:t>
      </w:r>
    </w:p>
    <w:p>
      <w:pPr>
        <w:pStyle w:val="TextBody"/>
        <w:bidi w:val="0"/>
        <w:spacing w:lineRule="auto" w:line="240" w:before="0" w:after="24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(c)For the avoidance of doubt, the Trustee will have no discretion under this Indenture or the Pledge Agreement and will not be required to make or give any determination, consent, approval, request or direction without the written direction of the Holders of a majority in aggregate principal amount of the then outstanding Notes.</w:t>
      </w:r>
    </w:p>
    <w:p>
      <w:pPr>
        <w:pStyle w:val="TextBody"/>
        <w:bidi w:val="0"/>
        <w:spacing w:lineRule="auto" w:line="240" w:before="0" w:after="240"/>
        <w:ind w:left="0" w:right="0" w:firstLine="630"/>
        <w:jc w:val="both"/>
        <w:rPr/>
      </w:pPr>
      <w:r>
        <w:rPr>
          <w:rFonts w:ascii="Times New Roman;sans-serif" w:hAnsi="Times New Roman;sans-serif"/>
          <w:b w:val="false"/>
          <w:color w:val="000000"/>
          <w:sz w:val="18"/>
        </w:rPr>
        <w:t>(d)</w:t>
      </w:r>
      <w:r>
        <w:rPr>
          <w:rFonts w:ascii="Times New Roman;sans-serif" w:hAnsi="Times New Roman;sans-serif"/>
          <w:b w:val="false"/>
          <w:color w:val="000000"/>
          <w:sz w:val="20"/>
        </w:rPr>
        <w:t>Other than in connection with a release of the Pledged Interests in accordance with Section 13.02, in each case that the Trustee may or is requested or required hereunder or under the Pledge Agreement to take any action (an “</w:t>
      </w:r>
      <w:r>
        <w:rPr>
          <w:rFonts w:ascii="Times New Roman;sans-serif" w:hAnsi="Times New Roman;sans-serif"/>
          <w:b w:val="false"/>
          <w:i/>
          <w:color w:val="000000"/>
          <w:sz w:val="20"/>
        </w:rPr>
        <w:t>Action</w:t>
      </w:r>
      <w:r>
        <w:rPr>
          <w:color w:val="000000"/>
        </w:rPr>
        <w:t>”</w:t>
      </w:r>
      <w:r>
        <w:rPr>
          <w:rFonts w:ascii="Times New Roman;sans-serif" w:hAnsi="Times New Roman;sans-serif"/>
          <w:b w:val="false"/>
          <w:color w:val="000000"/>
          <w:sz w:val="20"/>
        </w:rPr>
        <w:t xml:space="preserve">), including without limitation to make any determination, to give consents, to exercise rights, powers or remedies, to release or sell the Pledged Interests or otherwise to act hereunder or under the Pledge Agreement, the Trustee may seek direction from the Holders of a majority in aggregate principal amount of the then outstanding Notes. The Trustee will not be liable with respect to any Action taken or omitted to be taken by it in accordance with the direction from the Holders of a majority in aggregate principal amount of the then outstanding Notes. If the Trustee requests direction from the Holders of a majority in aggregate principal amount of the then outstanding Notes with respect to any Action, the Trustee will be entitled to refrain from such Action until it has received direction from the Holders of a majority in aggregate principal amount of the then outstanding Notes, and if </w:t>
      </w:r>
    </w:p>
    <w:p>
      <w:pPr>
        <w:pStyle w:val="TextBody"/>
        <w:bidi w:val="0"/>
        <w:spacing w:before="0" w:after="0"/>
        <w:jc w:val="righ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75260"/>
                <wp:effectExtent l="0" t="0" r="0" b="0"/>
                <wp:wrapNone/>
                <wp:docPr id="140" name="Frame1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requested, indemnity satisfactory to it, and the Trustee will not incur liability to any Person by reason of so refraining.</w:t>
      </w:r>
    </w:p>
    <w:p>
      <w:pPr>
        <w:pStyle w:val="TextBody"/>
        <w:bidi w:val="0"/>
        <w:spacing w:lineRule="auto" w:line="240" w:before="0" w:after="240"/>
        <w:ind w:left="0" w:right="0" w:firstLine="1080"/>
        <w:jc w:val="both"/>
        <w:rPr/>
      </w:pPr>
      <w:r>
        <w:rPr>
          <w:rFonts w:ascii="Times New Roman;sans-serif" w:hAnsi="Times New Roman;sans-serif"/>
          <w:b w:val="false"/>
          <w:color w:val="000000"/>
          <w:sz w:val="20"/>
        </w:rPr>
        <w:t>5.</w:t>
      </w:r>
      <w:r>
        <w:rPr>
          <w:rFonts w:ascii="Times New Roman;sans-serif" w:hAnsi="Times New Roman;sans-serif"/>
          <w:b w:val="false"/>
          <w:color w:val="000000"/>
          <w:sz w:val="20"/>
        </w:rPr>
        <w:t>Notes. The Notes, with effect on and from the date hereof, shall be deemed supplemented, modified and amended in such manner as necessary to make the terms of the Notes consistent with the terms of the Indenture, as amended by this Supplemental Indenture.</w:t>
      </w:r>
    </w:p>
    <w:p>
      <w:pPr>
        <w:pStyle w:val="TextBody"/>
        <w:bidi w:val="0"/>
        <w:spacing w:lineRule="auto" w:line="240" w:before="0" w:after="240"/>
        <w:ind w:left="0" w:right="0" w:firstLine="1080"/>
        <w:jc w:val="both"/>
        <w:rPr/>
      </w:pPr>
      <w:r>
        <w:rPr>
          <w:rFonts w:ascii="Times New Roman;sans-serif" w:hAnsi="Times New Roman;sans-serif"/>
          <w:b w:val="false"/>
          <w:color w:val="000000"/>
          <w:sz w:val="20"/>
        </w:rPr>
        <w:t>6.</w:t>
      </w:r>
      <w:r>
        <w:rPr>
          <w:rFonts w:ascii="Times New Roman;sans-serif" w:hAnsi="Times New Roman;sans-serif"/>
          <w:b w:val="false"/>
          <w:color w:val="000000"/>
          <w:sz w:val="20"/>
        </w:rPr>
        <w:t>Ratification of the Indenture; Supplemental Indenture Part of the Indenture. Except as expressly amended hereby, the Indenture is in all respects ratified and confirmed and all the terms, conditions and provisions thereof shall remain in full force and effect. This Supplemental Indenture shall form a part of the Indenture for all purposes, and every Holder heretofore or hereafter authenticated and delivered shall be bound hereby. Upon and after the execution of this Supplemental Indenture, each reference to the Indenture or the Notes in the Indenture or the Notes shall mean and be a reference to the Indenture or the Notes as modified hereby after giving effect to this Supplemental Indenture. The rights, protections and indemnities provided to the Trustee under the Indenture shall apply to any action (or inaction) of the Trustee in connection herewith, including in connection with the execution and delivery of this Supplemental Indenture.</w:t>
      </w:r>
    </w:p>
    <w:p>
      <w:pPr>
        <w:pStyle w:val="TextBody"/>
        <w:bidi w:val="0"/>
        <w:spacing w:lineRule="auto" w:line="240" w:before="0" w:after="240"/>
        <w:ind w:left="0" w:right="0" w:firstLine="1080"/>
        <w:jc w:val="both"/>
        <w:rPr/>
      </w:pPr>
      <w:r>
        <w:rPr>
          <w:rFonts w:ascii="Times New Roman;sans-serif" w:hAnsi="Times New Roman;sans-serif"/>
          <w:b w:val="false"/>
          <w:color w:val="000000"/>
          <w:sz w:val="16"/>
        </w:rPr>
        <w:t>7.</w:t>
      </w:r>
      <w:r>
        <w:rPr>
          <w:rFonts w:ascii="Times New Roman;sans-serif" w:hAnsi="Times New Roman;sans-serif"/>
          <w:b w:val="false"/>
          <w:color w:val="000000"/>
          <w:sz w:val="20"/>
        </w:rPr>
        <w:t>No Recourse Against Others. No recourse for the payment of the principal of, premium, if any, or interest on any of the Notes or for any claim based thereon or otherwise in respect thereof, and no recourse under or upon any obligation, covenant or agreement of the Issuers in the Indenture, or in any of the Notes or because of the creation of any Indebtedness represented thereby, shall be had against any past, present or future incorporator, partner, stockholder, officer, director, employee or controlling person in their capacity as such of the Issuers or of any successor Person thereof. Each Holder, by accepting the Notes, waives and releases all such liability. The waiver and release are part of the consideration for issuance of the Notes. The waiver may not be effective to waive liabilities under the federal securities laws.</w:t>
      </w:r>
    </w:p>
    <w:p>
      <w:pPr>
        <w:pStyle w:val="TextBody"/>
        <w:bidi w:val="0"/>
        <w:spacing w:lineRule="auto" w:line="240" w:before="0" w:after="240"/>
        <w:ind w:left="0" w:right="0" w:firstLine="1080"/>
        <w:jc w:val="both"/>
        <w:rPr/>
      </w:pPr>
      <w:r>
        <w:rPr>
          <w:rFonts w:ascii="Times New Roman;sans-serif" w:hAnsi="Times New Roman;sans-serif"/>
          <w:b w:val="false"/>
          <w:color w:val="000000"/>
          <w:sz w:val="20"/>
        </w:rPr>
        <w:t>8.</w:t>
      </w:r>
      <w:r>
        <w:rPr>
          <w:rFonts w:ascii="Times New Roman;sans-serif" w:hAnsi="Times New Roman;sans-serif"/>
          <w:b w:val="false"/>
          <w:color w:val="000000"/>
          <w:sz w:val="20"/>
        </w:rPr>
        <w:t>New York Law to Govern. THE INTERNAL LAW OF THE STATE OF NEW YORK SHALL GOVERN AND BE USED TO CONSTRUE THIS SUPPLEMENTAL INDENTURE WITHOUT GIVING EFFECT TO APPLICABLE PRINCIPLES OF CONFLICTS OF LAW TO THE EXTENT THAT THE APPLICATION OF THE LAWS OF ANOTHER JURISDICTION WOULD BE REQUIRED THEREBY.</w:t>
      </w:r>
    </w:p>
    <w:p>
      <w:pPr>
        <w:pStyle w:val="TextBody"/>
        <w:bidi w:val="0"/>
        <w:spacing w:lineRule="auto" w:line="240" w:before="0" w:after="240"/>
        <w:ind w:left="0" w:right="0" w:firstLine="1080"/>
        <w:jc w:val="both"/>
        <w:rPr/>
      </w:pPr>
      <w:r>
        <w:rPr>
          <w:rFonts w:ascii="Times New Roman;sans-serif" w:hAnsi="Times New Roman;sans-serif"/>
          <w:b w:val="false"/>
          <w:color w:val="000000"/>
          <w:sz w:val="20"/>
        </w:rPr>
        <w:t>9.</w:t>
      </w:r>
      <w:r>
        <w:rPr>
          <w:rFonts w:ascii="Times New Roman;sans-serif" w:hAnsi="Times New Roman;sans-serif"/>
          <w:b w:val="false"/>
          <w:color w:val="000000"/>
          <w:sz w:val="20"/>
        </w:rPr>
        <w:t>Counterparts. The parties may sign any number of copies of this Supplemental Indenture. Each signed copy shall be an original, but all of them together represent the same agreement.</w:t>
      </w:r>
      <w:r>
        <w:rPr>
          <w:color w:val="000000"/>
        </w:rPr>
        <w:t xml:space="preserve"> </w:t>
      </w:r>
      <w:r>
        <w:rPr>
          <w:rFonts w:ascii="Times New Roman;sans-serif" w:hAnsi="Times New Roman;sans-serif"/>
          <w:b w:val="false"/>
          <w:color w:val="000000"/>
          <w:sz w:val="20"/>
        </w:rPr>
        <w:t>Delivery of an executed signature page of this Supplemental Indenture by facsimile or any other rapid transmission device designed to produce a written record of the communication transmitted shall be as effective as delivery of a manually executed counterpart thereof. The words “execution,” “executed,” “signed,” signature” and words of like import in this Supplemental Indenture or in any other certificate, agreement or document related to this Supplemental Indenture shall include images of manually executed signatures transmitted by facsimile, email or other electronic format (including, without limitation, “pdf,” “tif” or “jpg”) and other electronic signatures (including, without limitation, DocuSign and AdobeSign). The use of electronic signatures and electronic records (including, without limitation, any contract or other record created, generated, sent, communicated, received, or stored by electronic means) shall be of the same legal effect, validity and enforceability as a manually executed signature or use of a paper-based record-keeping system to the fullest extent permitted by applicable law, including the Federal Electronic Signatures in Global and National Commerce Act, the New York State Electronic Signatures and Records Act and any other applicable law, including, without limitation, any state law based on the Uniform Electronic Transactions Act or the Uniform Commercial Code.</w:t>
      </w:r>
    </w:p>
    <w:p>
      <w:pPr>
        <w:pStyle w:val="TextBody"/>
        <w:bidi w:val="0"/>
        <w:spacing w:lineRule="auto" w:line="240" w:before="0" w:after="240"/>
        <w:ind w:left="0" w:right="0" w:firstLine="1080"/>
        <w:jc w:val="both"/>
        <w:rPr/>
      </w:pPr>
      <w:r>
        <w:rPr>
          <w:rFonts w:ascii="Times New Roman;sans-serif" w:hAnsi="Times New Roman;sans-serif"/>
          <w:b w:val="false"/>
          <w:color w:val="000000"/>
          <w:sz w:val="20"/>
        </w:rPr>
        <w:t>10.</w:t>
      </w:r>
      <w:r>
        <w:rPr>
          <w:rFonts w:ascii="Times New Roman;sans-serif" w:hAnsi="Times New Roman;sans-serif"/>
          <w:b w:val="false"/>
          <w:color w:val="000000"/>
          <w:sz w:val="20"/>
        </w:rPr>
        <w:t>Effect of Headings. The Section headings herein are for convenience only and shall not affect the construction hereof.</w:t>
      </w:r>
    </w:p>
    <w:p>
      <w:pPr>
        <w:pStyle w:val="TextBody"/>
        <w:bidi w:val="0"/>
        <w:spacing w:lineRule="auto" w:line="240" w:before="0" w:after="240"/>
        <w:ind w:left="0" w:right="0" w:firstLine="1080"/>
        <w:jc w:val="both"/>
        <w:rPr/>
      </w:pPr>
      <w:r>
        <w:rPr>
          <w:rFonts w:ascii="Times New Roman;sans-serif" w:hAnsi="Times New Roman;sans-serif"/>
          <w:b w:val="false"/>
          <w:color w:val="000000"/>
          <w:sz w:val="20"/>
        </w:rPr>
        <w:t>11.</w:t>
      </w:r>
      <w:r>
        <w:rPr>
          <w:rFonts w:ascii="Times New Roman;sans-serif" w:hAnsi="Times New Roman;sans-serif"/>
          <w:b w:val="false"/>
          <w:color w:val="000000"/>
          <w:sz w:val="20"/>
        </w:rPr>
        <w:t>The Trustee. The Trustee shall not be responsible in any manner whatsoever for or in respect of the validity or sufficiency of this Supplemental Indenture or for or in respect of the recitals contained herein, all of which recitals are made solely by the Issuers.</w:t>
      </w:r>
    </w:p>
    <w:p>
      <w:pPr>
        <w:pStyle w:val="TextBody"/>
        <w:bidi w:val="0"/>
        <w:spacing w:lineRule="auto" w:line="240" w:before="0" w:after="240"/>
        <w:jc w:val="center"/>
        <w:rPr/>
      </w:pPr>
      <w:r>
        <w:rPr>
          <w:rFonts w:ascii="Times New Roman;sans-serif" w:hAnsi="Times New Roman;sans-serif"/>
          <w:b w:val="false"/>
          <w:color w:val="000000"/>
          <w:sz w:val="20"/>
        </w:rPr>
        <w:t>[</w:t>
      </w:r>
      <w:r>
        <w:rPr>
          <w:rFonts w:ascii="Times New Roman;sans-serif" w:hAnsi="Times New Roman;sans-serif"/>
          <w:b w:val="false"/>
          <w:i/>
          <w:color w:val="000000"/>
          <w:sz w:val="20"/>
        </w:rPr>
        <w:t>Signature pages follow</w:t>
      </w:r>
      <w:r>
        <w:rPr>
          <w:rFonts w:ascii="Times New Roman;sans-serif" w:hAnsi="Times New Roman;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75260"/>
                <wp:effectExtent l="0" t="0" r="0" b="0"/>
                <wp:wrapNone/>
                <wp:docPr id="141" name="Frame1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WITNESS WHEREOF, the parties hereto have caused this Supplemental Indenture to be duly executed and attested, all as of the date first above written.</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Dated: April 29, 2022</w:t>
      </w:r>
    </w:p>
    <w:p>
      <w:pPr>
        <w:pStyle w:val="TextBody"/>
        <w:bidi w:val="0"/>
        <w:spacing w:before="0" w:after="240"/>
        <w:ind w:left="0" w:right="0" w:firstLine="720"/>
        <w:jc w:val="both"/>
        <w:rPr/>
      </w:pPr>
      <w:r>
        <w:rPr/>
      </w:r>
    </w:p>
    <w:p>
      <w:pPr>
        <w:pStyle w:val="TextBody"/>
        <w:bidi w:val="0"/>
        <w:spacing w:lineRule="auto" w:line="240" w:before="0" w:after="24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VICI PROPERTIES L.P.</w:t>
      </w:r>
    </w:p>
    <w:p>
      <w:pPr>
        <w:pStyle w:val="TextBody"/>
        <w:bidi w:val="0"/>
        <w:spacing w:lineRule="auto" w:line="240"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BY: VICI PROPERTIES GP LLC, its general partner</w:t>
      </w:r>
    </w:p>
    <w:p>
      <w:pPr>
        <w:pStyle w:val="TextBody"/>
        <w:bidi w:val="0"/>
        <w:spacing w:before="0" w:after="240"/>
        <w:jc w:val="left"/>
        <w:rPr/>
      </w:pPr>
      <w:r>
        <w:rPr/>
      </w:r>
    </w:p>
    <w:p>
      <w:pPr>
        <w:pStyle w:val="TextBody"/>
        <w:bidi w:val="0"/>
        <w:spacing w:lineRule="auto" w:line="240" w:before="0" w:after="0"/>
        <w:ind w:left="0" w:right="0" w:firstLine="720"/>
        <w:jc w:val="left"/>
        <w:rPr/>
      </w:pPr>
      <w:r>
        <w:rPr>
          <w:rFonts w:ascii="Times New Roman;sans-serif" w:hAnsi="Times New Roman;sans-serif"/>
          <w:b w:val="false"/>
          <w:color w:val="000000"/>
          <w:sz w:val="20"/>
        </w:rPr>
        <w:t>By:</w:t>
      </w:r>
      <w:r>
        <w:rPr>
          <w:color w:val="000000"/>
          <w:u w:val="single"/>
        </w:rPr>
        <w:t xml:space="preserve"> </w:t>
      </w:r>
      <w:r>
        <w:rPr>
          <w:rFonts w:ascii="Times New Roman;sans-serif" w:hAnsi="Times New Roman;sans-serif"/>
          <w:b w:val="false"/>
          <w:color w:val="000000"/>
          <w:sz w:val="20"/>
          <w:u w:val="single"/>
        </w:rPr>
        <w:t>/s/ David A. Kieske    </w:t>
      </w:r>
    </w:p>
    <w:p>
      <w:pPr>
        <w:pStyle w:val="TextBody"/>
        <w:bidi w:val="0"/>
        <w:spacing w:lineRule="auto" w:line="240"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Name: David A. Kieske</w:t>
      </w:r>
    </w:p>
    <w:p>
      <w:pPr>
        <w:pStyle w:val="TextBody"/>
        <w:bidi w:val="0"/>
        <w:spacing w:lineRule="auto" w:line="240"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Title: Treasurer</w:t>
      </w:r>
    </w:p>
    <w:p>
      <w:pPr>
        <w:pStyle w:val="TextBody"/>
        <w:bidi w:val="0"/>
        <w:spacing w:before="0" w:after="240"/>
        <w:ind w:left="0" w:right="0" w:firstLine="360"/>
        <w:jc w:val="both"/>
        <w:rPr/>
      </w:pPr>
      <w:r>
        <w:rPr/>
      </w:r>
    </w:p>
    <w:p>
      <w:pPr>
        <w:pStyle w:val="TextBody"/>
        <w:bidi w:val="0"/>
        <w:spacing w:lineRule="auto" w:line="240" w:before="0" w:after="24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VICI NOTE CO. INC.</w:t>
      </w:r>
    </w:p>
    <w:p>
      <w:pPr>
        <w:pStyle w:val="TextBody"/>
        <w:bidi w:val="0"/>
        <w:spacing w:before="0" w:after="240"/>
        <w:ind w:left="0" w:right="0" w:firstLine="720"/>
        <w:jc w:val="left"/>
        <w:rPr/>
      </w:pPr>
      <w:r>
        <w:rPr/>
      </w:r>
    </w:p>
    <w:p>
      <w:pPr>
        <w:pStyle w:val="TextBody"/>
        <w:bidi w:val="0"/>
        <w:spacing w:lineRule="auto" w:line="240" w:before="0" w:after="0"/>
        <w:ind w:left="0" w:right="0" w:firstLine="4"/>
        <w:jc w:val="left"/>
        <w:rPr/>
      </w:pPr>
      <w:r>
        <w:rPr>
          <w:rFonts w:ascii="Times New Roman;sans-serif" w:hAnsi="Times New Roman;sans-serif"/>
          <w:b w:val="false"/>
          <w:color w:val="000000"/>
          <w:sz w:val="20"/>
        </w:rPr>
        <w:t>By:</w:t>
      </w:r>
      <w:r>
        <w:rPr>
          <w:color w:val="000000"/>
          <w:u w:val="single"/>
        </w:rPr>
        <w:t xml:space="preserve"> </w:t>
      </w:r>
      <w:r>
        <w:rPr>
          <w:rFonts w:ascii="Times New Roman;sans-serif" w:hAnsi="Times New Roman;sans-serif"/>
          <w:b w:val="false"/>
          <w:color w:val="000000"/>
          <w:sz w:val="20"/>
          <w:u w:val="single"/>
        </w:rPr>
        <w:t>/s/ David A. Kieske    </w:t>
      </w:r>
    </w:p>
    <w:p>
      <w:pPr>
        <w:pStyle w:val="TextBody"/>
        <w:bidi w:val="0"/>
        <w:spacing w:lineRule="auto" w:line="240" w:before="0" w:after="0"/>
        <w:ind w:left="0" w:right="0" w:firstLine="4"/>
        <w:jc w:val="left"/>
        <w:rPr>
          <w:rFonts w:ascii="Times New Roman;sans-serif" w:hAnsi="Times New Roman;sans-serif"/>
          <w:b w:val="false"/>
          <w:color w:val="000000"/>
          <w:sz w:val="20"/>
        </w:rPr>
      </w:pPr>
      <w:r>
        <w:rPr>
          <w:rFonts w:ascii="Times New Roman;sans-serif" w:hAnsi="Times New Roman;sans-serif"/>
          <w:b w:val="false"/>
          <w:color w:val="000000"/>
          <w:sz w:val="20"/>
        </w:rPr>
        <w:t>Name: David A. Kieske</w:t>
      </w:r>
    </w:p>
    <w:p>
      <w:pPr>
        <w:pStyle w:val="TextBody"/>
        <w:bidi w:val="0"/>
        <w:spacing w:lineRule="auto" w:line="240"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Title: Treasurer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53670"/>
                <wp:effectExtent l="0" t="0" r="0" b="0"/>
                <wp:wrapNone/>
                <wp:docPr id="142" name="Frame140"/>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307" w:before="0" w:after="0"/>
                              <w:jc w:val="center"/>
                              <w:rPr/>
                            </w:pPr>
                            <w:r>
                              <w:rPr>
                                <w:rFonts w:ascii="Times New Roman;sans-serif" w:hAnsi="Times New Roman;sans-serif"/>
                                <w:b w:val="false"/>
                                <w:color w:val="000000"/>
                                <w:sz w:val="21"/>
                              </w:rPr>
                              <w:t>[</w:t>
                            </w:r>
                            <w:r>
                              <w:rPr>
                                <w:rFonts w:ascii="Times New Roman;sans-serif" w:hAnsi="Times New Roman;sans-serif"/>
                                <w:b w:val="false"/>
                                <w:i/>
                                <w:color w:val="000000"/>
                                <w:sz w:val="21"/>
                              </w:rPr>
                              <w:t>Signature Page to Supplemental Indenture – VICI 3.500% Notes due 2025 - VICI</w:t>
                            </w:r>
                            <w:r>
                              <w:rPr>
                                <w:rFonts w:ascii="Times New Roman;sans-serif" w:hAnsi="Times New Roman;sans-serif"/>
                                <w:b w:val="false"/>
                                <w:color w:val="000000"/>
                                <w:sz w:val="21"/>
                              </w:rPr>
                              <w: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07" w:before="0" w:after="0"/>
                        <w:jc w:val="center"/>
                        <w:rPr/>
                      </w:pPr>
                      <w:r>
                        <w:rPr>
                          <w:rFonts w:ascii="Times New Roman;sans-serif" w:hAnsi="Times New Roman;sans-serif"/>
                          <w:b w:val="false"/>
                          <w:color w:val="000000"/>
                          <w:sz w:val="21"/>
                        </w:rPr>
                        <w:t>[</w:t>
                      </w:r>
                      <w:r>
                        <w:rPr>
                          <w:rFonts w:ascii="Times New Roman;sans-serif" w:hAnsi="Times New Roman;sans-serif"/>
                          <w:b w:val="false"/>
                          <w:i/>
                          <w:color w:val="000000"/>
                          <w:sz w:val="21"/>
                        </w:rPr>
                        <w:t>Signature Page to Supplemental Indenture – VICI 3.500% Notes due 2025 - VICI</w:t>
                      </w:r>
                      <w:r>
                        <w:rPr>
                          <w:rFonts w:ascii="Times New Roman;sans-serif" w:hAnsi="Times New Roman;sans-serif"/>
                          <w:b w:val="false"/>
                          <w:color w:val="000000"/>
                          <w:sz w:val="21"/>
                        </w:rPr>
                        <w:t>]</w:t>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color w:val="000000"/>
          <w:sz w:val="20"/>
        </w:rPr>
        <w:t>UMB BANK, NATIONAL ASSOCIATION</w:t>
      </w:r>
      <w:r>
        <w:rPr>
          <w:rFonts w:ascii="Times New Roman;sans-serif" w:hAnsi="Times New Roman;sans-serif"/>
          <w:b w:val="false"/>
          <w:color w:val="000000"/>
          <w:sz w:val="20"/>
        </w:rPr>
        <w:t>, as Trustee</w:t>
      </w:r>
    </w:p>
    <w:p>
      <w:pPr>
        <w:pStyle w:val="TextBody"/>
        <w:bidi w:val="0"/>
        <w:spacing w:before="0" w:after="240"/>
        <w:jc w:val="both"/>
        <w:rPr/>
      </w:pPr>
      <w:r>
        <w:rPr/>
      </w:r>
    </w:p>
    <w:p>
      <w:pPr>
        <w:pStyle w:val="TextBody"/>
        <w:bidi w:val="0"/>
        <w:spacing w:lineRule="auto" w:line="240" w:before="0" w:after="0"/>
        <w:jc w:val="both"/>
        <w:rPr/>
      </w:pPr>
      <w:r>
        <w:rPr>
          <w:rFonts w:ascii="Times New Roman;sans-serif" w:hAnsi="Times New Roman;sans-serif"/>
          <w:b w:val="false"/>
          <w:color w:val="000000"/>
          <w:sz w:val="20"/>
        </w:rPr>
        <w:t xml:space="preserve">By: </w:t>
      </w:r>
      <w:r>
        <w:rPr>
          <w:color w:val="000000"/>
          <w:u w:val="single"/>
        </w:rPr>
        <w:t>    </w:t>
      </w:r>
      <w:r>
        <w:rPr>
          <w:rFonts w:ascii="Times New Roman;sans-serif" w:hAnsi="Times New Roman;sans-serif"/>
          <w:b w:val="false"/>
          <w:color w:val="000000"/>
          <w:sz w:val="20"/>
          <w:u w:val="single"/>
        </w:rPr>
        <w:t>/s/ Gavin Wilkinson        </w:t>
      </w:r>
      <w:r>
        <w:rPr>
          <w:color w:val="000000"/>
        </w:rPr>
        <w:t>    </w:t>
      </w:r>
    </w:p>
    <w:p>
      <w:pPr>
        <w:pStyle w:val="TextBody"/>
        <w:bidi w:val="0"/>
        <w:spacing w:lineRule="auto" w:line="240"/>
        <w:ind w:left="0" w:right="0" w:firstLine="90"/>
        <w:jc w:val="both"/>
        <w:rPr>
          <w:rFonts w:ascii="Times New Roman;sans-serif" w:hAnsi="Times New Roman;sans-serif"/>
          <w:b w:val="false"/>
          <w:color w:val="000000"/>
          <w:sz w:val="20"/>
        </w:rPr>
      </w:pPr>
      <w:r>
        <w:rPr>
          <w:rFonts w:ascii="Times New Roman;sans-serif" w:hAnsi="Times New Roman;sans-serif"/>
          <w:b w:val="false"/>
          <w:color w:val="000000"/>
          <w:sz w:val="20"/>
        </w:rPr>
        <w:t>Authorized Signatory</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07" w:before="0" w:after="0"/>
        <w:jc w:val="right"/>
        <w:rPr>
          <w:rFonts w:ascii="Times New Roman;sans-serif" w:hAnsi="Times New Roman;sans-serif"/>
          <w:b/>
          <w:color w:val="000000"/>
          <w:sz w:val="20"/>
        </w:rPr>
      </w:pPr>
      <w:r>
        <w:rPr>
          <w:rFonts w:ascii="Times New Roman;sans-serif" w:hAnsi="Times New Roman;sans-serif"/>
          <w:b/>
          <w:color w:val="000000"/>
          <w:sz w:val="20"/>
        </w:rPr>
        <w:t>Exhibit 4.8</w:t>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53670"/>
                <wp:effectExtent l="0" t="0" r="0" b="0"/>
                <wp:wrapNone/>
                <wp:docPr id="143" name="Frame141"/>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307" w:before="0" w:after="0"/>
                              <w:jc w:val="center"/>
                              <w:rPr/>
                            </w:pPr>
                            <w:r>
                              <w:rPr>
                                <w:rFonts w:ascii="Times New Roman;sans-serif" w:hAnsi="Times New Roman;sans-serif"/>
                                <w:b w:val="false"/>
                                <w:color w:val="000000"/>
                                <w:sz w:val="21"/>
                              </w:rPr>
                              <w:t>[</w:t>
                            </w:r>
                            <w:r>
                              <w:rPr>
                                <w:rFonts w:ascii="Times New Roman;sans-serif" w:hAnsi="Times New Roman;sans-serif"/>
                                <w:b w:val="false"/>
                                <w:i/>
                                <w:color w:val="000000"/>
                                <w:sz w:val="21"/>
                              </w:rPr>
                              <w:t>Signature Page to Supplemental Indenture – VICI 3.500% Notes due 2025 - Trustee</w:t>
                            </w:r>
                            <w:r>
                              <w:rPr>
                                <w:rFonts w:ascii="Times New Roman;sans-serif" w:hAnsi="Times New Roman;sans-serif"/>
                                <w:b w:val="false"/>
                                <w:color w:val="000000"/>
                                <w:sz w:val="21"/>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435.35pt;mso-position-horizontal:left;mso-position-horizontal-relative:text">
                <v:textbox>
                  <w:txbxContent>
                    <w:p>
                      <w:pPr>
                        <w:pStyle w:val="TextBody"/>
                        <w:bidi w:val="0"/>
                        <w:spacing w:lineRule="auto" w:line="307" w:before="0" w:after="0"/>
                        <w:jc w:val="center"/>
                        <w:rPr/>
                      </w:pPr>
                      <w:r>
                        <w:rPr>
                          <w:rFonts w:ascii="Times New Roman;sans-serif" w:hAnsi="Times New Roman;sans-serif"/>
                          <w:b w:val="false"/>
                          <w:color w:val="000000"/>
                          <w:sz w:val="21"/>
                        </w:rPr>
                        <w:t>[</w:t>
                      </w:r>
                      <w:r>
                        <w:rPr>
                          <w:rFonts w:ascii="Times New Roman;sans-serif" w:hAnsi="Times New Roman;sans-serif"/>
                          <w:b w:val="false"/>
                          <w:i/>
                          <w:color w:val="000000"/>
                          <w:sz w:val="21"/>
                        </w:rPr>
                        <w:t>Signature Page to Supplemental Indenture – VICI 3.500% Notes due 2025 - Trustee</w:t>
                      </w:r>
                      <w:r>
                        <w:rPr>
                          <w:rFonts w:ascii="Times New Roman;sans-serif" w:hAnsi="Times New Roman;sans-serif"/>
                          <w:b w:val="false"/>
                          <w:color w:val="000000"/>
                          <w:sz w:val="21"/>
                        </w:rPr>
                        <w:t>]</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SUPPLEMENTAL INDENTURE (this “</w:t>
      </w:r>
      <w:r>
        <w:rPr>
          <w:rFonts w:ascii="Times New Roman;sans-serif" w:hAnsi="Times New Roman;sans-serif"/>
          <w:b w:val="false"/>
          <w:i/>
          <w:color w:val="000000"/>
          <w:sz w:val="20"/>
        </w:rPr>
        <w:t>Supplemental Indenture</w:t>
      </w:r>
      <w:r>
        <w:rPr>
          <w:color w:val="000000"/>
        </w:rPr>
        <w:t>”</w:t>
      </w:r>
      <w:r>
        <w:rPr>
          <w:rFonts w:ascii="Times New Roman;sans-serif" w:hAnsi="Times New Roman;sans-serif"/>
          <w:b w:val="false"/>
          <w:color w:val="000000"/>
          <w:sz w:val="20"/>
        </w:rPr>
        <w:t>), dated as of April 29, 2022, among VICI Properties L.P., a Delaware limited liability partnership (the “</w:t>
      </w:r>
      <w:r>
        <w:rPr>
          <w:rFonts w:ascii="Times New Roman;sans-serif" w:hAnsi="Times New Roman;sans-serif"/>
          <w:b w:val="false"/>
          <w:i/>
          <w:color w:val="000000"/>
          <w:sz w:val="20"/>
        </w:rPr>
        <w:t>Company</w:t>
      </w:r>
      <w:r>
        <w:rPr>
          <w:color w:val="000000"/>
        </w:rPr>
        <w:t>”</w:t>
      </w:r>
      <w:r>
        <w:rPr>
          <w:rFonts w:ascii="Times New Roman;sans-serif" w:hAnsi="Times New Roman;sans-serif"/>
          <w:b w:val="false"/>
          <w:color w:val="000000"/>
          <w:sz w:val="20"/>
        </w:rPr>
        <w:t>), VICI Note Co. Inc., a Delaware corporation (the “</w:t>
      </w:r>
      <w:r>
        <w:rPr>
          <w:rFonts w:ascii="Times New Roman;sans-serif" w:hAnsi="Times New Roman;sans-serif"/>
          <w:b w:val="false"/>
          <w:i/>
          <w:color w:val="000000"/>
          <w:sz w:val="20"/>
        </w:rPr>
        <w:t>Co-Issuer</w:t>
      </w:r>
      <w:r>
        <w:rPr>
          <w:color w:val="000000"/>
        </w:rPr>
        <w:t xml:space="preserve">” </w:t>
      </w:r>
      <w:r>
        <w:rPr>
          <w:rFonts w:ascii="Times New Roman;sans-serif" w:hAnsi="Times New Roman;sans-serif"/>
          <w:b w:val="false"/>
          <w:color w:val="000000"/>
          <w:sz w:val="20"/>
        </w:rPr>
        <w:t>and, together with the Company, the “</w:t>
      </w:r>
      <w:r>
        <w:rPr>
          <w:rFonts w:ascii="Times New Roman;sans-serif" w:hAnsi="Times New Roman;sans-serif"/>
          <w:b w:val="false"/>
          <w:i/>
          <w:color w:val="000000"/>
          <w:sz w:val="20"/>
        </w:rPr>
        <w:t>Issuers</w:t>
      </w:r>
      <w:r>
        <w:rPr>
          <w:color w:val="000000"/>
        </w:rPr>
        <w:t>”</w:t>
      </w:r>
      <w:r>
        <w:rPr>
          <w:rFonts w:ascii="Times New Roman;sans-serif" w:hAnsi="Times New Roman;sans-serif"/>
          <w:b w:val="false"/>
          <w:color w:val="000000"/>
          <w:sz w:val="20"/>
        </w:rPr>
        <w:t>), and UMB Bank, National Association, as Trustee under the Indenture referred to below (the “</w:t>
      </w:r>
      <w:r>
        <w:rPr>
          <w:rFonts w:ascii="Times New Roman;sans-serif" w:hAnsi="Times New Roman;sans-serif"/>
          <w:b w:val="false"/>
          <w:i/>
          <w:color w:val="000000"/>
          <w:sz w:val="20"/>
        </w:rPr>
        <w:t>Trustee</w:t>
      </w:r>
      <w:r>
        <w:rPr>
          <w:color w:val="000000"/>
        </w:rPr>
        <w:t>”</w:t>
      </w:r>
      <w:r>
        <w:rPr>
          <w:rFonts w:ascii="Times New Roman;sans-serif" w:hAnsi="Times New Roman;sans-serif"/>
          <w:b w:val="false"/>
          <w:color w:val="000000"/>
          <w:sz w:val="20"/>
        </w:rPr>
        <w:t>).</w:t>
      </w:r>
    </w:p>
    <w:p>
      <w:pPr>
        <w:pStyle w:val="TextBody"/>
        <w:bidi w:val="0"/>
        <w:spacing w:lineRule="auto" w:line="240"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W I T N E S S E T H</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WHEREAS, the Issuers have heretofore executed and delivered to the Trustee an indenture (the “</w:t>
      </w:r>
      <w:r>
        <w:rPr>
          <w:rFonts w:ascii="Times New Roman;sans-serif" w:hAnsi="Times New Roman;sans-serif"/>
          <w:b w:val="false"/>
          <w:i/>
          <w:color w:val="000000"/>
          <w:sz w:val="20"/>
        </w:rPr>
        <w:t>Indenture</w:t>
      </w:r>
      <w:r>
        <w:rPr>
          <w:color w:val="000000"/>
        </w:rPr>
        <w:t>”</w:t>
      </w:r>
      <w:r>
        <w:rPr>
          <w:rFonts w:ascii="Times New Roman;sans-serif" w:hAnsi="Times New Roman;sans-serif"/>
          <w:b w:val="false"/>
          <w:color w:val="000000"/>
          <w:sz w:val="20"/>
        </w:rPr>
        <w:t>), dated as of February 5, 2020, as amended from time to time, providing for the issuance of 3.750% Senior Notes due 2027 (the “</w:t>
      </w:r>
      <w:r>
        <w:rPr>
          <w:rFonts w:ascii="Times New Roman;sans-serif" w:hAnsi="Times New Roman;sans-serif"/>
          <w:b w:val="false"/>
          <w:i/>
          <w:color w:val="000000"/>
          <w:sz w:val="20"/>
        </w:rPr>
        <w:t>Notes</w:t>
      </w:r>
      <w:r>
        <w:rPr>
          <w:color w:val="000000"/>
        </w:rPr>
        <w:t>”</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WHEREAS, Section 9.01 of the Indenture provides that the Issuers and the Trustee may amend or supplement the Indenture without the consent of any Holder to, among other things, (i) secure the Notes and (ii) make any change that would provide any additional rights or benefits to the Holders of the Notes or that does not adversely affect the legal rights under the Indenture of any Holder; </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WHEREAS, the Issuers desire to amend the Indenture as set forth in Section 4 hereof to secure all Obligations with respect to the Notes with a pledge of all of the limited partnership interests of the Company directly owned by VICI Properties OP LLC; and</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WHEREAS, all things necessary to make this Supplemental Indenture a valid and binding agreement of the parties, in accordance with its terms, and a valid amendment of, and supplement to, the Indenture have been done, and the execution and delivery of this Supplemental Indenture have been duly authorized in all respects and, pursuant to Section 9.01 of the Indenture, the Issuers and the Trustee are authorized to execute and deliver this Supplemental Indenture.</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NOW, THEREFORE, in consideration of the foregoing and for other good and valuable consideration, the receipt of which is hereby acknowledged, the parties hereto mutually covenant and agree for the equal and ratable benefit of the Holders of the Notes as follows:</w:t>
      </w:r>
    </w:p>
    <w:p>
      <w:pPr>
        <w:pStyle w:val="TextBody"/>
        <w:bidi w:val="0"/>
        <w:spacing w:lineRule="auto" w:line="240" w:before="0" w:after="240"/>
        <w:ind w:left="0" w:right="0" w:firstLine="1080"/>
        <w:jc w:val="both"/>
        <w:rPr/>
      </w:pPr>
      <w:r>
        <w:rPr>
          <w:rFonts w:ascii="Times New Roman;sans-serif" w:hAnsi="Times New Roman;sans-serif"/>
          <w:b w:val="false"/>
          <w:color w:val="000000"/>
          <w:sz w:val="20"/>
        </w:rPr>
        <w:t>1.</w:t>
      </w:r>
      <w:r>
        <w:rPr>
          <w:rFonts w:ascii="Times New Roman;sans-serif" w:hAnsi="Times New Roman;sans-serif"/>
          <w:b w:val="false"/>
          <w:color w:val="000000"/>
          <w:sz w:val="20"/>
        </w:rPr>
        <w:t xml:space="preserve">Capitalized Terms. </w:t>
      </w:r>
    </w:p>
    <w:p>
      <w:pPr>
        <w:pStyle w:val="TextBody"/>
        <w:bidi w:val="0"/>
        <w:spacing w:lineRule="auto" w:line="240"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(a)Capitalized terms used herein without definition shall have the meanings assigned to them in the Indenture.</w:t>
      </w:r>
    </w:p>
    <w:p>
      <w:pPr>
        <w:pStyle w:val="TextBody"/>
        <w:bidi w:val="0"/>
        <w:spacing w:lineRule="auto" w:line="240"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(b)For all purposes of this Supplemental Indenture, capitalized terms used herein shall have the respective meanings specified below:</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i/>
          <w:color w:val="000000"/>
          <w:sz w:val="20"/>
        </w:rPr>
        <w:t>Credit Agreement</w:t>
      </w:r>
      <w:r>
        <w:rPr>
          <w:color w:val="000000"/>
        </w:rPr>
        <w:t xml:space="preserve">” </w:t>
      </w:r>
      <w:r>
        <w:rPr>
          <w:rFonts w:ascii="Times New Roman;sans-serif" w:hAnsi="Times New Roman;sans-serif"/>
          <w:b w:val="false"/>
          <w:color w:val="000000"/>
          <w:sz w:val="20"/>
        </w:rPr>
        <w:t>means that certain Credit Agreement, dated as of February 8, 2022, among the Company, the lenders from time to time party thereto, and JPMorgan Chase Bank, N.A., as administrative agent, including any related notes, guarantees and collateral documents, as the same may be amended, amended and restated, supplemented or otherwise modified from time to time.</w:t>
      </w:r>
    </w:p>
    <w:p>
      <w:pPr>
        <w:pStyle w:val="TextBody"/>
        <w:bidi w:val="0"/>
        <w:spacing w:lineRule="auto" w:line="240" w:before="0" w:after="240"/>
        <w:ind w:left="0" w:right="0" w:firstLine="720"/>
        <w:jc w:val="both"/>
        <w:rPr/>
      </w:pPr>
      <w:r>
        <w:rPr>
          <w:color w:val="000000"/>
          <w:shd w:fill="FFFFFF" w:val="clear"/>
        </w:rPr>
        <w:t>“</w:t>
      </w:r>
      <w:r>
        <w:rPr>
          <w:rFonts w:ascii="Times New Roman;sans-serif" w:hAnsi="Times New Roman;sans-serif"/>
          <w:b w:val="false"/>
          <w:i/>
          <w:color w:val="000000"/>
          <w:sz w:val="20"/>
          <w:shd w:fill="FFFFFF" w:val="clear"/>
        </w:rPr>
        <w:t>MGM Tax Protection Agreement</w:t>
      </w:r>
      <w:r>
        <w:rPr>
          <w:color w:val="000000"/>
          <w:shd w:fill="FFFFFF" w:val="clear"/>
        </w:rPr>
        <w:t xml:space="preserve">” </w:t>
      </w:r>
      <w:r>
        <w:rPr>
          <w:rFonts w:ascii="Times New Roman;sans-serif" w:hAnsi="Times New Roman;sans-serif"/>
          <w:b w:val="false"/>
          <w:color w:val="000000"/>
          <w:sz w:val="20"/>
          <w:shd w:fill="FFFFFF" w:val="clear"/>
        </w:rPr>
        <w:t>means that certain tax matters agreement, dated as of April 29, 2022, among VICI Properties OP LLC, VICI Properties Inc. and the Initial Protected Parties (as defined therein).</w:t>
      </w:r>
    </w:p>
    <w:p>
      <w:pPr>
        <w:pStyle w:val="TextBody"/>
        <w:bidi w:val="0"/>
        <w:spacing w:lineRule="auto" w:line="240" w:before="0" w:after="240"/>
        <w:ind w:left="0" w:right="0" w:firstLine="720"/>
        <w:jc w:val="both"/>
        <w:rPr/>
      </w:pPr>
      <w:r>
        <w:rPr>
          <w:color w:val="000000"/>
          <w:shd w:fill="FFFFFF" w:val="clear"/>
        </w:rPr>
        <w:t>“</w:t>
      </w:r>
      <w:r>
        <w:rPr>
          <w:rFonts w:ascii="Times New Roman;sans-serif" w:hAnsi="Times New Roman;sans-serif"/>
          <w:b w:val="false"/>
          <w:i/>
          <w:color w:val="000000"/>
          <w:sz w:val="20"/>
          <w:shd w:fill="FFFFFF" w:val="clear"/>
        </w:rPr>
        <w:t>Notes Secured Parties</w:t>
      </w:r>
      <w:r>
        <w:rPr>
          <w:color w:val="000000"/>
          <w:shd w:fill="FFFFFF" w:val="clear"/>
        </w:rPr>
        <w:t xml:space="preserve">” </w:t>
      </w:r>
      <w:r>
        <w:rPr>
          <w:rFonts w:ascii="Times New Roman;sans-serif" w:hAnsi="Times New Roman;sans-serif"/>
          <w:b w:val="false"/>
          <w:color w:val="000000"/>
          <w:sz w:val="20"/>
          <w:shd w:fill="FFFFFF" w:val="clear"/>
        </w:rPr>
        <w:t>has the meaning set forth in the Pledge Agreement.</w:t>
      </w:r>
    </w:p>
    <w:p>
      <w:pPr>
        <w:pStyle w:val="TextBody"/>
        <w:bidi w:val="0"/>
        <w:spacing w:lineRule="auto" w:line="240" w:before="0" w:after="240"/>
        <w:ind w:left="0" w:right="0" w:firstLine="720"/>
        <w:jc w:val="both"/>
        <w:rPr/>
      </w:pPr>
      <w:r>
        <w:rPr>
          <w:color w:val="000000"/>
          <w:shd w:fill="FFFFFF" w:val="clear"/>
        </w:rPr>
        <w:t>“</w:t>
      </w:r>
      <w:r>
        <w:rPr>
          <w:rFonts w:ascii="Times New Roman;sans-serif" w:hAnsi="Times New Roman;sans-serif"/>
          <w:b w:val="false"/>
          <w:i/>
          <w:color w:val="000000"/>
          <w:sz w:val="20"/>
          <w:shd w:fill="FFFFFF" w:val="clear"/>
        </w:rPr>
        <w:t>Pledge Agreement</w:t>
      </w:r>
      <w:r>
        <w:rPr>
          <w:color w:val="000000"/>
          <w:shd w:fill="FFFFFF" w:val="clear"/>
        </w:rPr>
        <w:t xml:space="preserve">” </w:t>
      </w:r>
      <w:r>
        <w:rPr>
          <w:rFonts w:ascii="Times New Roman;sans-serif" w:hAnsi="Times New Roman;sans-serif"/>
          <w:b w:val="false"/>
          <w:color w:val="000000"/>
          <w:sz w:val="20"/>
          <w:shd w:fill="FFFFFF" w:val="clear"/>
        </w:rPr>
        <w:t>means that certain Pledge Agreement, dated as of April 29, 2022, by VICI Properties OP LLC, a Delaware limited liability company,</w:t>
      </w:r>
      <w:r>
        <w:rPr>
          <w:color w:val="000000"/>
          <w:shd w:fill="FFFFFF" w:val="clear"/>
        </w:rPr>
        <w:t xml:space="preserve"> </w:t>
      </w:r>
      <w:r>
        <w:rPr>
          <w:rFonts w:ascii="Times New Roman;sans-serif" w:hAnsi="Times New Roman;sans-serif"/>
          <w:b w:val="false"/>
          <w:color w:val="000000"/>
          <w:sz w:val="20"/>
          <w:shd w:fill="FFFFFF" w:val="clear"/>
        </w:rPr>
        <w:t>as pledgor, in favor of the Trustee, for itself and the Notes Secured Parties, as the same may be amended, amended and restated, supplemented or otherwise modified from time to time in accordance with the terms thereof.</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i/>
          <w:color w:val="000000"/>
          <w:sz w:val="20"/>
        </w:rPr>
        <w:t>Pledged Interests</w:t>
      </w:r>
      <w:r>
        <w:rPr>
          <w:color w:val="000000"/>
        </w:rPr>
        <w:t xml:space="preserve">” </w:t>
      </w:r>
      <w:r>
        <w:rPr>
          <w:rFonts w:ascii="Times New Roman;sans-serif" w:hAnsi="Times New Roman;sans-serif"/>
          <w:b w:val="false"/>
          <w:color w:val="000000"/>
          <w:sz w:val="20"/>
        </w:rPr>
        <w:t>has the meaning set forth in the Pledge Agreement.</w:t>
      </w:r>
    </w:p>
    <w:p>
      <w:pPr>
        <w:pStyle w:val="TextBody"/>
        <w:bidi w:val="0"/>
        <w:spacing w:lineRule="auto" w:line="240" w:before="0" w:after="240"/>
        <w:ind w:left="0" w:right="0" w:firstLine="1080"/>
        <w:jc w:val="both"/>
        <w:rPr/>
      </w:pPr>
      <w:r>
        <w:rPr>
          <w:rFonts w:ascii="Times New Roman;sans-serif" w:hAnsi="Times New Roman;sans-serif"/>
          <w:b w:val="false"/>
          <w:color w:val="000000"/>
          <w:sz w:val="20"/>
        </w:rPr>
        <w:t>2.</w:t>
      </w:r>
      <w:r>
        <w:rPr>
          <w:rFonts w:ascii="Times New Roman;sans-serif" w:hAnsi="Times New Roman;sans-serif"/>
          <w:b w:val="false"/>
          <w:color w:val="000000"/>
          <w:sz w:val="20"/>
        </w:rPr>
        <w:t xml:space="preserve">Relationship with Indenture. The terms and provisions contained in this Supplemental Indenture will constitute, and are hereby expressly made, a part of the Indenture, and the Issuers and the Trustee, by their execution and delivery of this Supplemental Indenture, expressly agree to such terms and provisions and to be bound </w:t>
      </w:r>
    </w:p>
    <w:p>
      <w:pPr>
        <w:pStyle w:val="TextBody"/>
        <w:bidi w:val="0"/>
        <w:spacing w:before="0" w:after="0"/>
        <w:jc w:val="righ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75260"/>
                <wp:effectExtent l="0" t="0" r="0" b="0"/>
                <wp:wrapNone/>
                <wp:docPr id="144" name="Frame1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thereby. The Indenture and this Supplemental Indenture shall be read, taken and construed as one and the same instrument. In the event that any provision of this Supplemental Indenture expressly limits, qualifies or conflicts with a provision of the Indenture, such provision of this Supplemental Indenture shall control.</w:t>
      </w:r>
    </w:p>
    <w:p>
      <w:pPr>
        <w:pStyle w:val="TextBody"/>
        <w:bidi w:val="0"/>
        <w:spacing w:lineRule="auto" w:line="240" w:before="0" w:after="240"/>
        <w:ind w:left="0" w:right="0" w:firstLine="1080"/>
        <w:jc w:val="both"/>
        <w:rPr/>
      </w:pPr>
      <w:r>
        <w:rPr>
          <w:rFonts w:ascii="Times New Roman;sans-serif" w:hAnsi="Times New Roman;sans-serif"/>
          <w:b w:val="false"/>
          <w:color w:val="000000"/>
          <w:sz w:val="20"/>
        </w:rPr>
        <w:t>3.</w:t>
      </w:r>
      <w:r>
        <w:rPr>
          <w:rFonts w:ascii="Times New Roman;sans-serif" w:hAnsi="Times New Roman;sans-serif"/>
          <w:b w:val="false"/>
          <w:color w:val="000000"/>
          <w:sz w:val="20"/>
        </w:rPr>
        <w:t>Effectiveness; Conditions Precedent. The Issuers represent and warrant that each of the conditions precedent to the amendment and supplement of the Indenture (including such conditions pursuant to Article 9 of the Indenture) have been satisfied in all respects. Pursuant to Section 9.01 of the Indenture, the Issuers have provided to the Trustee a Board Resolution authorizing the execution of this Supplemental Indenture, an Officer’s Certificate and an Opinion of Counsel and have requested that the Trustee join with the Issuers in the execution of this Supplemental Indenture. The Issuers and the Trustee are on this date executing this Supplemental Indenture, which will become effective and operative on the date hereof.</w:t>
      </w:r>
    </w:p>
    <w:p>
      <w:pPr>
        <w:pStyle w:val="TextBody"/>
        <w:bidi w:val="0"/>
        <w:spacing w:lineRule="auto" w:line="240" w:before="0" w:after="240"/>
        <w:ind w:left="0" w:right="0" w:firstLine="1080"/>
        <w:jc w:val="both"/>
        <w:rPr/>
      </w:pPr>
      <w:r>
        <w:rPr>
          <w:rFonts w:ascii="Times New Roman;sans-serif" w:hAnsi="Times New Roman;sans-serif"/>
          <w:b w:val="false"/>
          <w:color w:val="000000"/>
          <w:sz w:val="20"/>
        </w:rPr>
        <w:t>4.</w:t>
      </w:r>
      <w:r>
        <w:rPr>
          <w:rFonts w:ascii="Times New Roman;sans-serif" w:hAnsi="Times New Roman;sans-serif"/>
          <w:b w:val="false"/>
          <w:color w:val="000000"/>
          <w:sz w:val="20"/>
        </w:rPr>
        <w:t xml:space="preserve">Indenture Amendments. Pursuant to Section 9.01 of the Indenture, the Indenture and the Notes are hereby amended by adding the following Article 13: </w:t>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ARTICLE 13</w:t>
      </w:r>
    </w:p>
    <w:p>
      <w:pPr>
        <w:pStyle w:val="TextBody"/>
        <w:bidi w:val="0"/>
        <w:spacing w:lineRule="auto" w:line="240"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EQUITY PLEDGE</w:t>
      </w:r>
    </w:p>
    <w:p>
      <w:pPr>
        <w:pStyle w:val="TextBody"/>
        <w:bidi w:val="0"/>
        <w:spacing w:lineRule="auto" w:line="240" w:before="0" w:after="240"/>
        <w:ind w:left="0" w:right="0" w:hanging="720"/>
        <w:jc w:val="both"/>
        <w:rPr/>
      </w:pPr>
      <w:r>
        <w:rPr>
          <w:rFonts w:ascii="Times New Roman;sans-serif" w:hAnsi="Times New Roman;sans-serif"/>
          <w:b w:val="false"/>
          <w:color w:val="000000"/>
          <w:sz w:val="20"/>
        </w:rPr>
        <w:t>Section 13.01</w:t>
      </w:r>
      <w:r>
        <w:rPr>
          <w:rFonts w:ascii="Times New Roman;sans-serif" w:hAnsi="Times New Roman;sans-serif"/>
          <w:b w:val="false"/>
          <w:i/>
          <w:color w:val="000000"/>
          <w:sz w:val="20"/>
        </w:rPr>
        <w:t>Grant of Security Interest</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Obligations with respect to the Notes will be secured as provided in the Pledge Agreement. Each Holder of a Note, by its acceptance thereof, consents and agrees to the terms of the Pledge Agreement as the same may be in effect or may be amended from time to time in accordance with its terms and authorizes and directs the Trustee to perform its obligations and exercise its rights thereunder in accordance therewith. Whether or not expressly provided in the Pledge Agreement, in acting thereunder, the Trustee shall be entitled to all of the rights, privileges, immunities and indemnities set forth in this Indenture.</w:t>
      </w:r>
    </w:p>
    <w:p>
      <w:pPr>
        <w:pStyle w:val="TextBody"/>
        <w:bidi w:val="0"/>
        <w:spacing w:lineRule="auto" w:line="240" w:before="0" w:after="240"/>
        <w:ind w:left="0" w:right="0" w:hanging="720"/>
        <w:jc w:val="both"/>
        <w:rPr/>
      </w:pPr>
      <w:r>
        <w:rPr>
          <w:rFonts w:ascii="Times New Roman;sans-serif" w:hAnsi="Times New Roman;sans-serif"/>
          <w:b w:val="false"/>
          <w:color w:val="000000"/>
          <w:sz w:val="20"/>
        </w:rPr>
        <w:t>Section 13.02</w:t>
      </w:r>
      <w:r>
        <w:rPr>
          <w:rFonts w:ascii="Times New Roman;sans-serif" w:hAnsi="Times New Roman;sans-serif"/>
          <w:b w:val="false"/>
          <w:i/>
          <w:color w:val="000000"/>
          <w:sz w:val="20"/>
        </w:rPr>
        <w:t>Termination of Security Interest</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Pursuant to the Pledge Agreement, the security interest in the Pledged Interests shall automatically terminate with respect to the Notes (i) upon payment in full of the principal of, together with premium, if any, and accrued and unpaid interest on, the Notes and all other Obligations under this Indenture that are due and payable at or prior to the time such principal, premium, if any, and interest, are paid; (ii) upon Legal Defeasance or Covenant Defeasance pursuant to the provisions set forth in Article 8 hereof or discharge of this Indenture in accordance with the provisions set forth in Article 11 hereof;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 xml:space="preserve">that the funds deposited with the Trustee, in trust, for the benefit of the Holders as required by Articles 8 and 11 hereof shall not be released other than in accordance with such provisions; or (iii) at the option of VICI Properties OP LLC, six months following the termination of the MGM Tax Protection Agreement;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that, in the case of this clause (iii), the security interest in the Pledged Interests has been released or will be simultaneously released under the Credit Agreement and any other outstanding Capital Markets Indebtedness of the Company. Upon receipt of an Officer’s Certificate from the Company certifying the satisfaction of the foregoing conditions, the Trustee shall, at the sole expense of the Issuers, execute, deliver or acknowledge (with such notarizations as are required) any necessary or proper instruments of termination, satisfaction or release to evidence the termination of the security interest in the Pledged Interests permitted to be terminated pursuant to the Pledge Agreement. The Trustee shall not be liable for any such release undertaken in reliance upon any such Officer’s Certificate, and notwithstanding any term hereof or in the Pledge Agreement to the contrary, the Trustee shall not be under any obligation to release any such security interest, or execute and deliver any such instrument of termination, satisfaction or release, unless and until it receives such Officer’s Certificate.</w:t>
      </w:r>
    </w:p>
    <w:p>
      <w:pPr>
        <w:pStyle w:val="TextBody"/>
        <w:bidi w:val="0"/>
        <w:spacing w:lineRule="auto" w:line="240" w:before="0" w:after="240"/>
        <w:ind w:left="0" w:right="0" w:hanging="1440"/>
        <w:jc w:val="both"/>
        <w:rPr/>
      </w:pPr>
      <w:r>
        <w:rPr>
          <w:rFonts w:ascii="Times New Roman;sans-serif" w:hAnsi="Times New Roman;sans-serif"/>
          <w:b w:val="false"/>
          <w:color w:val="000000"/>
          <w:sz w:val="20"/>
        </w:rPr>
        <w:t>Section 13.03</w:t>
      </w:r>
      <w:r>
        <w:rPr>
          <w:rFonts w:ascii="Times New Roman;sans-serif" w:hAnsi="Times New Roman;sans-serif"/>
          <w:b w:val="false"/>
          <w:i/>
          <w:color w:val="000000"/>
          <w:sz w:val="20"/>
        </w:rPr>
        <w:t>Authorization of Actions to Be Taken by the Trustee Under the Pledge Agreement</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Subject to the provisions of Sections 7.01 and 7.02 hereof, the Trustee may, without the consent of the Holders, and at the Issuers’ sole expense, take all actions it deems necessary or appropriate in order to enforce any of the terms of the Pledge Agreement. The Trustee will have the power to institute and maintain such suits and proceedings as it may deem expedient to prevent any impairment of the security interest in the Pledged Interests by any acts that may be unlawful or in violation of this Indenture or the Pledge Agreement, and such suits and proceedings as the Trustee may deem expedient to preserve or protect its interests and the interests of the Holders of </w:t>
      </w:r>
    </w:p>
    <w:p>
      <w:pPr>
        <w:pStyle w:val="TextBody"/>
        <w:bidi w:val="0"/>
        <w:spacing w:before="0" w:after="0"/>
        <w:jc w:val="righ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75260"/>
                <wp:effectExtent l="0" t="0" r="0" b="0"/>
                <wp:wrapNone/>
                <wp:docPr id="145" name="Frame1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Notes in the Pledged Interests (including power to institute and maintain suits or proceedings to restrain the enforcement of or compliance with any legislative or other governmental enactment, rule or order that may be unconstitutional or otherwise invalid if the enforcement of, or compliance with, such enactment, rule or order would impair the security interest in the Pledged Interests or be prejudicial to the interests of the Holders or of the Trustee).</w:t>
      </w:r>
    </w:p>
    <w:p>
      <w:pPr>
        <w:pStyle w:val="TextBody"/>
        <w:bidi w:val="0"/>
        <w:spacing w:lineRule="auto" w:line="240" w:before="0" w:after="240"/>
        <w:ind w:left="0" w:right="0" w:hanging="1440"/>
        <w:jc w:val="both"/>
        <w:rPr/>
      </w:pPr>
      <w:r>
        <w:rPr>
          <w:rFonts w:ascii="Times New Roman;sans-serif" w:hAnsi="Times New Roman;sans-serif"/>
          <w:b w:val="false"/>
          <w:color w:val="000000"/>
          <w:sz w:val="20"/>
        </w:rPr>
        <w:t>Section 13.04</w:t>
      </w:r>
      <w:r>
        <w:rPr>
          <w:rFonts w:ascii="Times New Roman;sans-serif" w:hAnsi="Times New Roman;sans-serif"/>
          <w:b w:val="false"/>
          <w:i/>
          <w:color w:val="000000"/>
          <w:sz w:val="20"/>
        </w:rPr>
        <w:t xml:space="preserve">No Representations; Further Assurances. </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Neither the Trustee nor any of its officers, directors, employees, attorneys or agents makes any representations as to, and shall not be responsible or liable for the existence, genuineness, value, protection or condition of, any of the Pledged Interests or as to the security afforded or intended to be afforded thereby, hereby or by the Pledge Agreement, or for the legality, sufficiency, effectiveness, validity, perfection, priority or enforceability of the security interests in any of the Pledged Interests created or intended to be created by the Pledge Agreement, whether impaired by operation of law or by reason of any action or omission to act on its part hereunder or under the Pledge Agreement, for the validity or sufficiency of the Pledge Agreement or any agreement or assignment contained therein, for the validity of the title of the pledgor under the Pledge Agreement to the Pledged Interests, for insuring the Pledged Interests or for the payment of taxes, charges, assessments or liens upon the Pledged Interests or otherwise as to the maintenance of the Pledged Interests or any defect or deficiency as to any such matters. The Trustee hereby disclaims any representation or warranty to the present and future Holders of Notes concerning the perfection of the security interests granted under the Pledge Agreement or the value of any of the Pledged Interests.</w:t>
      </w:r>
    </w:p>
    <w:p>
      <w:pPr>
        <w:pStyle w:val="TextBody"/>
        <w:bidi w:val="0"/>
        <w:spacing w:lineRule="auto" w:line="240" w:before="0" w:after="240"/>
        <w:ind w:left="0" w:right="0" w:hanging="1440"/>
        <w:jc w:val="both"/>
        <w:rPr/>
      </w:pPr>
      <w:r>
        <w:rPr>
          <w:rFonts w:ascii="Times New Roman;sans-serif" w:hAnsi="Times New Roman;sans-serif"/>
          <w:b w:val="false"/>
          <w:color w:val="000000"/>
          <w:sz w:val="20"/>
        </w:rPr>
        <w:t>Section 13.05</w:t>
      </w:r>
      <w:r>
        <w:rPr>
          <w:rFonts w:ascii="Times New Roman;sans-serif" w:hAnsi="Times New Roman;sans-serif"/>
          <w:b w:val="false"/>
          <w:i/>
          <w:color w:val="000000"/>
          <w:sz w:val="20"/>
        </w:rPr>
        <w:t>Certain Rights of Trustee under the Pledge Agreement</w:t>
      </w:r>
      <w:r>
        <w:rPr>
          <w:rFonts w:ascii="Times New Roman;sans-serif" w:hAnsi="Times New Roman;sans-serif"/>
          <w:b w:val="false"/>
          <w:color w:val="000000"/>
          <w:sz w:val="20"/>
        </w:rPr>
        <w:t>.</w:t>
      </w:r>
    </w:p>
    <w:p>
      <w:pPr>
        <w:pStyle w:val="TextBody"/>
        <w:bidi w:val="0"/>
        <w:spacing w:lineRule="auto" w:line="240" w:before="0" w:after="240"/>
        <w:ind w:left="0" w:right="0" w:firstLine="540"/>
        <w:jc w:val="both"/>
        <w:rPr/>
      </w:pPr>
      <w:r>
        <w:rPr>
          <w:rFonts w:ascii="Times New Roman;sans-serif" w:hAnsi="Times New Roman;sans-serif"/>
          <w:b w:val="false"/>
          <w:color w:val="000000"/>
          <w:sz w:val="20"/>
        </w:rPr>
        <w:t xml:space="preserve">(a)The Trustee shall have all the rights (including indemnification rights), powers, benefits, privileges, protections, indemnities and immunities provided in the Pledge Agreement and, additionally, shall have all the rights (including indemnification rights), benefits, privileges, protections, indemnities and immunities in its dealings under the Pledge Agreement as are provided to the Trustee under this Indenture and under applicable law, all of which are incorporated herein </w:t>
      </w:r>
      <w:r>
        <w:rPr>
          <w:rFonts w:ascii="Times New Roman;sans-serif" w:hAnsi="Times New Roman;sans-serif"/>
          <w:b w:val="false"/>
          <w:i/>
          <w:color w:val="000000"/>
          <w:sz w:val="20"/>
        </w:rPr>
        <w:t>mutatis mutandis</w:t>
      </w:r>
      <w:r>
        <w:rPr>
          <w:rFonts w:ascii="Times New Roman;sans-serif" w:hAnsi="Times New Roman;sans-serif"/>
          <w:b w:val="false"/>
          <w:color w:val="000000"/>
          <w:sz w:val="20"/>
        </w:rPr>
        <w:t>.</w:t>
      </w:r>
    </w:p>
    <w:p>
      <w:pPr>
        <w:pStyle w:val="TextBody"/>
        <w:bidi w:val="0"/>
        <w:spacing w:lineRule="auto" w:line="240" w:before="0" w:after="24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(b)Except as required or permitted by the Pledge Agreement, the Holders, by accepting a Note, acknowledge that the Trustee will not be obligated under the Pledge Agreement:</w:t>
      </w:r>
    </w:p>
    <w:p>
      <w:pPr>
        <w:pStyle w:val="TextBody"/>
        <w:bidi w:val="0"/>
        <w:spacing w:lineRule="auto" w:line="240" w:before="0" w:after="240"/>
        <w:ind w:left="0" w:right="0" w:firstLine="1080"/>
        <w:jc w:val="left"/>
        <w:rPr>
          <w:rFonts w:ascii="Times New Roman;sans-serif" w:hAnsi="Times New Roman;sans-serif"/>
          <w:b w:val="false"/>
          <w:color w:val="000000"/>
          <w:sz w:val="20"/>
        </w:rPr>
      </w:pPr>
      <w:r>
        <w:rPr>
          <w:rFonts w:ascii="Times New Roman;sans-serif" w:hAnsi="Times New Roman;sans-serif"/>
          <w:b w:val="false"/>
          <w:color w:val="000000"/>
          <w:sz w:val="20"/>
        </w:rPr>
        <w:t>(i)to act upon directions purported to be delivered to it by any Person, except in accordance with the Pledge Agreement and this Indenture;</w:t>
      </w:r>
    </w:p>
    <w:p>
      <w:pPr>
        <w:pStyle w:val="TextBody"/>
        <w:bidi w:val="0"/>
        <w:spacing w:lineRule="auto" w:line="240" w:before="0" w:after="240"/>
        <w:ind w:left="0" w:right="0" w:firstLine="1080"/>
        <w:jc w:val="left"/>
        <w:rPr>
          <w:rFonts w:ascii="Times New Roman;sans-serif" w:hAnsi="Times New Roman;sans-serif"/>
          <w:b w:val="false"/>
          <w:color w:val="000000"/>
          <w:sz w:val="20"/>
        </w:rPr>
      </w:pPr>
      <w:r>
        <w:rPr>
          <w:rFonts w:ascii="Times New Roman;sans-serif" w:hAnsi="Times New Roman;sans-serif"/>
          <w:b w:val="false"/>
          <w:color w:val="000000"/>
          <w:sz w:val="20"/>
        </w:rPr>
        <w:t>(ii)to foreclose upon or otherwise enforce any security interest granted pursuant to the Pledge Agreement; or</w:t>
      </w:r>
    </w:p>
    <w:p>
      <w:pPr>
        <w:pStyle w:val="TextBody"/>
        <w:bidi w:val="0"/>
        <w:spacing w:lineRule="auto" w:line="240" w:before="0" w:after="240"/>
        <w:ind w:left="0" w:right="0" w:firstLine="1080"/>
        <w:jc w:val="left"/>
        <w:rPr>
          <w:rFonts w:ascii="Times New Roman;sans-serif" w:hAnsi="Times New Roman;sans-serif"/>
          <w:b w:val="false"/>
          <w:color w:val="000000"/>
          <w:sz w:val="20"/>
        </w:rPr>
      </w:pPr>
      <w:r>
        <w:rPr>
          <w:rFonts w:ascii="Times New Roman;sans-serif" w:hAnsi="Times New Roman;sans-serif"/>
          <w:b w:val="false"/>
          <w:color w:val="000000"/>
          <w:sz w:val="20"/>
        </w:rPr>
        <w:t>(iii)to take any other action whatsoever with regard to the Pledge Agreement (including any security interests granted thereunder) or the Pledged Interests.</w:t>
      </w:r>
    </w:p>
    <w:p>
      <w:pPr>
        <w:pStyle w:val="TextBody"/>
        <w:bidi w:val="0"/>
        <w:spacing w:lineRule="auto" w:line="240" w:before="0" w:after="24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(c)For the avoidance of doubt, the Trustee will have no discretion under this Indenture or the Pledge Agreement and will not be required to make or give any determination, consent, approval, request or direction without the written direction of the Holders of a majority in aggregate principal amount of the then outstanding Notes.</w:t>
      </w:r>
    </w:p>
    <w:p>
      <w:pPr>
        <w:pStyle w:val="TextBody"/>
        <w:bidi w:val="0"/>
        <w:spacing w:lineRule="auto" w:line="240" w:before="0" w:after="240"/>
        <w:ind w:left="0" w:right="0" w:firstLine="540"/>
        <w:jc w:val="both"/>
        <w:rPr/>
      </w:pPr>
      <w:r>
        <w:rPr>
          <w:rFonts w:ascii="Times New Roman;sans-serif" w:hAnsi="Times New Roman;sans-serif"/>
          <w:b w:val="false"/>
          <w:color w:val="000000"/>
          <w:sz w:val="20"/>
        </w:rPr>
        <w:t>(d)Other than in connection with a release of the Pledged Interests in accordance with Section 13.02, in each case that the Trustee may or is requested or required hereunder or under the Pledge Agreement to take any action (an “</w:t>
      </w:r>
      <w:r>
        <w:rPr>
          <w:rFonts w:ascii="Times New Roman;sans-serif" w:hAnsi="Times New Roman;sans-serif"/>
          <w:b w:val="false"/>
          <w:i/>
          <w:color w:val="000000"/>
          <w:sz w:val="20"/>
        </w:rPr>
        <w:t>Action</w:t>
      </w:r>
      <w:r>
        <w:rPr>
          <w:color w:val="000000"/>
        </w:rPr>
        <w:t>”</w:t>
      </w:r>
      <w:r>
        <w:rPr>
          <w:rFonts w:ascii="Times New Roman;sans-serif" w:hAnsi="Times New Roman;sans-serif"/>
          <w:b w:val="false"/>
          <w:color w:val="000000"/>
          <w:sz w:val="20"/>
        </w:rPr>
        <w:t xml:space="preserve">), including without limitation to make any determination, to give consents, to exercise rights, powers or remedies, to release or sell the Pledged Interests or otherwise to act hereunder or under the Pledge Agreement, the Trustee may seek direction from the Holders of a majority in aggregate principal amount of the then outstanding Notes. The Trustee will not be liable with respect to any Action taken or omitted to be taken by it in accordance with the direction from the Holders of a majority in aggregate principal amount of the then outstanding Notes. If the Trustee requests direction from the Holders of a majority in aggregate principal amount of the then outstanding Notes with respect to any Action, the Trustee will be entitled to refrain from such Action until it has received direction from the Holders of a majority in aggregate principal amount of the then outstanding Notes, and if </w:t>
      </w:r>
    </w:p>
    <w:p>
      <w:pPr>
        <w:pStyle w:val="TextBody"/>
        <w:bidi w:val="0"/>
        <w:spacing w:before="0" w:after="0"/>
        <w:jc w:val="righ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75260"/>
                <wp:effectExtent l="0" t="0" r="0" b="0"/>
                <wp:wrapNone/>
                <wp:docPr id="146" name="Frame1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requested, indemnity satisfactory to it, and the Trustee will not incur liability to any Person by reason of so refraining.</w:t>
      </w:r>
    </w:p>
    <w:p>
      <w:pPr>
        <w:pStyle w:val="TextBody"/>
        <w:bidi w:val="0"/>
        <w:spacing w:lineRule="auto" w:line="240" w:before="0" w:after="240"/>
        <w:ind w:left="0" w:right="0" w:firstLine="1080"/>
        <w:jc w:val="both"/>
        <w:rPr/>
      </w:pPr>
      <w:r>
        <w:rPr>
          <w:rFonts w:ascii="Times New Roman;sans-serif" w:hAnsi="Times New Roman;sans-serif"/>
          <w:b w:val="false"/>
          <w:color w:val="000000"/>
          <w:sz w:val="20"/>
        </w:rPr>
        <w:t>5.</w:t>
      </w:r>
      <w:r>
        <w:rPr>
          <w:rFonts w:ascii="Times New Roman;sans-serif" w:hAnsi="Times New Roman;sans-serif"/>
          <w:b w:val="false"/>
          <w:color w:val="000000"/>
          <w:sz w:val="20"/>
        </w:rPr>
        <w:t>Notes. The Notes, with effect on and from the date hereof, shall be deemed supplemented, modified and amended in such manner as necessary to make the terms of the Notes consistent with the terms of the Indenture, as amended by this Supplemental Indenture.</w:t>
      </w:r>
    </w:p>
    <w:p>
      <w:pPr>
        <w:pStyle w:val="TextBody"/>
        <w:bidi w:val="0"/>
        <w:spacing w:lineRule="auto" w:line="240" w:before="0" w:after="240"/>
        <w:ind w:left="0" w:right="0" w:firstLine="1080"/>
        <w:jc w:val="both"/>
        <w:rPr/>
      </w:pPr>
      <w:r>
        <w:rPr>
          <w:rFonts w:ascii="Times New Roman;sans-serif" w:hAnsi="Times New Roman;sans-serif"/>
          <w:b w:val="false"/>
          <w:color w:val="000000"/>
          <w:sz w:val="20"/>
        </w:rPr>
        <w:t>6.</w:t>
      </w:r>
      <w:r>
        <w:rPr>
          <w:rFonts w:ascii="Times New Roman;sans-serif" w:hAnsi="Times New Roman;sans-serif"/>
          <w:b w:val="false"/>
          <w:color w:val="000000"/>
          <w:sz w:val="20"/>
        </w:rPr>
        <w:t>Ratification of the Indenture; Supplemental Indenture Part of the Indenture. Except as expressly amended hereby, the Indenture is in all respects ratified and confirmed and all the terms, conditions and provisions thereof shall remain in full force and effect. This Supplemental Indenture shall form a part of the Indenture for all purposes, and every Holder heretofore or hereafter authenticated and delivered shall be bound hereby. Upon and after the execution of this Supplemental Indenture, each reference to the Indenture or the Notes in the Indenture or the Notes shall mean and be a reference to the Indenture or the Notes as modified hereby after giving effect to this Supplemental Indenture. The rights, protections and indemnities provided to the Trustee under the Indenture shall apply to any action (or inaction) of the Trustee in connection herewith, including in connection with the execution and delivery of this Supplemental Indenture.</w:t>
      </w:r>
    </w:p>
    <w:p>
      <w:pPr>
        <w:pStyle w:val="TextBody"/>
        <w:bidi w:val="0"/>
        <w:spacing w:lineRule="auto" w:line="240" w:before="0" w:after="240"/>
        <w:ind w:left="0" w:right="0" w:firstLine="1080"/>
        <w:jc w:val="both"/>
        <w:rPr/>
      </w:pPr>
      <w:r>
        <w:rPr>
          <w:rFonts w:ascii="Times New Roman;sans-serif" w:hAnsi="Times New Roman;sans-serif"/>
          <w:b w:val="false"/>
          <w:color w:val="000000"/>
          <w:sz w:val="16"/>
        </w:rPr>
        <w:t>7.</w:t>
      </w:r>
      <w:r>
        <w:rPr>
          <w:rFonts w:ascii="Times New Roman;sans-serif" w:hAnsi="Times New Roman;sans-serif"/>
          <w:b w:val="false"/>
          <w:color w:val="000000"/>
          <w:sz w:val="20"/>
        </w:rPr>
        <w:t>No Recourse Against Others. No recourse for the payment of the principal of, premium, if any, or interest on any of the Notes or for any claim based thereon or otherwise in respect thereof, and no recourse under or upon any obligation, covenant or agreement of the Issuers in the Indenture, or in any of the Notes or because of the creation of any Indebtedness represented thereby, shall be had against any past, present or future incorporator, partner, stockholder, officer, director, employee or controlling person in their capacity as such of the Issuers or of any successor Person thereof. Each Holder, by accepting the Notes, waives and releases all such liability. The waiver and release are part of the consideration for issuance of the Notes. The waiver may not be effective to waive liabilities under the federal securities laws.</w:t>
      </w:r>
    </w:p>
    <w:p>
      <w:pPr>
        <w:pStyle w:val="TextBody"/>
        <w:bidi w:val="0"/>
        <w:spacing w:lineRule="auto" w:line="240" w:before="0" w:after="240"/>
        <w:ind w:left="0" w:right="0" w:firstLine="1080"/>
        <w:jc w:val="both"/>
        <w:rPr/>
      </w:pPr>
      <w:r>
        <w:rPr>
          <w:rFonts w:ascii="Times New Roman;sans-serif" w:hAnsi="Times New Roman;sans-serif"/>
          <w:b w:val="false"/>
          <w:color w:val="000000"/>
          <w:sz w:val="20"/>
        </w:rPr>
        <w:t>8.</w:t>
      </w:r>
      <w:r>
        <w:rPr>
          <w:rFonts w:ascii="Times New Roman;sans-serif" w:hAnsi="Times New Roman;sans-serif"/>
          <w:b w:val="false"/>
          <w:color w:val="000000"/>
          <w:sz w:val="20"/>
        </w:rPr>
        <w:t>New York Law to Govern. THE INTERNAL LAW OF THE STATE OF NEW YORK SHALL GOVERN AND BE USED TO CONSTRUE THIS SUPPLEMENTAL INDENTURE WITHOUT GIVING EFFECT TO APPLICABLE PRINCIPLES OF CONFLICTS OF LAW TO THE EXTENT THAT THE APPLICATION OF THE LAWS OF ANOTHER JURISDICTION WOULD BE REQUIRED THEREBY.</w:t>
      </w:r>
    </w:p>
    <w:p>
      <w:pPr>
        <w:pStyle w:val="TextBody"/>
        <w:bidi w:val="0"/>
        <w:spacing w:lineRule="auto" w:line="240" w:before="0" w:after="240"/>
        <w:ind w:left="0" w:right="0" w:firstLine="1080"/>
        <w:jc w:val="both"/>
        <w:rPr/>
      </w:pPr>
      <w:r>
        <w:rPr>
          <w:rFonts w:ascii="Times New Roman;sans-serif" w:hAnsi="Times New Roman;sans-serif"/>
          <w:b w:val="false"/>
          <w:color w:val="000000"/>
          <w:sz w:val="20"/>
        </w:rPr>
        <w:t>9.</w:t>
      </w:r>
      <w:r>
        <w:rPr>
          <w:rFonts w:ascii="Times New Roman;sans-serif" w:hAnsi="Times New Roman;sans-serif"/>
          <w:b w:val="false"/>
          <w:color w:val="000000"/>
          <w:sz w:val="20"/>
        </w:rPr>
        <w:t>Counterparts. The parties may sign any number of copies of this Supplemental Indenture. Each signed copy shall be an original, but all of them together represent the same agreement.</w:t>
      </w:r>
      <w:r>
        <w:rPr>
          <w:color w:val="000000"/>
        </w:rPr>
        <w:t xml:space="preserve"> </w:t>
      </w:r>
      <w:r>
        <w:rPr>
          <w:rFonts w:ascii="Times New Roman;sans-serif" w:hAnsi="Times New Roman;sans-serif"/>
          <w:b w:val="false"/>
          <w:color w:val="000000"/>
          <w:sz w:val="20"/>
        </w:rPr>
        <w:t>Delivery of an executed signature page of this Supplemental Indenture by facsimile or any other rapid transmission device designed to produce a written record of the communication transmitted shall be as effective as delivery of a manually executed counterpart thereof. The words “execution,” “executed,” “signed,” signature” and words of like import in this Supplemental Indenture or in any other certificate, agreement or document related to this Supplemental Indenture shall include images of manually executed signatures transmitted by facsimile, email or other electronic format (including, without limitation, “pdf,” “tif” or “jpg”) and other electronic signatures (including, without limitation, DocuSign and AdobeSign). The use of electronic signatures and electronic records (including, without limitation, any contract or other record created, generated, sent, communicated, received, or stored by electronic means) shall be of the same legal effect, validity and enforceability as a manually executed signature or use of a paper-based record-keeping system to the fullest extent permitted by applicable law, including the Federal Electronic Signatures in Global and National Commerce Act, the New York State Electronic Signatures and Records Act and any other applicable law, including, without limitation, any state law based on the Uniform Electronic Transactions Act or the Uniform Commercial Code.</w:t>
      </w:r>
    </w:p>
    <w:p>
      <w:pPr>
        <w:pStyle w:val="TextBody"/>
        <w:bidi w:val="0"/>
        <w:spacing w:lineRule="auto" w:line="240" w:before="0" w:after="240"/>
        <w:ind w:left="0" w:right="0" w:firstLine="1080"/>
        <w:jc w:val="both"/>
        <w:rPr/>
      </w:pPr>
      <w:r>
        <w:rPr>
          <w:rFonts w:ascii="Times New Roman;sans-serif" w:hAnsi="Times New Roman;sans-serif"/>
          <w:b w:val="false"/>
          <w:color w:val="000000"/>
          <w:sz w:val="20"/>
        </w:rPr>
        <w:t>10.</w:t>
      </w:r>
      <w:r>
        <w:rPr>
          <w:rFonts w:ascii="Times New Roman;sans-serif" w:hAnsi="Times New Roman;sans-serif"/>
          <w:b w:val="false"/>
          <w:color w:val="000000"/>
          <w:sz w:val="20"/>
        </w:rPr>
        <w:t>Effect of Headings. The Section headings herein are for convenience only and shall not affect the construction hereof.</w:t>
      </w:r>
    </w:p>
    <w:p>
      <w:pPr>
        <w:pStyle w:val="TextBody"/>
        <w:bidi w:val="0"/>
        <w:spacing w:lineRule="auto" w:line="240" w:before="0" w:after="240"/>
        <w:ind w:left="0" w:right="0" w:firstLine="1080"/>
        <w:jc w:val="both"/>
        <w:rPr/>
      </w:pPr>
      <w:r>
        <w:rPr>
          <w:rFonts w:ascii="Times New Roman;sans-serif" w:hAnsi="Times New Roman;sans-serif"/>
          <w:b w:val="false"/>
          <w:color w:val="000000"/>
          <w:sz w:val="20"/>
        </w:rPr>
        <w:t>11.</w:t>
      </w:r>
      <w:r>
        <w:rPr>
          <w:rFonts w:ascii="Times New Roman;sans-serif" w:hAnsi="Times New Roman;sans-serif"/>
          <w:b w:val="false"/>
          <w:color w:val="000000"/>
          <w:sz w:val="20"/>
        </w:rPr>
        <w:t>The Trustee. The Trustee shall not be responsible in any manner whatsoever for or in respect of the validity or sufficiency of this Supplemental Indenture or for or in respect of the recitals contained herein, all of which recitals are made solely by the Issuers.</w:t>
      </w:r>
    </w:p>
    <w:p>
      <w:pPr>
        <w:pStyle w:val="TextBody"/>
        <w:bidi w:val="0"/>
        <w:spacing w:lineRule="auto" w:line="240" w:before="0" w:after="240"/>
        <w:jc w:val="center"/>
        <w:rPr/>
      </w:pPr>
      <w:r>
        <w:rPr>
          <w:rFonts w:ascii="Times New Roman;sans-serif" w:hAnsi="Times New Roman;sans-serif"/>
          <w:b w:val="false"/>
          <w:color w:val="000000"/>
          <w:sz w:val="20"/>
        </w:rPr>
        <w:t>[</w:t>
      </w:r>
      <w:r>
        <w:rPr>
          <w:rFonts w:ascii="Times New Roman;sans-serif" w:hAnsi="Times New Roman;sans-serif"/>
          <w:b w:val="false"/>
          <w:i/>
          <w:color w:val="000000"/>
          <w:sz w:val="20"/>
        </w:rPr>
        <w:t>Signature pages follow</w:t>
      </w:r>
      <w:r>
        <w:rPr>
          <w:rFonts w:ascii="Times New Roman;sans-serif" w:hAnsi="Times New Roman;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75260"/>
                <wp:effectExtent l="0" t="0" r="0" b="0"/>
                <wp:wrapNone/>
                <wp:docPr id="147" name="Frame1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WITNESS WHEREOF, the parties hereto have caused this Supplemental Indenture to be duly executed and attested, all as of the date first above written.</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Dated: April 29, 2022</w:t>
      </w:r>
    </w:p>
    <w:p>
      <w:pPr>
        <w:pStyle w:val="TextBody"/>
        <w:bidi w:val="0"/>
        <w:spacing w:before="0" w:after="240"/>
        <w:ind w:left="0" w:right="0" w:firstLine="720"/>
        <w:jc w:val="both"/>
        <w:rPr/>
      </w:pPr>
      <w:r>
        <w:rPr/>
      </w:r>
    </w:p>
    <w:p>
      <w:pPr>
        <w:pStyle w:val="TextBody"/>
        <w:bidi w:val="0"/>
        <w:spacing w:lineRule="auto" w:line="240" w:before="0" w:after="24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VICI PROPERTIES L.P.</w:t>
      </w:r>
    </w:p>
    <w:p>
      <w:pPr>
        <w:pStyle w:val="TextBody"/>
        <w:bidi w:val="0"/>
        <w:spacing w:lineRule="auto" w:line="240"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BY: VICI PROPERTIES GP LLC, its general partner</w:t>
      </w:r>
    </w:p>
    <w:p>
      <w:pPr>
        <w:pStyle w:val="TextBody"/>
        <w:bidi w:val="0"/>
        <w:spacing w:before="0" w:after="240"/>
        <w:jc w:val="left"/>
        <w:rPr/>
      </w:pPr>
      <w:r>
        <w:rPr/>
      </w:r>
    </w:p>
    <w:p>
      <w:pPr>
        <w:pStyle w:val="TextBody"/>
        <w:bidi w:val="0"/>
        <w:spacing w:lineRule="auto" w:line="240" w:before="0" w:after="0"/>
        <w:ind w:left="0" w:right="0" w:firstLine="720"/>
        <w:jc w:val="left"/>
        <w:rPr/>
      </w:pPr>
      <w:r>
        <w:rPr>
          <w:rFonts w:ascii="Times New Roman;sans-serif" w:hAnsi="Times New Roman;sans-serif"/>
          <w:b w:val="false"/>
          <w:color w:val="000000"/>
          <w:sz w:val="20"/>
        </w:rPr>
        <w:t>By:</w:t>
      </w:r>
      <w:r>
        <w:rPr>
          <w:color w:val="000000"/>
          <w:u w:val="single"/>
        </w:rPr>
        <w:t xml:space="preserve"> </w:t>
      </w:r>
      <w:r>
        <w:rPr>
          <w:rFonts w:ascii="Times New Roman;sans-serif" w:hAnsi="Times New Roman;sans-serif"/>
          <w:b w:val="false"/>
          <w:color w:val="000000"/>
          <w:sz w:val="20"/>
          <w:u w:val="single"/>
        </w:rPr>
        <w:t>/s/ David A. Kieske    </w:t>
      </w:r>
    </w:p>
    <w:p>
      <w:pPr>
        <w:pStyle w:val="TextBody"/>
        <w:bidi w:val="0"/>
        <w:spacing w:lineRule="auto" w:line="240"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Name: David A. Kieske</w:t>
      </w:r>
    </w:p>
    <w:p>
      <w:pPr>
        <w:pStyle w:val="TextBody"/>
        <w:bidi w:val="0"/>
        <w:spacing w:lineRule="auto" w:line="240"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Title: Treasurer</w:t>
      </w:r>
    </w:p>
    <w:p>
      <w:pPr>
        <w:pStyle w:val="TextBody"/>
        <w:bidi w:val="0"/>
        <w:spacing w:before="0" w:after="240"/>
        <w:ind w:left="0" w:right="0" w:firstLine="360"/>
        <w:jc w:val="both"/>
        <w:rPr/>
      </w:pPr>
      <w:r>
        <w:rPr/>
      </w:r>
    </w:p>
    <w:p>
      <w:pPr>
        <w:pStyle w:val="TextBody"/>
        <w:bidi w:val="0"/>
        <w:spacing w:lineRule="auto" w:line="240" w:before="0" w:after="24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VICI NOTE CO. INC.</w:t>
      </w:r>
    </w:p>
    <w:p>
      <w:pPr>
        <w:pStyle w:val="TextBody"/>
        <w:bidi w:val="0"/>
        <w:spacing w:before="0" w:after="240"/>
        <w:ind w:left="0" w:right="0" w:firstLine="720"/>
        <w:jc w:val="left"/>
        <w:rPr/>
      </w:pPr>
      <w:r>
        <w:rPr/>
      </w:r>
    </w:p>
    <w:p>
      <w:pPr>
        <w:pStyle w:val="TextBody"/>
        <w:bidi w:val="0"/>
        <w:spacing w:lineRule="auto" w:line="240" w:before="0" w:after="0"/>
        <w:ind w:left="0" w:right="0" w:firstLine="4"/>
        <w:jc w:val="left"/>
        <w:rPr/>
      </w:pPr>
      <w:r>
        <w:rPr>
          <w:rFonts w:ascii="Times New Roman;sans-serif" w:hAnsi="Times New Roman;sans-serif"/>
          <w:b w:val="false"/>
          <w:color w:val="000000"/>
          <w:sz w:val="20"/>
        </w:rPr>
        <w:t>By:</w:t>
      </w:r>
      <w:r>
        <w:rPr>
          <w:color w:val="000000"/>
          <w:u w:val="single"/>
        </w:rPr>
        <w:t xml:space="preserve"> </w:t>
      </w:r>
      <w:r>
        <w:rPr>
          <w:rFonts w:ascii="Times New Roman;sans-serif" w:hAnsi="Times New Roman;sans-serif"/>
          <w:b w:val="false"/>
          <w:color w:val="000000"/>
          <w:sz w:val="20"/>
          <w:u w:val="single"/>
        </w:rPr>
        <w:t>/s/ David A. Kieske    </w:t>
      </w:r>
    </w:p>
    <w:p>
      <w:pPr>
        <w:pStyle w:val="TextBody"/>
        <w:bidi w:val="0"/>
        <w:spacing w:lineRule="auto" w:line="240" w:before="0" w:after="0"/>
        <w:ind w:left="0" w:right="0" w:firstLine="4"/>
        <w:jc w:val="left"/>
        <w:rPr>
          <w:rFonts w:ascii="Times New Roman;sans-serif" w:hAnsi="Times New Roman;sans-serif"/>
          <w:b w:val="false"/>
          <w:color w:val="000000"/>
          <w:sz w:val="20"/>
        </w:rPr>
      </w:pPr>
      <w:r>
        <w:rPr>
          <w:rFonts w:ascii="Times New Roman;sans-serif" w:hAnsi="Times New Roman;sans-serif"/>
          <w:b w:val="false"/>
          <w:color w:val="000000"/>
          <w:sz w:val="20"/>
        </w:rPr>
        <w:t>Name: David A. Kieske</w:t>
      </w:r>
    </w:p>
    <w:p>
      <w:pPr>
        <w:pStyle w:val="TextBody"/>
        <w:bidi w:val="0"/>
        <w:spacing w:lineRule="auto" w:line="240"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Title: Treasurer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53670"/>
                <wp:effectExtent l="0" t="0" r="0" b="0"/>
                <wp:wrapNone/>
                <wp:docPr id="148" name="Frame146"/>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307" w:before="0" w:after="0"/>
                              <w:jc w:val="center"/>
                              <w:rPr/>
                            </w:pPr>
                            <w:r>
                              <w:rPr>
                                <w:rFonts w:ascii="Times New Roman;sans-serif" w:hAnsi="Times New Roman;sans-serif"/>
                                <w:b w:val="false"/>
                                <w:color w:val="000000"/>
                                <w:sz w:val="21"/>
                              </w:rPr>
                              <w:t>[</w:t>
                            </w:r>
                            <w:r>
                              <w:rPr>
                                <w:rFonts w:ascii="Times New Roman;sans-serif" w:hAnsi="Times New Roman;sans-serif"/>
                                <w:b w:val="false"/>
                                <w:i/>
                                <w:color w:val="000000"/>
                                <w:sz w:val="21"/>
                              </w:rPr>
                              <w:t>Signature Page to Supplemental Indenture – VICI 3.750% Notes due 2027 - VICI</w:t>
                            </w:r>
                            <w:r>
                              <w:rPr>
                                <w:rFonts w:ascii="Times New Roman;sans-serif" w:hAnsi="Times New Roman;sans-serif"/>
                                <w:b w:val="false"/>
                                <w:color w:val="000000"/>
                                <w:sz w:val="21"/>
                              </w:rPr>
                              <w: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7" w:before="0" w:after="0"/>
                        <w:jc w:val="center"/>
                        <w:rPr/>
                      </w:pPr>
                      <w:r>
                        <w:rPr>
                          <w:rFonts w:ascii="Times New Roman;sans-serif" w:hAnsi="Times New Roman;sans-serif"/>
                          <w:b w:val="false"/>
                          <w:color w:val="000000"/>
                          <w:sz w:val="21"/>
                        </w:rPr>
                        <w:t>[</w:t>
                      </w:r>
                      <w:r>
                        <w:rPr>
                          <w:rFonts w:ascii="Times New Roman;sans-serif" w:hAnsi="Times New Roman;sans-serif"/>
                          <w:b w:val="false"/>
                          <w:i/>
                          <w:color w:val="000000"/>
                          <w:sz w:val="21"/>
                        </w:rPr>
                        <w:t>Signature Page to Supplemental Indenture – VICI 3.750% Notes due 2027 - VICI</w:t>
                      </w:r>
                      <w:r>
                        <w:rPr>
                          <w:rFonts w:ascii="Times New Roman;sans-serif" w:hAnsi="Times New Roman;sans-serif"/>
                          <w:b w:val="false"/>
                          <w:color w:val="000000"/>
                          <w:sz w:val="21"/>
                        </w:rPr>
                        <w:t>]</w:t>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color w:val="000000"/>
          <w:sz w:val="20"/>
        </w:rPr>
        <w:t>UMB BANK, NATIONAL ASSOCIATION</w:t>
      </w:r>
      <w:r>
        <w:rPr>
          <w:rFonts w:ascii="Times New Roman;sans-serif" w:hAnsi="Times New Roman;sans-serif"/>
          <w:b w:val="false"/>
          <w:color w:val="000000"/>
          <w:sz w:val="20"/>
        </w:rPr>
        <w:t>, as Trustee</w:t>
      </w:r>
    </w:p>
    <w:p>
      <w:pPr>
        <w:pStyle w:val="TextBody"/>
        <w:bidi w:val="0"/>
        <w:spacing w:before="0" w:after="240"/>
        <w:jc w:val="both"/>
        <w:rPr/>
      </w:pPr>
      <w:r>
        <w:rPr/>
      </w:r>
    </w:p>
    <w:p>
      <w:pPr>
        <w:pStyle w:val="TextBody"/>
        <w:bidi w:val="0"/>
        <w:spacing w:lineRule="auto" w:line="240" w:before="0" w:after="0"/>
        <w:jc w:val="both"/>
        <w:rPr/>
      </w:pPr>
      <w:r>
        <w:rPr>
          <w:rFonts w:ascii="Times New Roman;sans-serif" w:hAnsi="Times New Roman;sans-serif"/>
          <w:b w:val="false"/>
          <w:color w:val="000000"/>
          <w:sz w:val="20"/>
        </w:rPr>
        <w:t xml:space="preserve">By: </w:t>
      </w:r>
      <w:r>
        <w:rPr>
          <w:color w:val="000000"/>
          <w:u w:val="single"/>
        </w:rPr>
        <w:t>    </w:t>
      </w:r>
      <w:r>
        <w:rPr>
          <w:rFonts w:ascii="Times New Roman;sans-serif" w:hAnsi="Times New Roman;sans-serif"/>
          <w:b w:val="false"/>
          <w:color w:val="000000"/>
          <w:sz w:val="20"/>
          <w:u w:val="single"/>
        </w:rPr>
        <w:t>/s/ Gavin Wilkinson        </w:t>
      </w:r>
      <w:r>
        <w:rPr>
          <w:color w:val="000000"/>
        </w:rPr>
        <w:t>    </w:t>
      </w:r>
    </w:p>
    <w:p>
      <w:pPr>
        <w:pStyle w:val="TextBody"/>
        <w:bidi w:val="0"/>
        <w:spacing w:lineRule="auto" w:line="240"/>
        <w:ind w:left="0" w:right="0" w:firstLine="90"/>
        <w:jc w:val="both"/>
        <w:rPr>
          <w:rFonts w:ascii="Times New Roman;sans-serif" w:hAnsi="Times New Roman;sans-serif"/>
          <w:b w:val="false"/>
          <w:color w:val="000000"/>
          <w:sz w:val="20"/>
        </w:rPr>
      </w:pPr>
      <w:r>
        <w:rPr>
          <w:rFonts w:ascii="Times New Roman;sans-serif" w:hAnsi="Times New Roman;sans-serif"/>
          <w:b w:val="false"/>
          <w:color w:val="000000"/>
          <w:sz w:val="20"/>
        </w:rPr>
        <w:t>Authorized Signatory</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04" w:before="0" w:after="0"/>
        <w:jc w:val="right"/>
        <w:rPr>
          <w:rFonts w:ascii="Times New Roman;sans-serif" w:hAnsi="Times New Roman;sans-serif"/>
          <w:b/>
          <w:color w:val="000000"/>
          <w:sz w:val="20"/>
        </w:rPr>
      </w:pPr>
      <w:r>
        <w:rPr>
          <w:rFonts w:ascii="Times New Roman;sans-serif" w:hAnsi="Times New Roman;sans-serif"/>
          <w:b/>
          <w:color w:val="000000"/>
          <w:sz w:val="20"/>
        </w:rPr>
        <w:t>Exhibit 4.10</w:t>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53670"/>
                <wp:effectExtent l="0" t="0" r="0" b="0"/>
                <wp:wrapNone/>
                <wp:docPr id="149" name="Frame147"/>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307" w:before="0" w:after="0"/>
                              <w:jc w:val="center"/>
                              <w:rPr/>
                            </w:pPr>
                            <w:r>
                              <w:rPr>
                                <w:rFonts w:ascii="Times New Roman;sans-serif" w:hAnsi="Times New Roman;sans-serif"/>
                                <w:b w:val="false"/>
                                <w:color w:val="000000"/>
                                <w:sz w:val="21"/>
                              </w:rPr>
                              <w:t>[</w:t>
                            </w:r>
                            <w:r>
                              <w:rPr>
                                <w:rFonts w:ascii="Times New Roman;sans-serif" w:hAnsi="Times New Roman;sans-serif"/>
                                <w:b w:val="false"/>
                                <w:i/>
                                <w:color w:val="000000"/>
                                <w:sz w:val="21"/>
                              </w:rPr>
                              <w:t>Signature Page to Supplemental Indenture – VICI 3.750% Notes due 2027 - Trustee</w:t>
                            </w:r>
                            <w:r>
                              <w:rPr>
                                <w:rFonts w:ascii="Times New Roman;sans-serif" w:hAnsi="Times New Roman;sans-serif"/>
                                <w:b w:val="false"/>
                                <w:color w:val="000000"/>
                                <w:sz w:val="21"/>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307" w:before="0" w:after="0"/>
                        <w:jc w:val="center"/>
                        <w:rPr/>
                      </w:pPr>
                      <w:r>
                        <w:rPr>
                          <w:rFonts w:ascii="Times New Roman;sans-serif" w:hAnsi="Times New Roman;sans-serif"/>
                          <w:b w:val="false"/>
                          <w:color w:val="000000"/>
                          <w:sz w:val="21"/>
                        </w:rPr>
                        <w:t>[</w:t>
                      </w:r>
                      <w:r>
                        <w:rPr>
                          <w:rFonts w:ascii="Times New Roman;sans-serif" w:hAnsi="Times New Roman;sans-serif"/>
                          <w:b w:val="false"/>
                          <w:i/>
                          <w:color w:val="000000"/>
                          <w:sz w:val="21"/>
                        </w:rPr>
                        <w:t>Signature Page to Supplemental Indenture – VICI 3.750% Notes due 2027 - Trustee</w:t>
                      </w:r>
                      <w:r>
                        <w:rPr>
                          <w:rFonts w:ascii="Times New Roman;sans-serif" w:hAnsi="Times New Roman;sans-serif"/>
                          <w:b w:val="false"/>
                          <w:color w:val="000000"/>
                          <w:sz w:val="21"/>
                        </w:rPr>
                        <w:t>]</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SUPPLEMENTAL INDENTURE (this “</w:t>
      </w:r>
      <w:r>
        <w:rPr>
          <w:rFonts w:ascii="Times New Roman;sans-serif" w:hAnsi="Times New Roman;sans-serif"/>
          <w:b w:val="false"/>
          <w:i/>
          <w:color w:val="000000"/>
          <w:sz w:val="20"/>
        </w:rPr>
        <w:t>Supplemental Indenture</w:t>
      </w:r>
      <w:r>
        <w:rPr>
          <w:color w:val="000000"/>
        </w:rPr>
        <w:t>”</w:t>
      </w:r>
      <w:r>
        <w:rPr>
          <w:rFonts w:ascii="Times New Roman;sans-serif" w:hAnsi="Times New Roman;sans-serif"/>
          <w:b w:val="false"/>
          <w:color w:val="000000"/>
          <w:sz w:val="20"/>
        </w:rPr>
        <w:t>), dated as of April 29, 2022, among VICI Properties L.P., a Delaware limited liability partnership (the “</w:t>
      </w:r>
      <w:r>
        <w:rPr>
          <w:rFonts w:ascii="Times New Roman;sans-serif" w:hAnsi="Times New Roman;sans-serif"/>
          <w:b w:val="false"/>
          <w:i/>
          <w:color w:val="000000"/>
          <w:sz w:val="20"/>
        </w:rPr>
        <w:t>Company</w:t>
      </w:r>
      <w:r>
        <w:rPr>
          <w:color w:val="000000"/>
        </w:rPr>
        <w:t>”</w:t>
      </w:r>
      <w:r>
        <w:rPr>
          <w:rFonts w:ascii="Times New Roman;sans-serif" w:hAnsi="Times New Roman;sans-serif"/>
          <w:b w:val="false"/>
          <w:color w:val="000000"/>
          <w:sz w:val="20"/>
        </w:rPr>
        <w:t>), VICI Note Co. Inc., a Delaware corporation (the “</w:t>
      </w:r>
      <w:r>
        <w:rPr>
          <w:rFonts w:ascii="Times New Roman;sans-serif" w:hAnsi="Times New Roman;sans-serif"/>
          <w:b w:val="false"/>
          <w:i/>
          <w:color w:val="000000"/>
          <w:sz w:val="20"/>
        </w:rPr>
        <w:t>Co-Issuer</w:t>
      </w:r>
      <w:r>
        <w:rPr>
          <w:color w:val="000000"/>
        </w:rPr>
        <w:t xml:space="preserve">” </w:t>
      </w:r>
      <w:r>
        <w:rPr>
          <w:rFonts w:ascii="Times New Roman;sans-serif" w:hAnsi="Times New Roman;sans-serif"/>
          <w:b w:val="false"/>
          <w:color w:val="000000"/>
          <w:sz w:val="20"/>
        </w:rPr>
        <w:t>and, together with the Company, the “</w:t>
      </w:r>
      <w:r>
        <w:rPr>
          <w:rFonts w:ascii="Times New Roman;sans-serif" w:hAnsi="Times New Roman;sans-serif"/>
          <w:b w:val="false"/>
          <w:i/>
          <w:color w:val="000000"/>
          <w:sz w:val="20"/>
        </w:rPr>
        <w:t>Issuers</w:t>
      </w:r>
      <w:r>
        <w:rPr>
          <w:color w:val="000000"/>
        </w:rPr>
        <w:t>”</w:t>
      </w:r>
      <w:r>
        <w:rPr>
          <w:rFonts w:ascii="Times New Roman;sans-serif" w:hAnsi="Times New Roman;sans-serif"/>
          <w:b w:val="false"/>
          <w:color w:val="000000"/>
          <w:sz w:val="20"/>
        </w:rPr>
        <w:t>), and UMB Bank, National Association, as Trustee under the Indenture referred to below (the “</w:t>
      </w:r>
      <w:r>
        <w:rPr>
          <w:rFonts w:ascii="Times New Roman;sans-serif" w:hAnsi="Times New Roman;sans-serif"/>
          <w:b w:val="false"/>
          <w:i/>
          <w:color w:val="000000"/>
          <w:sz w:val="20"/>
        </w:rPr>
        <w:t>Trustee</w:t>
      </w:r>
      <w:r>
        <w:rPr>
          <w:color w:val="000000"/>
        </w:rPr>
        <w:t>”</w:t>
      </w:r>
      <w:r>
        <w:rPr>
          <w:rFonts w:ascii="Times New Roman;sans-serif" w:hAnsi="Times New Roman;sans-serif"/>
          <w:b w:val="false"/>
          <w:color w:val="000000"/>
          <w:sz w:val="20"/>
        </w:rPr>
        <w:t>).</w:t>
      </w:r>
    </w:p>
    <w:p>
      <w:pPr>
        <w:pStyle w:val="TextBody"/>
        <w:bidi w:val="0"/>
        <w:spacing w:lineRule="auto" w:line="240"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W I T N E S S E T H</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WHEREAS, the Issuers have heretofore executed and delivered to the Trustee an indenture (the “</w:t>
      </w:r>
      <w:r>
        <w:rPr>
          <w:rFonts w:ascii="Times New Roman;sans-serif" w:hAnsi="Times New Roman;sans-serif"/>
          <w:b w:val="false"/>
          <w:i/>
          <w:color w:val="000000"/>
          <w:sz w:val="20"/>
        </w:rPr>
        <w:t>Indenture</w:t>
      </w:r>
      <w:r>
        <w:rPr>
          <w:color w:val="000000"/>
        </w:rPr>
        <w:t>”</w:t>
      </w:r>
      <w:r>
        <w:rPr>
          <w:rFonts w:ascii="Times New Roman;sans-serif" w:hAnsi="Times New Roman;sans-serif"/>
          <w:b w:val="false"/>
          <w:color w:val="000000"/>
          <w:sz w:val="20"/>
        </w:rPr>
        <w:t>), dated as of February 5, 2020, as amended from time to time, providing for the issuance of 4.125% Senior Notes due 2030 (the “</w:t>
      </w:r>
      <w:r>
        <w:rPr>
          <w:rFonts w:ascii="Times New Roman;sans-serif" w:hAnsi="Times New Roman;sans-serif"/>
          <w:b w:val="false"/>
          <w:i/>
          <w:color w:val="000000"/>
          <w:sz w:val="20"/>
        </w:rPr>
        <w:t>Notes</w:t>
      </w:r>
      <w:r>
        <w:rPr>
          <w:color w:val="000000"/>
        </w:rPr>
        <w:t>”</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WHEREAS, Section 9.01 of the Indenture provides that the Issuers and the Trustee may amend or supplement the Indenture without the consent of any Holder to, among other things, (i) secure the Notes and (ii) make any change that would provide any additional rights or benefits to the Holders of the Notes or that does not adversely affect the legal rights under the Indenture of any Holder; </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WHEREAS, the Issuers desire to amend the Indenture as set forth in Section 4 hereof to secure all Obligations with respect to the Notes with a pledge of all of the limited partnership interests of the Company directly owned by VICI Properties OP LLC; and</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WHEREAS, all things necessary to make this Supplemental Indenture a valid and binding agreement of the parties, in accordance with its terms, and a valid amendment of, and supplement to, the Indenture have been done, and the execution and delivery of this Supplemental Indenture have been duly authorized in all respects and, pursuant to Section 9.01 of the Indenture, the Issuers and the Trustee are authorized to execute and deliver this Supplemental Indenture.</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NOW, THEREFORE, in consideration of the foregoing and for other good and valuable consideration, the receipt of which is hereby acknowledged, the parties hereto mutually covenant and agree for the equal and ratable benefit of the Holders of the Notes as follows:</w:t>
      </w:r>
    </w:p>
    <w:p>
      <w:pPr>
        <w:pStyle w:val="TextBody"/>
        <w:bidi w:val="0"/>
        <w:spacing w:lineRule="auto" w:line="240" w:before="0" w:after="240"/>
        <w:ind w:left="0" w:right="0" w:firstLine="1080"/>
        <w:jc w:val="both"/>
        <w:rPr/>
      </w:pPr>
      <w:r>
        <w:rPr>
          <w:rFonts w:ascii="Times New Roman;sans-serif" w:hAnsi="Times New Roman;sans-serif"/>
          <w:b w:val="false"/>
          <w:color w:val="000000"/>
          <w:sz w:val="20"/>
        </w:rPr>
        <w:t>1.</w:t>
      </w:r>
      <w:r>
        <w:rPr>
          <w:rFonts w:ascii="Times New Roman;sans-serif" w:hAnsi="Times New Roman;sans-serif"/>
          <w:b w:val="false"/>
          <w:color w:val="000000"/>
          <w:sz w:val="20"/>
        </w:rPr>
        <w:t xml:space="preserve">Capitalized Terms. </w:t>
      </w:r>
    </w:p>
    <w:p>
      <w:pPr>
        <w:pStyle w:val="TextBody"/>
        <w:bidi w:val="0"/>
        <w:spacing w:lineRule="auto" w:line="240"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(a)Capitalized terms used herein without definition shall have the meanings assigned to them in the Indenture.</w:t>
      </w:r>
    </w:p>
    <w:p>
      <w:pPr>
        <w:pStyle w:val="TextBody"/>
        <w:bidi w:val="0"/>
        <w:spacing w:lineRule="auto" w:line="240"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(b)For all purposes of this Supplemental Indenture, capitalized terms used herein shall have the respective meanings specified below:</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i/>
          <w:color w:val="000000"/>
          <w:sz w:val="20"/>
        </w:rPr>
        <w:t>Credit Agreement</w:t>
      </w:r>
      <w:r>
        <w:rPr>
          <w:color w:val="000000"/>
        </w:rPr>
        <w:t xml:space="preserve">” </w:t>
      </w:r>
      <w:r>
        <w:rPr>
          <w:rFonts w:ascii="Times New Roman;sans-serif" w:hAnsi="Times New Roman;sans-serif"/>
          <w:b w:val="false"/>
          <w:color w:val="000000"/>
          <w:sz w:val="20"/>
        </w:rPr>
        <w:t>means that certain Credit Agreement, dated as of February 8, 2022, among the Company, the lenders from time to time party thereto, and JPMorgan Chase Bank, N.A., as administrative agent, including any related notes, guarantees and collateral documents, as the same may be amended, amended and restated, supplemented or otherwise modified from time to time.</w:t>
      </w:r>
    </w:p>
    <w:p>
      <w:pPr>
        <w:pStyle w:val="TextBody"/>
        <w:bidi w:val="0"/>
        <w:spacing w:lineRule="auto" w:line="240" w:before="0" w:after="240"/>
        <w:ind w:left="0" w:right="0" w:firstLine="720"/>
        <w:jc w:val="both"/>
        <w:rPr/>
      </w:pPr>
      <w:r>
        <w:rPr>
          <w:color w:val="000000"/>
          <w:shd w:fill="FFFFFF" w:val="clear"/>
        </w:rPr>
        <w:t>“</w:t>
      </w:r>
      <w:r>
        <w:rPr>
          <w:rFonts w:ascii="Times New Roman;sans-serif" w:hAnsi="Times New Roman;sans-serif"/>
          <w:b w:val="false"/>
          <w:i/>
          <w:color w:val="000000"/>
          <w:sz w:val="20"/>
          <w:shd w:fill="FFFFFF" w:val="clear"/>
        </w:rPr>
        <w:t>MGM Tax Protection Agreement</w:t>
      </w:r>
      <w:r>
        <w:rPr>
          <w:color w:val="000000"/>
          <w:shd w:fill="FFFFFF" w:val="clear"/>
        </w:rPr>
        <w:t xml:space="preserve">” </w:t>
      </w:r>
      <w:r>
        <w:rPr>
          <w:rFonts w:ascii="Times New Roman;sans-serif" w:hAnsi="Times New Roman;sans-serif"/>
          <w:b w:val="false"/>
          <w:color w:val="000000"/>
          <w:sz w:val="20"/>
          <w:shd w:fill="FFFFFF" w:val="clear"/>
        </w:rPr>
        <w:t>means that certain tax matters agreement, dated as of April 29, 2022, among VICI Properties OP LLC, VICI Properties Inc. and the Initial Protected Parties (as defined therein).</w:t>
      </w:r>
    </w:p>
    <w:p>
      <w:pPr>
        <w:pStyle w:val="TextBody"/>
        <w:bidi w:val="0"/>
        <w:spacing w:lineRule="auto" w:line="240" w:before="0" w:after="240"/>
        <w:ind w:left="0" w:right="0" w:firstLine="720"/>
        <w:jc w:val="both"/>
        <w:rPr/>
      </w:pPr>
      <w:r>
        <w:rPr>
          <w:color w:val="000000"/>
          <w:shd w:fill="FFFFFF" w:val="clear"/>
        </w:rPr>
        <w:t>“</w:t>
      </w:r>
      <w:r>
        <w:rPr>
          <w:rFonts w:ascii="Times New Roman;sans-serif" w:hAnsi="Times New Roman;sans-serif"/>
          <w:b w:val="false"/>
          <w:i/>
          <w:color w:val="000000"/>
          <w:sz w:val="20"/>
          <w:shd w:fill="FFFFFF" w:val="clear"/>
        </w:rPr>
        <w:t>Notes Secured Parties</w:t>
      </w:r>
      <w:r>
        <w:rPr>
          <w:color w:val="000000"/>
          <w:shd w:fill="FFFFFF" w:val="clear"/>
        </w:rPr>
        <w:t xml:space="preserve">” </w:t>
      </w:r>
      <w:r>
        <w:rPr>
          <w:rFonts w:ascii="Times New Roman;sans-serif" w:hAnsi="Times New Roman;sans-serif"/>
          <w:b w:val="false"/>
          <w:color w:val="000000"/>
          <w:sz w:val="20"/>
          <w:shd w:fill="FFFFFF" w:val="clear"/>
        </w:rPr>
        <w:t>has the meaning set forth in the Pledge Agreement.</w:t>
      </w:r>
    </w:p>
    <w:p>
      <w:pPr>
        <w:pStyle w:val="TextBody"/>
        <w:bidi w:val="0"/>
        <w:spacing w:lineRule="auto" w:line="240" w:before="0" w:after="240"/>
        <w:ind w:left="0" w:right="0" w:firstLine="720"/>
        <w:jc w:val="both"/>
        <w:rPr/>
      </w:pPr>
      <w:r>
        <w:rPr>
          <w:color w:val="000000"/>
          <w:shd w:fill="FFFFFF" w:val="clear"/>
        </w:rPr>
        <w:t>“</w:t>
      </w:r>
      <w:r>
        <w:rPr>
          <w:rFonts w:ascii="Times New Roman;sans-serif" w:hAnsi="Times New Roman;sans-serif"/>
          <w:b w:val="false"/>
          <w:i/>
          <w:color w:val="000000"/>
          <w:sz w:val="20"/>
          <w:shd w:fill="FFFFFF" w:val="clear"/>
        </w:rPr>
        <w:t>Pledge Agreement</w:t>
      </w:r>
      <w:r>
        <w:rPr>
          <w:color w:val="000000"/>
          <w:shd w:fill="FFFFFF" w:val="clear"/>
        </w:rPr>
        <w:t xml:space="preserve">” </w:t>
      </w:r>
      <w:r>
        <w:rPr>
          <w:rFonts w:ascii="Times New Roman;sans-serif" w:hAnsi="Times New Roman;sans-serif"/>
          <w:b w:val="false"/>
          <w:color w:val="000000"/>
          <w:sz w:val="20"/>
          <w:shd w:fill="FFFFFF" w:val="clear"/>
        </w:rPr>
        <w:t>means that certain Pledge Agreement, dated as of April 29, 2022, by VICI Properties OP LLC, a Delaware limited liability company,</w:t>
      </w:r>
      <w:r>
        <w:rPr>
          <w:color w:val="000000"/>
          <w:shd w:fill="FFFFFF" w:val="clear"/>
        </w:rPr>
        <w:t xml:space="preserve"> </w:t>
      </w:r>
      <w:r>
        <w:rPr>
          <w:rFonts w:ascii="Times New Roman;sans-serif" w:hAnsi="Times New Roman;sans-serif"/>
          <w:b w:val="false"/>
          <w:color w:val="000000"/>
          <w:sz w:val="20"/>
          <w:shd w:fill="FFFFFF" w:val="clear"/>
        </w:rPr>
        <w:t>as pledgor, in favor of the Trustee, for itself and the Notes Secured Parties, as the same may be amended, amended and restated, supplemented or otherwise modified from time to time in accordance with the terms thereof.</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i/>
          <w:color w:val="000000"/>
          <w:sz w:val="20"/>
        </w:rPr>
        <w:t>Pledged Interests</w:t>
      </w:r>
      <w:r>
        <w:rPr>
          <w:color w:val="000000"/>
        </w:rPr>
        <w:t xml:space="preserve">” </w:t>
      </w:r>
      <w:r>
        <w:rPr>
          <w:rFonts w:ascii="Times New Roman;sans-serif" w:hAnsi="Times New Roman;sans-serif"/>
          <w:b w:val="false"/>
          <w:color w:val="000000"/>
          <w:sz w:val="20"/>
        </w:rPr>
        <w:t>has the meaning set forth in the Pledge Agreement.</w:t>
      </w:r>
    </w:p>
    <w:p>
      <w:pPr>
        <w:pStyle w:val="TextBody"/>
        <w:bidi w:val="0"/>
        <w:spacing w:lineRule="auto" w:line="240" w:before="0" w:after="240"/>
        <w:ind w:left="0" w:right="0" w:firstLine="1080"/>
        <w:jc w:val="both"/>
        <w:rPr/>
      </w:pPr>
      <w:r>
        <w:rPr>
          <w:rFonts w:ascii="Times New Roman;sans-serif" w:hAnsi="Times New Roman;sans-serif"/>
          <w:b w:val="false"/>
          <w:color w:val="000000"/>
          <w:sz w:val="20"/>
        </w:rPr>
        <w:t>2.</w:t>
      </w:r>
      <w:r>
        <w:rPr>
          <w:rFonts w:ascii="Times New Roman;sans-serif" w:hAnsi="Times New Roman;sans-serif"/>
          <w:b w:val="false"/>
          <w:color w:val="000000"/>
          <w:sz w:val="20"/>
        </w:rPr>
        <w:t xml:space="preserve">Relationship with Indenture. The terms and provisions contained in this Supplemental Indenture will constitute, and are hereby expressly made, a part of the Indenture, and the Issuers and the Trustee, by their execution and delivery of this Supplemental Indenture, expressly agree to such terms and provisions and to be bound </w:t>
      </w:r>
    </w:p>
    <w:p>
      <w:pPr>
        <w:pStyle w:val="TextBody"/>
        <w:bidi w:val="0"/>
        <w:spacing w:before="0" w:after="0"/>
        <w:jc w:val="righ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75260"/>
                <wp:effectExtent l="0" t="0" r="0" b="0"/>
                <wp:wrapNone/>
                <wp:docPr id="150" name="Frame1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thereby. The Indenture and this Supplemental Indenture shall be read, taken and construed as one and the same instrument. In the event that any provision of this Supplemental Indenture expressly limits, qualifies or conflicts with a provision of the Indenture, such provision of this Supplemental Indenture shall control.</w:t>
      </w:r>
    </w:p>
    <w:p>
      <w:pPr>
        <w:pStyle w:val="TextBody"/>
        <w:bidi w:val="0"/>
        <w:spacing w:lineRule="auto" w:line="240" w:before="0" w:after="240"/>
        <w:ind w:left="0" w:right="0" w:firstLine="1080"/>
        <w:jc w:val="both"/>
        <w:rPr/>
      </w:pPr>
      <w:r>
        <w:rPr>
          <w:rFonts w:ascii="Times New Roman;sans-serif" w:hAnsi="Times New Roman;sans-serif"/>
          <w:b w:val="false"/>
          <w:color w:val="000000"/>
          <w:sz w:val="20"/>
        </w:rPr>
        <w:t>3.</w:t>
      </w:r>
      <w:r>
        <w:rPr>
          <w:rFonts w:ascii="Times New Roman;sans-serif" w:hAnsi="Times New Roman;sans-serif"/>
          <w:b w:val="false"/>
          <w:color w:val="000000"/>
          <w:sz w:val="20"/>
        </w:rPr>
        <w:t>Effectiveness; Conditions Precedent. The Issuers represent and warrant that each of the conditions precedent to the amendment and supplement of the Indenture (including such conditions pursuant to Article 9 of the Indenture) have been satisfied in all respects. Pursuant to Section 9.01 of the Indenture, the Issuers have provided to the Trustee a Board Resolution authorizing the execution of this Supplemental Indenture, an Officer’s Certificate and an Opinion of Counsel and have requested that the Trustee join with the Issuers in the execution of this Supplemental Indenture. The Issuers and the Trustee are on this date executing this Supplemental Indenture, which will become effective and operative on the date hereof.</w:t>
      </w:r>
    </w:p>
    <w:p>
      <w:pPr>
        <w:pStyle w:val="TextBody"/>
        <w:bidi w:val="0"/>
        <w:spacing w:lineRule="auto" w:line="240" w:before="0" w:after="240"/>
        <w:ind w:left="0" w:right="0" w:firstLine="1080"/>
        <w:jc w:val="both"/>
        <w:rPr/>
      </w:pPr>
      <w:r>
        <w:rPr>
          <w:rFonts w:ascii="Times New Roman;sans-serif" w:hAnsi="Times New Roman;sans-serif"/>
          <w:b w:val="false"/>
          <w:color w:val="000000"/>
          <w:sz w:val="20"/>
        </w:rPr>
        <w:t>4.</w:t>
      </w:r>
      <w:r>
        <w:rPr>
          <w:rFonts w:ascii="Times New Roman;sans-serif" w:hAnsi="Times New Roman;sans-serif"/>
          <w:b w:val="false"/>
          <w:color w:val="000000"/>
          <w:sz w:val="20"/>
        </w:rPr>
        <w:t xml:space="preserve">Indenture Amendments. Pursuant to Section 9.01 of the Indenture, the Indenture and the Notes are hereby amended by adding the following Article 13: </w:t>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ARTICLE 13</w:t>
      </w:r>
    </w:p>
    <w:p>
      <w:pPr>
        <w:pStyle w:val="TextBody"/>
        <w:bidi w:val="0"/>
        <w:spacing w:lineRule="auto" w:line="240"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EQUITY PLEDGE</w:t>
      </w:r>
    </w:p>
    <w:p>
      <w:pPr>
        <w:pStyle w:val="TextBody"/>
        <w:bidi w:val="0"/>
        <w:spacing w:lineRule="auto" w:line="240" w:before="0" w:after="240"/>
        <w:ind w:left="0" w:right="0" w:hanging="720"/>
        <w:jc w:val="both"/>
        <w:rPr/>
      </w:pPr>
      <w:r>
        <w:rPr>
          <w:rFonts w:ascii="Times New Roman;sans-serif" w:hAnsi="Times New Roman;sans-serif"/>
          <w:b w:val="false"/>
          <w:color w:val="000000"/>
          <w:sz w:val="20"/>
        </w:rPr>
        <w:t>Section 13.01</w:t>
      </w:r>
      <w:r>
        <w:rPr>
          <w:rFonts w:ascii="Times New Roman;sans-serif" w:hAnsi="Times New Roman;sans-serif"/>
          <w:b w:val="false"/>
          <w:i/>
          <w:color w:val="000000"/>
          <w:sz w:val="20"/>
        </w:rPr>
        <w:t>Grant of Security Interest</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Obligations with respect to the Notes will be secured as provided in the Pledge Agreement. Each Holder of a Note, by its acceptance thereof, consents and agrees to the terms of the Pledge Agreement as the same may be in effect or may be amended from time to time in accordance with its terms and authorizes and directs the Trustee to perform its obligations and exercise its rights thereunder in accordance therewith. Whether or not expressly provided in the Pledge Agreement, in acting thereunder, the Trustee shall be entitled to all of the rights, privileges, immunities and indemnities set forth in this Indenture.</w:t>
      </w:r>
    </w:p>
    <w:p>
      <w:pPr>
        <w:pStyle w:val="TextBody"/>
        <w:bidi w:val="0"/>
        <w:spacing w:lineRule="auto" w:line="240" w:before="0" w:after="240"/>
        <w:ind w:left="0" w:right="0" w:hanging="720"/>
        <w:jc w:val="both"/>
        <w:rPr/>
      </w:pPr>
      <w:r>
        <w:rPr>
          <w:rFonts w:ascii="Times New Roman;sans-serif" w:hAnsi="Times New Roman;sans-serif"/>
          <w:b w:val="false"/>
          <w:color w:val="000000"/>
          <w:sz w:val="20"/>
        </w:rPr>
        <w:t>Section 13.02</w:t>
      </w:r>
      <w:r>
        <w:rPr>
          <w:rFonts w:ascii="Times New Roman;sans-serif" w:hAnsi="Times New Roman;sans-serif"/>
          <w:b w:val="false"/>
          <w:i/>
          <w:color w:val="000000"/>
          <w:sz w:val="20"/>
        </w:rPr>
        <w:t>Termination of Security Interest</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 xml:space="preserve">Pursuant to the Pledge Agreement, the security interest in the Pledged Interests shall automatically terminate with respect to the Notes (i) upon payment in full of the principal of, together with premium, if any, and accrued and unpaid interest on, the Notes and all other Obligations under this Indenture that are due and payable at or prior to the time such principal, premium, if any, and interest, are paid; (ii) upon Legal Defeasance or Covenant Defeasance pursuant to the provisions set forth in Article 8 hereof or discharge of this Indenture in accordance with the provisions set forth in Article 11 hereof;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 xml:space="preserve">that the funds deposited with the Trustee, in trust, for the benefit of the Holders as required by Articles 8 and 11 hereof shall not be released other than in accordance with such provisions; or (iii) at the option of VICI Properties OP LLC, six months following the termination of the MGM Tax Protection Agreement;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that, in the case of this clause (iii), the security interest in the Pledged Interests has been released or will be simultaneously released under the Credit Agreement and any other outstanding Capital Markets Indebtedness of the Company. Upon receipt of an Officer’s Certificate from the Company certifying the satisfaction of the foregoing conditions, the Trustee shall, at the sole expense of the Issuers, execute, deliver or acknowledge (with such notarizations as are required) any necessary or proper instruments of termination, satisfaction or release to evidence the termination of the security interest in the Pledged Interests permitted to be terminated pursuant to the Pledge Agreement. The Trustee shall not be liable for any such release undertaken in reliance upon any such Officer’s Certificate, and notwithstanding any term hereof or in the Pledge Agreement to the contrary, the Trustee shall not be under any obligation to release any such security interest, or execute and deliver any such instrument of termination, satisfaction or release, unless and until it receives such Officer’s Certificate.</w:t>
      </w:r>
    </w:p>
    <w:p>
      <w:pPr>
        <w:pStyle w:val="TextBody"/>
        <w:bidi w:val="0"/>
        <w:spacing w:lineRule="auto" w:line="240" w:before="0" w:after="240"/>
        <w:ind w:left="0" w:right="0" w:hanging="1440"/>
        <w:jc w:val="both"/>
        <w:rPr/>
      </w:pPr>
      <w:r>
        <w:rPr>
          <w:rFonts w:ascii="Times New Roman;sans-serif" w:hAnsi="Times New Roman;sans-serif"/>
          <w:b w:val="false"/>
          <w:color w:val="000000"/>
          <w:sz w:val="20"/>
        </w:rPr>
        <w:t>Section 13.03</w:t>
      </w:r>
      <w:r>
        <w:rPr>
          <w:rFonts w:ascii="Times New Roman;sans-serif" w:hAnsi="Times New Roman;sans-serif"/>
          <w:b w:val="false"/>
          <w:i/>
          <w:color w:val="000000"/>
          <w:sz w:val="20"/>
        </w:rPr>
        <w:t>Authorization of Actions to Be Taken by the Trustee Under the Pledge Agreement</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Subject to the provisions of Sections 7.01 and 7.02 hereof, the Trustee may, without the consent of the Holders, and at the Issuers’ sole expense, take all actions it deems necessary or appropriate in order to enforce any of the terms of the Pledge Agreement. The Trustee will have the power to institute and maintain such suits and proceedings as it may deem expedient to prevent any impairment of the security interest in the Pledged Interests by any acts that may be unlawful or in violation of this Indenture or the Pledge Agreement, and such suits and proceedings as the Trustee may deem expedient to preserve or protect its interests and the interests of the Holders of </w:t>
      </w:r>
    </w:p>
    <w:p>
      <w:pPr>
        <w:pStyle w:val="TextBody"/>
        <w:bidi w:val="0"/>
        <w:spacing w:before="0" w:after="0"/>
        <w:jc w:val="righ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75260"/>
                <wp:effectExtent l="0" t="0" r="0" b="0"/>
                <wp:wrapNone/>
                <wp:docPr id="151" name="Frame1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Notes in the Pledged Interests (including power to institute and maintain suits or proceedings to restrain the enforcement of or compliance with any legislative or other governmental enactment, rule or order that may be unconstitutional or otherwise invalid if the enforcement of, or compliance with, such enactment, rule or order would impair the security interest in the Pledged Interests or be prejudicial to the interests of the Holders or of the Trustee).</w:t>
      </w:r>
    </w:p>
    <w:p>
      <w:pPr>
        <w:pStyle w:val="TextBody"/>
        <w:bidi w:val="0"/>
        <w:spacing w:lineRule="auto" w:line="240" w:before="0" w:after="240"/>
        <w:ind w:left="0" w:right="0" w:hanging="1440"/>
        <w:jc w:val="both"/>
        <w:rPr/>
      </w:pPr>
      <w:r>
        <w:rPr>
          <w:rFonts w:ascii="Times New Roman;sans-serif" w:hAnsi="Times New Roman;sans-serif"/>
          <w:b w:val="false"/>
          <w:color w:val="000000"/>
          <w:sz w:val="20"/>
        </w:rPr>
        <w:t>Section 13.04</w:t>
      </w:r>
      <w:r>
        <w:rPr>
          <w:rFonts w:ascii="Times New Roman;sans-serif" w:hAnsi="Times New Roman;sans-serif"/>
          <w:b w:val="false"/>
          <w:i/>
          <w:color w:val="000000"/>
          <w:sz w:val="20"/>
        </w:rPr>
        <w:t xml:space="preserve">No Representations; Further Assurances. </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Neither the Trustee nor any of its officers, directors, employees, attorneys or agents makes any representations as to, and shall not be responsible or liable for the existence, genuineness, value, protection or condition of, any of the Pledged Interests or as to the security afforded or intended to be afforded thereby, hereby or by the Pledge Agreement, or for the legality, sufficiency, effectiveness, validity, perfection, priority or enforceability of the security interests in any of the Pledged Interests created or intended to be created by the Pledge Agreement, whether impaired by operation of law or by reason of any action or omission to act on its part hereunder or under the Pledge Agreement, for the validity or sufficiency of the Pledge Agreement or any agreement or assignment contained therein, for the validity of the title of the pledgor under the Pledge Agreement to the Pledged Interests, for insuring the Pledged Interests or for the payment of taxes, charges, assessments or liens upon the Pledged Interests or otherwise as to the maintenance of the Pledged Interests or any defect or deficiency as to any such matters. The Trustee hereby disclaims any representation or warranty to the present and future Holders of Notes concerning the perfection of the security interests granted under the Pledge Agreement or the value of any of the Pledged Interests.</w:t>
      </w:r>
    </w:p>
    <w:p>
      <w:pPr>
        <w:pStyle w:val="TextBody"/>
        <w:bidi w:val="0"/>
        <w:spacing w:lineRule="auto" w:line="240" w:before="0" w:after="240"/>
        <w:ind w:left="0" w:right="0" w:hanging="1440"/>
        <w:jc w:val="both"/>
        <w:rPr/>
      </w:pPr>
      <w:r>
        <w:rPr>
          <w:rFonts w:ascii="Times New Roman;sans-serif" w:hAnsi="Times New Roman;sans-serif"/>
          <w:b w:val="false"/>
          <w:color w:val="000000"/>
          <w:sz w:val="20"/>
        </w:rPr>
        <w:t>Section 13.05</w:t>
      </w:r>
      <w:r>
        <w:rPr>
          <w:rFonts w:ascii="Times New Roman;sans-serif" w:hAnsi="Times New Roman;sans-serif"/>
          <w:b w:val="false"/>
          <w:i/>
          <w:color w:val="000000"/>
          <w:sz w:val="20"/>
        </w:rPr>
        <w:t>Certain Rights of Trustee under the Pledge Agreement</w:t>
      </w:r>
      <w:r>
        <w:rPr>
          <w:rFonts w:ascii="Times New Roman;sans-serif" w:hAnsi="Times New Roman;sans-serif"/>
          <w:b w:val="false"/>
          <w:color w:val="000000"/>
          <w:sz w:val="20"/>
        </w:rPr>
        <w:t>.</w:t>
      </w:r>
    </w:p>
    <w:p>
      <w:pPr>
        <w:pStyle w:val="TextBody"/>
        <w:bidi w:val="0"/>
        <w:spacing w:lineRule="auto" w:line="240" w:before="0" w:after="240"/>
        <w:ind w:left="0" w:right="0" w:firstLine="540"/>
        <w:jc w:val="both"/>
        <w:rPr/>
      </w:pPr>
      <w:r>
        <w:rPr>
          <w:rFonts w:ascii="Times New Roman;sans-serif" w:hAnsi="Times New Roman;sans-serif"/>
          <w:b w:val="false"/>
          <w:color w:val="000000"/>
          <w:sz w:val="20"/>
        </w:rPr>
        <w:t xml:space="preserve">(a)The Trustee shall have all the rights (including indemnification rights), powers, benefits, privileges, protections, indemnities and immunities provided in the Pledge Agreement and, additionally, shall have all the rights (including indemnification rights), benefits, privileges, protections, indemnities and immunities in its dealings under the Pledge Agreement as are provided to the Trustee under this Indenture and under applicable law, all of which are incorporated herein </w:t>
      </w:r>
      <w:r>
        <w:rPr>
          <w:rFonts w:ascii="Times New Roman;sans-serif" w:hAnsi="Times New Roman;sans-serif"/>
          <w:b w:val="false"/>
          <w:i/>
          <w:color w:val="000000"/>
          <w:sz w:val="20"/>
        </w:rPr>
        <w:t>mutatis mutandis</w:t>
      </w:r>
      <w:r>
        <w:rPr>
          <w:rFonts w:ascii="Times New Roman;sans-serif" w:hAnsi="Times New Roman;sans-serif"/>
          <w:b w:val="false"/>
          <w:color w:val="000000"/>
          <w:sz w:val="20"/>
        </w:rPr>
        <w:t>.</w:t>
      </w:r>
    </w:p>
    <w:p>
      <w:pPr>
        <w:pStyle w:val="TextBody"/>
        <w:bidi w:val="0"/>
        <w:spacing w:lineRule="auto" w:line="240" w:before="0" w:after="24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(b)Except as required or permitted by the Pledge Agreement, the Holders, by accepting a Note, acknowledge that the Trustee will not be obligated under the Pledge Agreement:</w:t>
      </w:r>
    </w:p>
    <w:p>
      <w:pPr>
        <w:pStyle w:val="TextBody"/>
        <w:bidi w:val="0"/>
        <w:spacing w:lineRule="auto" w:line="240" w:before="0" w:after="240"/>
        <w:ind w:left="0" w:right="0" w:firstLine="1080"/>
        <w:jc w:val="left"/>
        <w:rPr>
          <w:rFonts w:ascii="Times New Roman;sans-serif" w:hAnsi="Times New Roman;sans-serif"/>
          <w:b w:val="false"/>
          <w:color w:val="000000"/>
          <w:sz w:val="20"/>
        </w:rPr>
      </w:pPr>
      <w:r>
        <w:rPr>
          <w:rFonts w:ascii="Times New Roman;sans-serif" w:hAnsi="Times New Roman;sans-serif"/>
          <w:b w:val="false"/>
          <w:color w:val="000000"/>
          <w:sz w:val="20"/>
        </w:rPr>
        <w:t>(i)to act upon directions purported to be delivered to it by any Person, except in accordance with the Pledge Agreement and this Indenture;</w:t>
      </w:r>
    </w:p>
    <w:p>
      <w:pPr>
        <w:pStyle w:val="TextBody"/>
        <w:bidi w:val="0"/>
        <w:spacing w:lineRule="auto" w:line="240" w:before="0" w:after="240"/>
        <w:ind w:left="0" w:right="0" w:firstLine="1080"/>
        <w:jc w:val="left"/>
        <w:rPr>
          <w:rFonts w:ascii="Times New Roman;sans-serif" w:hAnsi="Times New Roman;sans-serif"/>
          <w:b w:val="false"/>
          <w:color w:val="000000"/>
          <w:sz w:val="20"/>
        </w:rPr>
      </w:pPr>
      <w:r>
        <w:rPr>
          <w:rFonts w:ascii="Times New Roman;sans-serif" w:hAnsi="Times New Roman;sans-serif"/>
          <w:b w:val="false"/>
          <w:color w:val="000000"/>
          <w:sz w:val="20"/>
        </w:rPr>
        <w:t>(ii)to foreclose upon or otherwise enforce any security interest granted pursuant to the Pledge Agreement; or</w:t>
      </w:r>
    </w:p>
    <w:p>
      <w:pPr>
        <w:pStyle w:val="TextBody"/>
        <w:bidi w:val="0"/>
        <w:spacing w:lineRule="auto" w:line="240" w:before="0" w:after="240"/>
        <w:ind w:left="0" w:right="0" w:firstLine="1080"/>
        <w:jc w:val="left"/>
        <w:rPr>
          <w:rFonts w:ascii="Times New Roman;sans-serif" w:hAnsi="Times New Roman;sans-serif"/>
          <w:b w:val="false"/>
          <w:color w:val="000000"/>
          <w:sz w:val="20"/>
        </w:rPr>
      </w:pPr>
      <w:r>
        <w:rPr>
          <w:rFonts w:ascii="Times New Roman;sans-serif" w:hAnsi="Times New Roman;sans-serif"/>
          <w:b w:val="false"/>
          <w:color w:val="000000"/>
          <w:sz w:val="20"/>
        </w:rPr>
        <w:t>(iii)to take any other action whatsoever with regard to the Pledge Agreement (including any security interests granted thereunder) or the Pledged Interests.</w:t>
      </w:r>
    </w:p>
    <w:p>
      <w:pPr>
        <w:pStyle w:val="TextBody"/>
        <w:bidi w:val="0"/>
        <w:spacing w:lineRule="auto" w:line="240" w:before="0" w:after="24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(c)For the avoidance of doubt, the Trustee will have no discretion under this Indenture or the Pledge Agreement and will not be required to make or give any determination, consent, approval, request or direction without the written direction of the Holders of a majority in aggregate principal amount of the then outstanding Notes.</w:t>
      </w:r>
    </w:p>
    <w:p>
      <w:pPr>
        <w:pStyle w:val="TextBody"/>
        <w:bidi w:val="0"/>
        <w:spacing w:lineRule="auto" w:line="240" w:before="0" w:after="240"/>
        <w:ind w:left="0" w:right="0" w:firstLine="540"/>
        <w:jc w:val="both"/>
        <w:rPr/>
      </w:pPr>
      <w:r>
        <w:rPr>
          <w:rFonts w:ascii="Times New Roman;sans-serif" w:hAnsi="Times New Roman;sans-serif"/>
          <w:b w:val="false"/>
          <w:color w:val="000000"/>
          <w:sz w:val="20"/>
        </w:rPr>
        <w:t>(d)Other than in connection with a release of the Pledged Interests in accordance with Section 13.02, in each case that the Trustee may or is requested or required hereunder or under the Pledge Agreement to take any action (an “</w:t>
      </w:r>
      <w:r>
        <w:rPr>
          <w:rFonts w:ascii="Times New Roman;sans-serif" w:hAnsi="Times New Roman;sans-serif"/>
          <w:b w:val="false"/>
          <w:i/>
          <w:color w:val="000000"/>
          <w:sz w:val="20"/>
        </w:rPr>
        <w:t>Action</w:t>
      </w:r>
      <w:r>
        <w:rPr>
          <w:color w:val="000000"/>
        </w:rPr>
        <w:t>”</w:t>
      </w:r>
      <w:r>
        <w:rPr>
          <w:rFonts w:ascii="Times New Roman;sans-serif" w:hAnsi="Times New Roman;sans-serif"/>
          <w:b w:val="false"/>
          <w:color w:val="000000"/>
          <w:sz w:val="20"/>
        </w:rPr>
        <w:t xml:space="preserve">), including without limitation to make any determination, to give consents, to exercise rights, powers or remedies, to release or sell the Pledged Interests or otherwise to act hereunder or under the Pledge Agreement, the Trustee may seek direction from the Holders of a majority in aggregate principal amount of the then outstanding Notes. The Trustee will not be liable with respect to any Action taken or omitted to be taken by it in accordance with the direction from the Holders of a majority in aggregate principal amount of the then outstanding Notes. If the Trustee requests direction from the Holders of a majority in aggregate principal amount of the then outstanding Notes with respect to any Action, the Trustee will be entitled to refrain from such Action until it has received direction from the Holders of a majority in aggregate principal amount of the then outstanding Notes, and if </w:t>
      </w:r>
    </w:p>
    <w:p>
      <w:pPr>
        <w:pStyle w:val="TextBody"/>
        <w:bidi w:val="0"/>
        <w:spacing w:before="0" w:after="0"/>
        <w:jc w:val="righ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75260"/>
                <wp:effectExtent l="0" t="0" r="0" b="0"/>
                <wp:wrapNone/>
                <wp:docPr id="152" name="Frame1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requested, indemnity satisfactory to it, and the Trustee will not incur liability to any Person by reason of so refraining.</w:t>
      </w:r>
    </w:p>
    <w:p>
      <w:pPr>
        <w:pStyle w:val="TextBody"/>
        <w:bidi w:val="0"/>
        <w:spacing w:lineRule="auto" w:line="240" w:before="0" w:after="240"/>
        <w:ind w:left="0" w:right="0" w:firstLine="1080"/>
        <w:jc w:val="both"/>
        <w:rPr/>
      </w:pPr>
      <w:r>
        <w:rPr>
          <w:rFonts w:ascii="Times New Roman;sans-serif" w:hAnsi="Times New Roman;sans-serif"/>
          <w:b w:val="false"/>
          <w:color w:val="000000"/>
          <w:sz w:val="20"/>
        </w:rPr>
        <w:t>5.</w:t>
      </w:r>
      <w:r>
        <w:rPr>
          <w:rFonts w:ascii="Times New Roman;sans-serif" w:hAnsi="Times New Roman;sans-serif"/>
          <w:b w:val="false"/>
          <w:color w:val="000000"/>
          <w:sz w:val="20"/>
        </w:rPr>
        <w:t>Notes. The Notes, with effect on and from the date hereof, shall be deemed supplemented, modified and amended in such manner as necessary to make the terms of the Notes consistent with the terms of the Indenture, as amended by this Supplemental Indenture.</w:t>
      </w:r>
    </w:p>
    <w:p>
      <w:pPr>
        <w:pStyle w:val="TextBody"/>
        <w:bidi w:val="0"/>
        <w:spacing w:lineRule="auto" w:line="240" w:before="0" w:after="240"/>
        <w:ind w:left="0" w:right="0" w:firstLine="1080"/>
        <w:jc w:val="both"/>
        <w:rPr/>
      </w:pPr>
      <w:r>
        <w:rPr>
          <w:rFonts w:ascii="Times New Roman;sans-serif" w:hAnsi="Times New Roman;sans-serif"/>
          <w:b w:val="false"/>
          <w:color w:val="000000"/>
          <w:sz w:val="20"/>
        </w:rPr>
        <w:t>6.</w:t>
      </w:r>
      <w:r>
        <w:rPr>
          <w:rFonts w:ascii="Times New Roman;sans-serif" w:hAnsi="Times New Roman;sans-serif"/>
          <w:b w:val="false"/>
          <w:color w:val="000000"/>
          <w:sz w:val="20"/>
        </w:rPr>
        <w:t>Ratification of the Indenture; Supplemental Indenture Part of the Indenture. Except as expressly amended hereby, the Indenture is in all respects ratified and confirmed and all the terms, conditions and provisions thereof shall remain in full force and effect. This Supplemental Indenture shall form a part of the Indenture for all purposes, and every Holder heretofore or hereafter authenticated and delivered shall be bound hereby. Upon and after the execution of this Supplemental Indenture, each reference to the Indenture or the Notes in the Indenture or the Notes shall mean and be a reference to the Indenture or the Notes as modified hereby after giving effect to this Supplemental Indenture. The rights, protections and indemnities provided to the Trustee under the Indenture shall apply to any action (or inaction) of the Trustee in connection herewith, including in connection with the execution and delivery of this Supplemental Indenture.</w:t>
      </w:r>
    </w:p>
    <w:p>
      <w:pPr>
        <w:pStyle w:val="TextBody"/>
        <w:bidi w:val="0"/>
        <w:spacing w:lineRule="auto" w:line="240" w:before="0" w:after="240"/>
        <w:ind w:left="0" w:right="0" w:firstLine="1080"/>
        <w:jc w:val="both"/>
        <w:rPr/>
      </w:pPr>
      <w:r>
        <w:rPr>
          <w:rFonts w:ascii="Times New Roman;sans-serif" w:hAnsi="Times New Roman;sans-serif"/>
          <w:b w:val="false"/>
          <w:color w:val="000000"/>
          <w:sz w:val="16"/>
        </w:rPr>
        <w:t>7.</w:t>
      </w:r>
      <w:r>
        <w:rPr>
          <w:rFonts w:ascii="Times New Roman;sans-serif" w:hAnsi="Times New Roman;sans-serif"/>
          <w:b w:val="false"/>
          <w:color w:val="000000"/>
          <w:sz w:val="20"/>
        </w:rPr>
        <w:t>No Recourse Against Others. No recourse for the payment of the principal of, premium, if any, or interest on any of the Notes or for any claim based thereon or otherwise in respect thereof, and no recourse under or upon any obligation, covenant or agreement of the Issuers in the Indenture, or in any of the Notes or because of the creation of any Indebtedness represented thereby, shall be had against any past, present or future incorporator, partner, stockholder, officer, director, employee or controlling person in their capacity as such of the Issuers or of any successor Person thereof. Each Holder, by accepting the Notes, waives and releases all such liability. The waiver and release are part of the consideration for issuance of the Notes. The waiver may not be effective to waive liabilities under the federal securities laws.</w:t>
      </w:r>
    </w:p>
    <w:p>
      <w:pPr>
        <w:pStyle w:val="TextBody"/>
        <w:bidi w:val="0"/>
        <w:spacing w:lineRule="auto" w:line="240" w:before="0" w:after="240"/>
        <w:ind w:left="0" w:right="0" w:firstLine="1080"/>
        <w:jc w:val="both"/>
        <w:rPr/>
      </w:pPr>
      <w:r>
        <w:rPr>
          <w:rFonts w:ascii="Times New Roman;sans-serif" w:hAnsi="Times New Roman;sans-serif"/>
          <w:b w:val="false"/>
          <w:color w:val="000000"/>
          <w:sz w:val="20"/>
        </w:rPr>
        <w:t>8.</w:t>
      </w:r>
      <w:r>
        <w:rPr>
          <w:rFonts w:ascii="Times New Roman;sans-serif" w:hAnsi="Times New Roman;sans-serif"/>
          <w:b w:val="false"/>
          <w:color w:val="000000"/>
          <w:sz w:val="20"/>
        </w:rPr>
        <w:t>New York Law to Govern. THE INTERNAL LAW OF THE STATE OF NEW YORK SHALL GOVERN AND BE USED TO CONSTRUE THIS SUPPLEMENTAL INDENTURE WITHOUT GIVING EFFECT TO APPLICABLE PRINCIPLES OF CONFLICTS OF LAW TO THE EXTENT THAT THE APPLICATION OF THE LAWS OF ANOTHER JURISDICTION WOULD BE REQUIRED THEREBY.</w:t>
      </w:r>
    </w:p>
    <w:p>
      <w:pPr>
        <w:pStyle w:val="TextBody"/>
        <w:bidi w:val="0"/>
        <w:spacing w:lineRule="auto" w:line="240" w:before="0" w:after="240"/>
        <w:ind w:left="0" w:right="0" w:firstLine="1080"/>
        <w:jc w:val="both"/>
        <w:rPr/>
      </w:pPr>
      <w:r>
        <w:rPr>
          <w:rFonts w:ascii="Times New Roman;sans-serif" w:hAnsi="Times New Roman;sans-serif"/>
          <w:b w:val="false"/>
          <w:color w:val="000000"/>
          <w:sz w:val="20"/>
        </w:rPr>
        <w:t>9.</w:t>
      </w:r>
      <w:r>
        <w:rPr>
          <w:rFonts w:ascii="Times New Roman;sans-serif" w:hAnsi="Times New Roman;sans-serif"/>
          <w:b w:val="false"/>
          <w:color w:val="000000"/>
          <w:sz w:val="20"/>
        </w:rPr>
        <w:t>Counterparts. The parties may sign any number of copies of this Supplemental Indenture. Each signed copy shall be an original, but all of them together represent the same agreement.</w:t>
      </w:r>
      <w:r>
        <w:rPr>
          <w:color w:val="000000"/>
        </w:rPr>
        <w:t xml:space="preserve"> </w:t>
      </w:r>
      <w:r>
        <w:rPr>
          <w:rFonts w:ascii="Times New Roman;sans-serif" w:hAnsi="Times New Roman;sans-serif"/>
          <w:b w:val="false"/>
          <w:color w:val="000000"/>
          <w:sz w:val="20"/>
        </w:rPr>
        <w:t>Delivery of an executed signature page of this Supplemental Indenture by facsimile or any other rapid transmission device designed to produce a written record of the communication transmitted shall be as effective as delivery of a manually executed counterpart thereof. The words “execution,” “executed,” “signed,” signature” and words of like import in this Supplemental Indenture or in any other certificate, agreement or document related to this Supplemental Indenture shall include images of manually executed signatures transmitted by facsimile, email or other electronic format (including, without limitation, “pdf,” “tif” or “jpg”) and other electronic signatures (including, without limitation, DocuSign and AdobeSign). The use of electronic signatures and electronic records (including, without limitation, any contract or other record created, generated, sent, communicated, received, or stored by electronic means) shall be of the same legal effect, validity and enforceability as a manually executed signature or use of a paper-based record-keeping system to the fullest extent permitted by applicable law, including the Federal Electronic Signatures in Global and National Commerce Act, the New York State Electronic Signatures and Records Act and any other applicable law, including, without limitation, any state law based on the Uniform Electronic Transactions Act or the Uniform Commercial Code.</w:t>
      </w:r>
    </w:p>
    <w:p>
      <w:pPr>
        <w:pStyle w:val="TextBody"/>
        <w:bidi w:val="0"/>
        <w:spacing w:lineRule="auto" w:line="240" w:before="0" w:after="240"/>
        <w:ind w:left="0" w:right="0" w:firstLine="1080"/>
        <w:jc w:val="both"/>
        <w:rPr/>
      </w:pPr>
      <w:r>
        <w:rPr>
          <w:rFonts w:ascii="Times New Roman;sans-serif" w:hAnsi="Times New Roman;sans-serif"/>
          <w:b w:val="false"/>
          <w:color w:val="000000"/>
          <w:sz w:val="20"/>
        </w:rPr>
        <w:t>10.</w:t>
      </w:r>
      <w:r>
        <w:rPr>
          <w:rFonts w:ascii="Times New Roman;sans-serif" w:hAnsi="Times New Roman;sans-serif"/>
          <w:b w:val="false"/>
          <w:color w:val="000000"/>
          <w:sz w:val="20"/>
        </w:rPr>
        <w:t>Effect of Headings. The Section headings herein are for convenience only and shall not affect the construction hereof.</w:t>
      </w:r>
    </w:p>
    <w:p>
      <w:pPr>
        <w:pStyle w:val="TextBody"/>
        <w:bidi w:val="0"/>
        <w:spacing w:lineRule="auto" w:line="240" w:before="0" w:after="240"/>
        <w:ind w:left="0" w:right="0" w:firstLine="1080"/>
        <w:jc w:val="both"/>
        <w:rPr/>
      </w:pPr>
      <w:r>
        <w:rPr>
          <w:rFonts w:ascii="Times New Roman;sans-serif" w:hAnsi="Times New Roman;sans-serif"/>
          <w:b w:val="false"/>
          <w:color w:val="000000"/>
          <w:sz w:val="20"/>
        </w:rPr>
        <w:t>11.</w:t>
      </w:r>
      <w:r>
        <w:rPr>
          <w:rFonts w:ascii="Times New Roman;sans-serif" w:hAnsi="Times New Roman;sans-serif"/>
          <w:b w:val="false"/>
          <w:color w:val="000000"/>
          <w:sz w:val="20"/>
        </w:rPr>
        <w:t>The Trustee. The Trustee shall not be responsible in any manner whatsoever for or in respect of the validity or sufficiency of this Supplemental Indenture or for or in respect of the recitals contained herein, all of which recitals are made solely by the Issuers.</w:t>
      </w:r>
    </w:p>
    <w:p>
      <w:pPr>
        <w:pStyle w:val="TextBody"/>
        <w:bidi w:val="0"/>
        <w:spacing w:lineRule="auto" w:line="240" w:before="0" w:after="240"/>
        <w:jc w:val="center"/>
        <w:rPr/>
      </w:pPr>
      <w:r>
        <w:rPr>
          <w:rFonts w:ascii="Times New Roman;sans-serif" w:hAnsi="Times New Roman;sans-serif"/>
          <w:b w:val="false"/>
          <w:color w:val="000000"/>
          <w:sz w:val="20"/>
        </w:rPr>
        <w:t>[</w:t>
      </w:r>
      <w:r>
        <w:rPr>
          <w:rFonts w:ascii="Times New Roman;sans-serif" w:hAnsi="Times New Roman;sans-serif"/>
          <w:b w:val="false"/>
          <w:i/>
          <w:color w:val="000000"/>
          <w:sz w:val="20"/>
        </w:rPr>
        <w:t>Signature pages follow</w:t>
      </w:r>
      <w:r>
        <w:rPr>
          <w:rFonts w:ascii="Times New Roman;sans-serif" w:hAnsi="Times New Roman;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75260"/>
                <wp:effectExtent l="0" t="0" r="0" b="0"/>
                <wp:wrapNone/>
                <wp:docPr id="153" name="Frame1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WITNESS WHEREOF, the parties hereto have caused this Supplemental Indenture to be duly executed and attested, all as of the date first above written.</w:t>
      </w:r>
    </w:p>
    <w:p>
      <w:pPr>
        <w:pStyle w:val="TextBody"/>
        <w:bidi w:val="0"/>
        <w:spacing w:lineRule="auto" w:line="240"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Dated: April 29, 2022</w:t>
      </w:r>
    </w:p>
    <w:p>
      <w:pPr>
        <w:pStyle w:val="TextBody"/>
        <w:bidi w:val="0"/>
        <w:spacing w:before="0" w:after="240"/>
        <w:ind w:left="0" w:right="0" w:firstLine="720"/>
        <w:jc w:val="both"/>
        <w:rPr/>
      </w:pPr>
      <w:r>
        <w:rPr/>
      </w:r>
    </w:p>
    <w:p>
      <w:pPr>
        <w:pStyle w:val="TextBody"/>
        <w:bidi w:val="0"/>
        <w:spacing w:lineRule="auto" w:line="240" w:before="0" w:after="24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VICI PROPERTIES L.P.</w:t>
      </w:r>
    </w:p>
    <w:p>
      <w:pPr>
        <w:pStyle w:val="TextBody"/>
        <w:bidi w:val="0"/>
        <w:spacing w:lineRule="auto" w:line="240"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BY: VICI PROPERTIES GP LLC, its general partner</w:t>
      </w:r>
    </w:p>
    <w:p>
      <w:pPr>
        <w:pStyle w:val="TextBody"/>
        <w:bidi w:val="0"/>
        <w:spacing w:before="0" w:after="240"/>
        <w:jc w:val="left"/>
        <w:rPr/>
      </w:pPr>
      <w:r>
        <w:rPr/>
      </w:r>
    </w:p>
    <w:p>
      <w:pPr>
        <w:pStyle w:val="TextBody"/>
        <w:bidi w:val="0"/>
        <w:spacing w:lineRule="auto" w:line="240" w:before="0" w:after="0"/>
        <w:ind w:left="0" w:right="0" w:firstLine="720"/>
        <w:jc w:val="left"/>
        <w:rPr/>
      </w:pPr>
      <w:r>
        <w:rPr>
          <w:rFonts w:ascii="Times New Roman;sans-serif" w:hAnsi="Times New Roman;sans-serif"/>
          <w:b w:val="false"/>
          <w:color w:val="000000"/>
          <w:sz w:val="20"/>
        </w:rPr>
        <w:t>By:</w:t>
      </w:r>
      <w:r>
        <w:rPr>
          <w:color w:val="000000"/>
          <w:u w:val="single"/>
        </w:rPr>
        <w:t xml:space="preserve"> </w:t>
      </w:r>
      <w:r>
        <w:rPr>
          <w:rFonts w:ascii="Times New Roman;sans-serif" w:hAnsi="Times New Roman;sans-serif"/>
          <w:b w:val="false"/>
          <w:color w:val="000000"/>
          <w:sz w:val="20"/>
          <w:u w:val="single"/>
        </w:rPr>
        <w:t>/s/ David A. Kieske    </w:t>
      </w:r>
    </w:p>
    <w:p>
      <w:pPr>
        <w:pStyle w:val="TextBody"/>
        <w:bidi w:val="0"/>
        <w:spacing w:lineRule="auto" w:line="240"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Name: David A. Kieske</w:t>
      </w:r>
    </w:p>
    <w:p>
      <w:pPr>
        <w:pStyle w:val="TextBody"/>
        <w:bidi w:val="0"/>
        <w:spacing w:lineRule="auto" w:line="240"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Title: Treasurer</w:t>
      </w:r>
    </w:p>
    <w:p>
      <w:pPr>
        <w:pStyle w:val="TextBody"/>
        <w:bidi w:val="0"/>
        <w:spacing w:before="0" w:after="240"/>
        <w:ind w:left="0" w:right="0" w:firstLine="360"/>
        <w:jc w:val="both"/>
        <w:rPr/>
      </w:pPr>
      <w:r>
        <w:rPr/>
      </w:r>
    </w:p>
    <w:p>
      <w:pPr>
        <w:pStyle w:val="TextBody"/>
        <w:bidi w:val="0"/>
        <w:spacing w:lineRule="auto" w:line="240" w:before="0" w:after="24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VICI NOTE CO. INC.</w:t>
      </w:r>
    </w:p>
    <w:p>
      <w:pPr>
        <w:pStyle w:val="TextBody"/>
        <w:bidi w:val="0"/>
        <w:spacing w:before="0" w:after="240"/>
        <w:ind w:left="0" w:right="0" w:firstLine="720"/>
        <w:jc w:val="left"/>
        <w:rPr/>
      </w:pPr>
      <w:r>
        <w:rPr/>
      </w:r>
    </w:p>
    <w:p>
      <w:pPr>
        <w:pStyle w:val="TextBody"/>
        <w:bidi w:val="0"/>
        <w:spacing w:lineRule="auto" w:line="240" w:before="0" w:after="0"/>
        <w:ind w:left="0" w:right="0" w:firstLine="4"/>
        <w:jc w:val="left"/>
        <w:rPr/>
      </w:pPr>
      <w:r>
        <w:rPr>
          <w:rFonts w:ascii="Times New Roman;sans-serif" w:hAnsi="Times New Roman;sans-serif"/>
          <w:b w:val="false"/>
          <w:color w:val="000000"/>
          <w:sz w:val="20"/>
        </w:rPr>
        <w:t>By:</w:t>
      </w:r>
      <w:r>
        <w:rPr>
          <w:color w:val="000000"/>
          <w:u w:val="single"/>
        </w:rPr>
        <w:t xml:space="preserve"> </w:t>
      </w:r>
      <w:r>
        <w:rPr>
          <w:rFonts w:ascii="Times New Roman;sans-serif" w:hAnsi="Times New Roman;sans-serif"/>
          <w:b w:val="false"/>
          <w:color w:val="000000"/>
          <w:sz w:val="20"/>
          <w:u w:val="single"/>
        </w:rPr>
        <w:t>/s/ David A. Kieske    </w:t>
      </w:r>
    </w:p>
    <w:p>
      <w:pPr>
        <w:pStyle w:val="TextBody"/>
        <w:bidi w:val="0"/>
        <w:spacing w:lineRule="auto" w:line="240" w:before="0" w:after="0"/>
        <w:ind w:left="0" w:right="0" w:firstLine="4"/>
        <w:jc w:val="left"/>
        <w:rPr>
          <w:rFonts w:ascii="Times New Roman;sans-serif" w:hAnsi="Times New Roman;sans-serif"/>
          <w:b w:val="false"/>
          <w:color w:val="000000"/>
          <w:sz w:val="20"/>
        </w:rPr>
      </w:pPr>
      <w:r>
        <w:rPr>
          <w:rFonts w:ascii="Times New Roman;sans-serif" w:hAnsi="Times New Roman;sans-serif"/>
          <w:b w:val="false"/>
          <w:color w:val="000000"/>
          <w:sz w:val="20"/>
        </w:rPr>
        <w:t>Name: David A. Kieske</w:t>
      </w:r>
    </w:p>
    <w:p>
      <w:pPr>
        <w:pStyle w:val="TextBody"/>
        <w:bidi w:val="0"/>
        <w:spacing w:lineRule="auto" w:line="240"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Title: Treasurer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53670"/>
                <wp:effectExtent l="0" t="0" r="0" b="0"/>
                <wp:wrapNone/>
                <wp:docPr id="154" name="Frame152"/>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307" w:before="0" w:after="0"/>
                              <w:jc w:val="center"/>
                              <w:rPr/>
                            </w:pPr>
                            <w:r>
                              <w:rPr>
                                <w:rFonts w:ascii="Times New Roman;sans-serif" w:hAnsi="Times New Roman;sans-serif"/>
                                <w:b w:val="false"/>
                                <w:color w:val="000000"/>
                                <w:sz w:val="21"/>
                              </w:rPr>
                              <w:t>[</w:t>
                            </w:r>
                            <w:r>
                              <w:rPr>
                                <w:rFonts w:ascii="Times New Roman;sans-serif" w:hAnsi="Times New Roman;sans-serif"/>
                                <w:b w:val="false"/>
                                <w:i/>
                                <w:color w:val="000000"/>
                                <w:sz w:val="21"/>
                              </w:rPr>
                              <w:t>Signature Page to Supplemental Indenture – VICI 4.125% Notes due 2030 - VICI</w:t>
                            </w:r>
                            <w:r>
                              <w:rPr>
                                <w:rFonts w:ascii="Times New Roman;sans-serif" w:hAnsi="Times New Roman;sans-serif"/>
                                <w:b w:val="false"/>
                                <w:color w:val="000000"/>
                                <w:sz w:val="21"/>
                              </w:rPr>
                              <w: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7" w:before="0" w:after="0"/>
                        <w:jc w:val="center"/>
                        <w:rPr/>
                      </w:pPr>
                      <w:r>
                        <w:rPr>
                          <w:rFonts w:ascii="Times New Roman;sans-serif" w:hAnsi="Times New Roman;sans-serif"/>
                          <w:b w:val="false"/>
                          <w:color w:val="000000"/>
                          <w:sz w:val="21"/>
                        </w:rPr>
                        <w:t>[</w:t>
                      </w:r>
                      <w:r>
                        <w:rPr>
                          <w:rFonts w:ascii="Times New Roman;sans-serif" w:hAnsi="Times New Roman;sans-serif"/>
                          <w:b w:val="false"/>
                          <w:i/>
                          <w:color w:val="000000"/>
                          <w:sz w:val="21"/>
                        </w:rPr>
                        <w:t>Signature Page to Supplemental Indenture – VICI 4.125% Notes due 2030 - VICI</w:t>
                      </w:r>
                      <w:r>
                        <w:rPr>
                          <w:rFonts w:ascii="Times New Roman;sans-serif" w:hAnsi="Times New Roman;sans-serif"/>
                          <w:b w:val="false"/>
                          <w:color w:val="000000"/>
                          <w:sz w:val="21"/>
                        </w:rPr>
                        <w:t>]</w:t>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color w:val="000000"/>
          <w:sz w:val="20"/>
        </w:rPr>
        <w:t>UMB BANK, NATIONAL ASSOCIATION</w:t>
      </w:r>
      <w:r>
        <w:rPr>
          <w:rFonts w:ascii="Times New Roman;sans-serif" w:hAnsi="Times New Roman;sans-serif"/>
          <w:b w:val="false"/>
          <w:color w:val="000000"/>
          <w:sz w:val="20"/>
        </w:rPr>
        <w:t>, as Trustee</w:t>
      </w:r>
    </w:p>
    <w:p>
      <w:pPr>
        <w:pStyle w:val="TextBody"/>
        <w:bidi w:val="0"/>
        <w:spacing w:before="0" w:after="240"/>
        <w:jc w:val="both"/>
        <w:rPr/>
      </w:pPr>
      <w:r>
        <w:rPr/>
      </w:r>
    </w:p>
    <w:p>
      <w:pPr>
        <w:pStyle w:val="TextBody"/>
        <w:bidi w:val="0"/>
        <w:spacing w:lineRule="auto" w:line="240" w:before="0" w:after="0"/>
        <w:jc w:val="both"/>
        <w:rPr/>
      </w:pPr>
      <w:r>
        <w:rPr>
          <w:rFonts w:ascii="Times New Roman;sans-serif" w:hAnsi="Times New Roman;sans-serif"/>
          <w:b w:val="false"/>
          <w:color w:val="000000"/>
          <w:sz w:val="20"/>
        </w:rPr>
        <w:t xml:space="preserve">By: </w:t>
      </w:r>
      <w:r>
        <w:rPr>
          <w:color w:val="000000"/>
          <w:u w:val="single"/>
        </w:rPr>
        <w:t>    </w:t>
      </w:r>
      <w:r>
        <w:rPr>
          <w:rFonts w:ascii="Times New Roman;sans-serif" w:hAnsi="Times New Roman;sans-serif"/>
          <w:b w:val="false"/>
          <w:color w:val="000000"/>
          <w:sz w:val="20"/>
          <w:u w:val="single"/>
        </w:rPr>
        <w:t>/s/ Gavin Wilkinson        </w:t>
      </w:r>
      <w:r>
        <w:rPr>
          <w:color w:val="000000"/>
        </w:rPr>
        <w:t>    </w:t>
      </w:r>
    </w:p>
    <w:p>
      <w:pPr>
        <w:pStyle w:val="TextBody"/>
        <w:bidi w:val="0"/>
        <w:spacing w:lineRule="auto" w:line="240"/>
        <w:ind w:left="0" w:right="0" w:firstLine="90"/>
        <w:jc w:val="both"/>
        <w:rPr>
          <w:rFonts w:ascii="Times New Roman;sans-serif" w:hAnsi="Times New Roman;sans-serif"/>
          <w:b w:val="false"/>
          <w:color w:val="000000"/>
          <w:sz w:val="20"/>
        </w:rPr>
      </w:pPr>
      <w:r>
        <w:rPr>
          <w:rFonts w:ascii="Times New Roman;sans-serif" w:hAnsi="Times New Roman;sans-serif"/>
          <w:b w:val="false"/>
          <w:color w:val="000000"/>
          <w:sz w:val="20"/>
        </w:rPr>
        <w:t>Authorized Signatory</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12" w:before="0" w:after="160"/>
        <w:jc w:val="right"/>
        <w:rPr>
          <w:rFonts w:ascii="Times New Roman;sans-serif" w:hAnsi="Times New Roman;sans-serif"/>
          <w:b/>
          <w:color w:val="000000"/>
          <w:sz w:val="20"/>
        </w:rPr>
      </w:pPr>
      <w:r>
        <w:rPr>
          <w:rFonts w:ascii="Times New Roman;sans-serif" w:hAnsi="Times New Roman;sans-serif"/>
          <w:b/>
          <w:color w:val="000000"/>
          <w:sz w:val="20"/>
        </w:rPr>
        <w:t>Exhibit 4.42</w:t>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53670"/>
                <wp:effectExtent l="0" t="0" r="0" b="0"/>
                <wp:wrapNone/>
                <wp:docPr id="155" name="Frame153"/>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307" w:before="0" w:after="0"/>
                              <w:jc w:val="center"/>
                              <w:rPr/>
                            </w:pPr>
                            <w:r>
                              <w:rPr>
                                <w:rFonts w:ascii="Times New Roman;sans-serif" w:hAnsi="Times New Roman;sans-serif"/>
                                <w:b w:val="false"/>
                                <w:color w:val="000000"/>
                                <w:sz w:val="21"/>
                              </w:rPr>
                              <w:t>[</w:t>
                            </w:r>
                            <w:r>
                              <w:rPr>
                                <w:rFonts w:ascii="Times New Roman;sans-serif" w:hAnsi="Times New Roman;sans-serif"/>
                                <w:b w:val="false"/>
                                <w:i/>
                                <w:color w:val="000000"/>
                                <w:sz w:val="21"/>
                              </w:rPr>
                              <w:t>Signature Page to Supplemental Indenture – VICI 4.125% Notes due 2030 - Trustee</w:t>
                            </w:r>
                            <w:r>
                              <w:rPr>
                                <w:rFonts w:ascii="Times New Roman;sans-serif" w:hAnsi="Times New Roman;sans-serif"/>
                                <w:b w:val="false"/>
                                <w:color w:val="000000"/>
                                <w:sz w:val="21"/>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307" w:before="0" w:after="0"/>
                        <w:jc w:val="center"/>
                        <w:rPr/>
                      </w:pPr>
                      <w:r>
                        <w:rPr>
                          <w:rFonts w:ascii="Times New Roman;sans-serif" w:hAnsi="Times New Roman;sans-serif"/>
                          <w:b w:val="false"/>
                          <w:color w:val="000000"/>
                          <w:sz w:val="21"/>
                        </w:rPr>
                        <w:t>[</w:t>
                      </w:r>
                      <w:r>
                        <w:rPr>
                          <w:rFonts w:ascii="Times New Roman;sans-serif" w:hAnsi="Times New Roman;sans-serif"/>
                          <w:b w:val="false"/>
                          <w:i/>
                          <w:color w:val="000000"/>
                          <w:sz w:val="21"/>
                        </w:rPr>
                        <w:t>Signature Page to Supplemental Indenture – VICI 4.125% Notes due 2030 - Trustee</w:t>
                      </w:r>
                      <w:r>
                        <w:rPr>
                          <w:rFonts w:ascii="Times New Roman;sans-serif" w:hAnsi="Times New Roman;sans-serif"/>
                          <w:b w:val="false"/>
                          <w:color w:val="000000"/>
                          <w:sz w:val="21"/>
                        </w:rPr>
                        <w:t>]</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DESCRIPTION OF REGISTRANT’S SECURITIES </w:t>
        <w:br/>
        <w:t xml:space="preserve">REGISTERED PURSUANT TO SECTION 12 OF THE </w:t>
        <w:br/>
        <w:t>SECURITIES EXCHANGE ACT OF 1934</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The following is a summary of the rights and preferences of our common stock. This summary does not purport to be complete and is subject to and is qualified in its entirety by reference to our charter and bylaws and applicable provisions of the Maryland General Corporation Law (“MGCL”). While we believe the following summary covers the material terms of our common stock, the description may not include all of the information that is important to you. We encourage you to read carefully our charter and bylaws and the applicable provisions of the MGCL for a more complete understanding of our common stock. Each of our charter and bylaws is attached as an exhibit to the Annual Report on Form 10-K. </w:t>
      </w:r>
    </w:p>
    <w:p>
      <w:pPr>
        <w:pStyle w:val="TextBody"/>
        <w:bidi w:val="0"/>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 xml:space="preserve">General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charter authorizes us to issue up to 1,350,000,000 shares of common stock, $0.01 par value per share, and up to 50,000,000 shares of preferred stock, $0.01 par value per share, of which 12,000,000 shares are classified as Series A preferred stock, $0.01 par value per share. Our charter authorizes our board of directors, without stockholder approval, to amend our charter to increase or decrease the aggregate number of shares of stock that we are authorized to issue or the number of authorized shares of any class or series, subject to the terms of any outstanding preferred stock.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1,042,702,763 shares of our common stock are issued and outstanding, and no shares of preferred stock of any class (including Series A preferred stock) are issued or outstanding.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Maryland law, a stockholder generally is not liable for a corporation’s debts or obligations solely as a result of the stockholder’s status as a stockholder. </w:t>
      </w:r>
    </w:p>
    <w:p>
      <w:pPr>
        <w:pStyle w:val="TextBody"/>
        <w:bidi w:val="0"/>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 xml:space="preserve">Common Stock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Subject to the restrictions on ownership and transfer of our stock discussed below under the caption “Restrictions on Ownership and Transfer” and the voting rights of holders of outstanding shares of any other class or series of our stock, holders of our common stock will be entitled to one vote for each share held of record on all matters on which stockholders are entitled to vote generally, including the election or removal of directors. The holders of our common stock will not have cumulative voting rights in the election of directors.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Holders of our common stock will be entitled to receive dividends if, as and when authorized by our board of directors and declared by us out of assets legally available for the payment of dividends. Upon our liquidation, dissolution or winding up and after payment in full of all amounts required to be paid to creditors and to the holders of outstanding shares of any class or series of our stock having liquidation preferences, if any, the holders of our common stock will be entitled to receive pro rata our remaining assets available for distribution. Holders of our common stock will not have preemptive, subscription, redemption, preference, exchange, conversion or appraisal rights. There will be no sinking fund provisions applicable to the common stock. All issued and outstanding shares of our common stock will be fully paid and nonassessable and will have equal dividend and liquidation rights. The rights, powers, preferences and privileges of holders of our common stock will be subject to those of the holders of any shares of our preferred stock or any other class or series of stock we may authorize and issue in the future.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Maryland law, a Maryland corporation generally may not amend its charter (with limited exceptions), consolidate, merge, convert, sell all or substantially all of its assets, engage in a statutory share exchange or dissolve unless the action is advised by its board of directors and approved by the affirmative vote of stockholders entitled to cast at least two-thirds of the votes entitled to be cast on the matter. As permitted by Maryland law, our charter provides that any of these actions, once advised by our board of directors, may be approved by the affirmative vote of stockholders entitled to cast a majority of all of the votes entitled to be cast on the matter, except for amendments to the charter provisions relating to indemnification and limitation of liability of directors and officers and certain amendments to our charter affecting these provisions, which require the affirmative vote of stockholders entitled to cast 75% of all of the votes entitled to be cast generally in the election of directors. See “Certain Provisions of Maryland Law and Our Charter and Bylaws.” Maryland law also permits a corporation to transfer all or substantially all of its assets without the approval of its stockholders to an entity owned, directly or indirectly, by the corporation. In addition, because many of our operating assets are held by our subsidiaries, these subsidiaries will be able to merge or sell all or substantially all of their assets without the approval of our stockholders. </w:t>
      </w:r>
    </w:p>
    <w:p>
      <w:pPr>
        <w:pStyle w:val="TextBody"/>
        <w:bidi w:val="0"/>
        <w:spacing w:before="0" w:after="0"/>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75260"/>
                <wp:effectExtent l="0" t="0" r="0" b="0"/>
                <wp:wrapNone/>
                <wp:docPr id="156" name="Frame1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 xml:space="preserve">Power to Reclassify and Issue Stock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Subject to the rights of holders of any outstanding shares of our preferred stock, our board of directors will be able to, without approval of holders of our common stock, classify and reclassify any unissued shares of our stock into other classes or series of stock, including one or more classes or series of stock that have preference over our common stock with respect to dividends or upon liquidation, or have voting rights and other rights that differ from the rights of the common stock, and authorize us to issue the newly-classified shares. Before authorizing the issuance of shares of any new class or series, our board of directors will be required to set, subject to the provisions in our charter relating to the restrictions on ownership and transfer of our stock, the preferences, conversion or other rights, voting powers, restrictions, limitations as to dividends or other distributions, qualifications and terms or conditions of redemption for each class or series of stock. In addition, our charter authorizes our board of directors, with the approval of a majority of our board of directors and without stockholder approval, to amend our charter to increase or decrease the aggregate number of shares of stock, or the number of shares of any class or series of stock, that we are authorized to issue, subject to the rights of holders of our preferred stock. These actions will be able to be taken without the approval of holders of our common stock unless such approval is required by applicable law, the terms of any other class or series of our stock or the rules of any stock exchange or automated quotation system on which any of our stock is listed or traded. </w:t>
      </w:r>
    </w:p>
    <w:p>
      <w:pPr>
        <w:pStyle w:val="TextBody"/>
        <w:bidi w:val="0"/>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 xml:space="preserve">Preferred Stock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Prior to issuance of shares of each class or series of preferred stock having terms not already established pursuant to our charter, our board of directors is required by the MGCL and our charter to set the preferences, conversion and other rights, voting powers, restrictions, limitations as to dividends and other distributions, qualifications and terms and conditions of redemption for each such class or series. Our board of directors could authorize the issuance of shares of preferred stock that have priority over our common stock with respect to dividends or rights upon liquidation or with terms and conditions which could have the effect of delaying, deferring or preventing a transaction or a change of control of our company that might involve a premium price for holders of our common stock or that holders of our common stock otherwise view to be in their best interests. </w:t>
      </w:r>
    </w:p>
    <w:p>
      <w:pPr>
        <w:pStyle w:val="TextBody"/>
        <w:bidi w:val="0"/>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 xml:space="preserve">Series A Preferred Stock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Of the 50,000,000 shares of preferred stock authorized for issuance under our charter, 12,000,000 shares are classified as Series A preferred stock, $0.01 par value per share, all of which automatically converted on November 6, 2017 in accordance with the terms of the Series A preferred stock into shares of our common stock. As a result of this conversion, none of the authorized shares of Series A preferred stock are currently issued or outstanding. Our board of directors has no plans to issue any shares of Series A preferred stock as currently constituted, and given the terms applicable to the Series A preferred stock and the circumstances in which originally issued, any such additional issuance would be impractical. Our board of directors could, however, without stockholder approval, reclassify the authorized but unissued shares of Series A preferred stock as preferred stock without further designation, or into one or more other or additional series or classes of our capital stock, pursuant to its power to reclassify stock, as described above, and cause us to issue the newly-classified shares, subject, however, to the rights of holders of any then outstanding shares of our preferred stock. For detail regarding these and other terms applicable to our authorized Series A preferred stock, we encourage you to read carefully the terms thereof, as set forth in our charter. </w:t>
      </w:r>
    </w:p>
    <w:p>
      <w:pPr>
        <w:pStyle w:val="TextBody"/>
        <w:bidi w:val="0"/>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 xml:space="preserve">Restrictions on Ownership and Transfer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order for us to qualify as a REIT for U.S. Federal income tax purposes, our stock must be beneficially owned by 100 or more persons during at least 335 days of a taxable year of 12 months or during a proportionate part of a shorter taxable year. Also, not more than 50% of the value of the outstanding shares of our stock may be owned, directly or indirectly, by five or fewer individuals (as defined in the Internal Revenue Code of 1986, as amended from time to time (the “Code”) to include certain entities such as qualified pension plans) during the last half of a taxable year.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charter contains restrictions on the ownership and transfer of our stock. Subject to the exceptions described below, our charter provides that no person or entity will be able to beneficially own, or be deemed to own by virtue of the applicable constructive ownership provisions of the Code, with respect to any class or series of our capital stock (including our common stock), more than 9.8% (in value or by number of shares, whichever is more restrictive) of the aggregate of the outstanding shares of such class or series of our capital stock. </w:t>
      </w:r>
    </w:p>
    <w:p>
      <w:pPr>
        <w:pStyle w:val="TextBody"/>
        <w:bidi w:val="0"/>
        <w:spacing w:before="0" w:after="0"/>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46685"/>
                <wp:effectExtent l="0" t="0" r="0" b="0"/>
                <wp:wrapNone/>
                <wp:docPr id="157" name="Frame1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2" w:before="0" w:after="160"/>
                              <w:jc w:val="center"/>
                              <w:rPr>
                                <w:rFonts w:ascii="Times New Roman;sans-serif" w:hAnsi="Times New Roman;sans-serif"/>
                                <w:b w:val="false"/>
                                <w:color w:val="000000"/>
                                <w:sz w:val="20"/>
                              </w:rPr>
                            </w:pPr>
                            <w:r>
                              <w:rPr>
                                <w:rFonts w:ascii="Times New Roman;sans-serif" w:hAnsi="Times New Roman;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0" w:after="16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constructive ownership rules under the Code are complex and may cause stock owned actually or constructively by a group of related individuals and/or entities to be owned constructively by one individual or entity. As a result, the acquisition of 9.8% or less of a class or series of our capital stock, or the acquisition of an interest in an entity that owns our stock, could, nevertheless, cause the acquirer or another individual or entity to own our stock in excess of the ownership limit.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An exemption from the 9.8% ownership limit was granted to certain stockholders, and our board may in the future provide exceptions to the ownership limit for other stockholders, subject to certain initial and ongoing conditions designed to protect our status as a REIT. In addition, our charter provides that our board of directors will have the power to, upon receipt of certain representations and agreements and in its sole discretion, prospectively or retroactively, exempt a person from the ownership limit or establish a different limit on ownership for a particular stockholder if the stockholder’s ownership in excess of the ownership limit would not result in our being “closely held” under Section 856(h) of the Code (without regard to whether the ownership interest is held during the last half of a taxable year) or otherwise failing to qualify as a REIT. As a condition to granting a waiver of the ownership limit or creating an excepted holder limit, our board of directors will be able, but will not be required, to require an opinion of counsel or IRS ruling satisfactory to our board of directors as it may deem necessary or advisable to determine or ensure our status as a REIT and may impose such other conditions or restrictions as it deems appropriate.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granting a waiver of the ownership limit or creating or modifying an excepted holder limit, or at any other time, our charter provides that our board of directors will be able to increase or decrease the ownership limit unless, after giving effect to any increased or decreased ownership limit, five or fewer individuals (as defined in the Code to include certain entities such as qualified pension plans) could beneficially own or constructively own, in the aggregate, more than 50% in value of the shares of our stock then outstanding or we would otherwise fail to qualify as a REIT. A decreased ownership limit will not apply to any person or entity whose percentage ownership of our stock is in excess of the decreased ownership limit until the person or entity’s ownership of our stock equals or falls below the decreased ownership limit, but any further acquisition of our stock will be subject to the decreased ownership limit. </w:t>
      </w:r>
    </w:p>
    <w:p>
      <w:pPr>
        <w:pStyle w:val="TextBody"/>
        <w:bidi w:val="0"/>
        <w:spacing w:lineRule="auto" w:line="288" w:before="24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charter also provides that: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any person is prohibited from owning shares of our stock that, if effective, would cause us to constructively own more than 10% of the ownership interests, assets or net profits in (i) any of our tenants or (ii) any tenant of one of our direct or indirect subsidiaries, to the extent such ownership would cause us to fail to qualify as a REIT;</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any person is prohibited from beneficially or constructively owning shares of our stock that would result in our being “closely held” under Section 856(h) of the Code (without regard to whether the ownership interest is held during the last half of a taxable year) or otherwise cause us to fail to qualify as a REIT; and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any person is prohibited from transferring shares of our stock if the transfer would result in shares of our stock being beneficially owned by fewer than 100 persons.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charter provides that any person who acquires or attempts or intends to acquire beneficial or constructive ownership of shares of our stock that will or may violate the ownership limit or any other restrictions on ownership and transfer of our stock discussed above, and any person who owned or would have owned shares of our stock that are transferred to a trust for the benefit of one or more charitable beneficiaries described below, will be required to give immediate written notice of such an event or, in the case of a proposed or attempted transfer, give at least five days’ prior written notice to us and provide us with such other information as we may request in order to determine the effect of the transfer on our status as a REIT. The provisions of our charter relating to the restrictions on ownership and transfer of our stock will not apply if our board of directors determines that it is no longer in our best interests to attempt to qualify, or to continue to qualify, as a REIT, or that compliance is no longer required in order for us to qualify as a REIT.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charter provides that any attempted transfer of our stock that, if effective, would result in our stock being beneficially owned by fewer than 100 persons will be void ab initio and the intended transferee will acquire no rights in such shares of stock. Our charter provides that any attempted transfer of our stock that, if effective, would result in a violation of the ownership limit (or other limit established by our charter or our board of directors), any person owning shares of our stock that, if effective, would cause us to constructively own more than 10% of the ownership interests, assets or net profits in (i) any of our tenants or (ii) any tenant of one of our direct or indirect subsidiaries, to the extent such ownership would cause us to fail to qualify as a REIT, or our being “closely held” under Section 856(h) of the Code or our otherwise failing to qualify as a REIT, will be void ab initio and the intended transferee will acquire no rights in such shares of stock and, if such voidness is not effective, the number of shares causing the violation (rounded up to the nearest whole share) will be </w:t>
      </w:r>
    </w:p>
    <w:p>
      <w:pPr>
        <w:pStyle w:val="TextBody"/>
        <w:bidi w:val="0"/>
        <w:spacing w:before="0" w:after="0"/>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46685"/>
                <wp:effectExtent l="0" t="0" r="0" b="0"/>
                <wp:wrapNone/>
                <wp:docPr id="158" name="Frame1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2" w:before="0" w:after="160"/>
                              <w:jc w:val="center"/>
                              <w:rPr>
                                <w:rFonts w:ascii="Times New Roman;sans-serif" w:hAnsi="Times New Roman;sans-serif"/>
                                <w:b w:val="false"/>
                                <w:color w:val="000000"/>
                                <w:sz w:val="20"/>
                              </w:rPr>
                            </w:pPr>
                            <w:r>
                              <w:rPr>
                                <w:rFonts w:ascii="Times New Roman;sans-serif" w:hAnsi="Times New Roman;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0" w:after="16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transferred automatically to a trust for the exclusive benefit of one or more charitable beneficiaries, and the intended transferee will not acquire any rights in the shares. The automatic transfer will be effective as of the close of business on the business day before the date of the attempted transfer or other event that resulted in a transfer to the trust. Our charter provides that if the transfer to the trust as described above does not occur or is not automatically effective, for any reason, to prevent a violation of the applicable restrictions on ownership and transfer of our stock, then the attempted transfer which, if effective, would have resulted in a violation on the restrictions of ownership and transfer of our stock, will be void ab initio and the intended transferee will acquire no rights in such shares of stock.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charter provides that shares of our stock held in the trust will be issued and outstanding shares. The intended transferee may not benefit economically from ownership of any shares of our stock held in the trust and will have no rights to dividends and no rights to vote or other rights attributable to the shares of our stock held in the trust. The trustee of the trust will exercise all voting rights and receive all dividends and other distributions with respect to shares held in the trust for the exclusive benefit of the charitable beneficiary of the trust. Our charter provides that any dividend or other distribution paid before we discover that the shares have been transferred to a trust as described above must be repaid by the recipient to the trustee upon demand by us. Pursuant to our charter, subject to Maryland law, effective as of the date that the shares have been transferred to the trust, the trustee will have the authority to rescind as void any vote cast by an intended transferee before our discovery that the shares have been transferred to the trustee and to recast the vote in accordance with the direction of the trustee acting for the benefit of the charitable beneficiary of the trust. </w:t>
      </w:r>
    </w:p>
    <w:p>
      <w:pPr>
        <w:pStyle w:val="TextBody"/>
        <w:bidi w:val="0"/>
        <w:spacing w:lineRule="auto" w:line="288" w:before="24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our charter, within 20 days of receiving notice from us of a transfer of shares to the trust, the trustee must sell the shares to a person, designated by the trustee, that would be permitted to own the shares without violating the ownership limit or the other restrictions on ownership and transfer of our stock in our charter. After such sale of the shares, the interest of the charitable beneficiary in the shares sold will terminate and the trustee must distribute to the intended transferee, an amount equal to the lesser of: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price paid by the intended transferee for the shares or, if the intended transferee did not give value for the shares in connection with the event that resulted in the transfer to the trust at the market price of the shares on the day of the event that resulted in the transfer of such shares to the trust;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sales proceeds received by the trustee for the shares.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Any net sales proceeds in excess of the amount payable to the intended transferee shall be paid to the charitable beneficiary. </w:t>
      </w:r>
    </w:p>
    <w:p>
      <w:pPr>
        <w:pStyle w:val="TextBody"/>
        <w:bidi w:val="0"/>
        <w:spacing w:lineRule="auto" w:line="288" w:before="24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charter provides that shares of our stock held in the trust will be deemed to be offered for sale to us, or our designee, at a price per share equal to the lesser of: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price per share in the transaction that resulted in the transfer to the trust or, in the case of a gift, devise or other such transaction, at market price, at the time of such gift, devise or other such transaction;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market price on the date we accept, or our designee accepts, such offer.</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amount payable to the transferee may be reduced by the amount of any dividends or other distributions that we paid to the intended transferee before we discovered that the shares had been transferred to the trust and that is owed by the intended transferee to the trustee as described above. We may accept the offer until the trustee has otherwise sold the shares of our stock held in the trust. Pursuant to our charter, upon a sale to us, the interest of the charitable beneficiary in the shares sold will terminate and the trustee must distribute the net proceeds of the sale to the intended transferee and distribute any dividends or other distributions held by the trustee with respect to the shares to the charitable beneficiary.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Every owner of 5% or more (or such lower percentage as required by the Code or the regulations promulgated thereunder) of the outstanding shares of our stock, within 30 days after the end of each taxable year, must give us written notice stating the person’s name and address, the number of shares of each class and series of our stock that the person beneficially owns and a description of the manner in which the shares are held. Each such owner also must provide us with any additional information that we request in order to determine the effect, if any, of the person’s beneficial ownership on our status as a REIT and to ensure compliance with the ownership limit. In addition, any person or entity that is a beneficial owner or constructive owner of shares of our stock and any person or entity (including the stockholder of record) who is holding shares of our stock for a beneficial owner or constructive owner will be required to, on request, disclose to us such information as we may request in order to determine our status as a REIT or to comply, or determine our compliance, with the requirements of any governmental or taxing authority. </w:t>
      </w:r>
    </w:p>
    <w:p>
      <w:pPr>
        <w:pStyle w:val="TextBody"/>
        <w:bidi w:val="0"/>
        <w:spacing w:before="0" w:after="0"/>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46685"/>
                <wp:effectExtent l="0" t="0" r="0" b="0"/>
                <wp:wrapNone/>
                <wp:docPr id="159" name="Frame1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2" w:before="0" w:after="160"/>
                              <w:jc w:val="center"/>
                              <w:rPr>
                                <w:rFonts w:ascii="Times New Roman;sans-serif" w:hAnsi="Times New Roman;sans-serif"/>
                                <w:b w:val="false"/>
                                <w:color w:val="000000"/>
                                <w:sz w:val="20"/>
                              </w:rPr>
                            </w:pPr>
                            <w:r>
                              <w:rPr>
                                <w:rFonts w:ascii="Times New Roman;sans-serif" w:hAnsi="Times New Roman;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0" w:after="16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our board of directors authorizes any of our shares to be represented by certificates, the certificates will bear a legend referring to the restrictions described above.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These restrictions on ownership and transfer of our stock could delay, defer or prevent a transaction or a change of control of us that might involve a premium price for our common stock or otherwise be in the best interests of our stockholders. </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Redemption of Securities Owned or Controlled by an Unsuitable Person or Affiliate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the restrictions set forth above, all of our outstanding shares of capital stock will be held subject to applicable gaming laws. Any person owning or controlling at least 5% of the outstanding shares of any class of our capital stock will be required to promptly notify us of such person’s identity. Our charter provides that any shares of our capital stock that are owned or controlled by an unsuitable person or an affiliate of an unsuitable person are redeemable by us, out of funds legally available for that redemption, to the extent required by the gaming authorities making the determination of unsuitability or to the extent determined to be necessary or advisable by our board of directors. From and after the redemption date, the securities will not be considered outstanding and all rights of the unsuitable person or affiliate will cease, other than the right to receive the redemption price. The redemption price with respect to any securities to be redeemed will be the price, if any, required to be paid by the gaming authority making the finding of unsuitability or if the gaming authority does not require a price to be paid (including if the finding of unsuitability is made by our board of directors alone), an amount that in no event exceeds (1) the market price of such securities as reported on a securities exchange, a generally recognized reporting system or domestic over-the-counter market, as applicable, or (2) if such securities are not quoted by any recognized reporting system, then the fair market value thereof, as determined in good faith and in the reasonable discretion of the board of directors. The redemption price may be paid in cash, by promissory note, or both, as required by the applicable gaming authority and, if not, as determined by us. If all or a portion of the redemption price is paid with a promissory note, such note shall have a ten year term, bear interest at 3% and amortize in 120 equal monthly installments and contain such other terms determined by our board.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charter provides that the redemption right is not exclusive and that our capital stock that is owned or controlled by an unsuitable person or an affiliate of an unsuitable person may also be transferred to a trust for the benefit of a designated charitable beneficiary, and that any such unsuitable person or affiliate will not be entitled to any dividends on the shares or be entitled to vote the shares or receive any proceeds from the subsequent sale of the shares in excess of the lesser of the price paid by the unsuitable person or affiliate for the shares or the amount realized from the sale, in each case less a discount in a percentage (up to 100%) to be determined by our board of directors in its sole and absolute discretion.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charter requires any unsuitable person and any affiliate of an unsuitable person to indemnify us and our affiliated companies for any and all losses, costs and expenses, including attorneys’ fees, incurred by us and our affiliated companies as a result of the unsuitable person’s ownership or control or failure to promptly divest itself of any securities of our securities when and in the specific manner required by a gaming authority or by our charter.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our charter, an unsuitable person will be defined as one who (i) fails or refuses to file an application, or has withdrawn or requested the withdrawal of a pending application, to be found suitable by any gaming authority or for any gaming license, (ii) is denied or disqualified from eligibility for any gaming license by any gaming authority, (iii) is determined by any gaming authority to be unsuitable or disqualified to own or control any of our capital stock or the capital stock or any other equity securities of any of our affiliates, (iv) is determined by any gaming authority to be unsuitable to be affiliated, associated or involved with a person engaged in gaming activities or holding a gaming license in any gaming jurisdiction, (v) causes any gaming license of our company or any of our affiliates to be lost, rejected, rescinded, suspended, revoked or not renewed, or causes our company or any of our affiliates to be threatened by any gaming authority with the loss, rejection, rescission, suspension, revocation or non-renewal of any gaming license, or (vi) is deemed likely, in the sole and absolute discretion of our board, to preclude or materially delay, impede, impair, threaten or jeopardize any gaming license, cause or otherwise result in, the disapproval, cancellation, termination, material adverse modification or non-renewal of any material contract with a gaming authority to which our company or our affiliates is a party, or cause or otherwise result in the imposition of any materially burdensome or unacceptable terms or conditions on any gaming license of our company or any of our affiliates. </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Certain Provisions of Maryland Law and Our Charter and Bylaws </w:t>
      </w: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The following summary of certain provisions of Maryland law and of our charter and bylaws is only a summary, and is subject to, and qualified in its entirety by reference to, our charter and bylaws and the applicable provisions of the MGCL. </w:t>
      </w:r>
    </w:p>
    <w:p>
      <w:pPr>
        <w:pStyle w:val="TextBody"/>
        <w:bidi w:val="0"/>
        <w:spacing w:before="0" w:after="0"/>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46685"/>
                <wp:effectExtent l="0" t="0" r="0" b="0"/>
                <wp:wrapNone/>
                <wp:docPr id="160" name="Frame1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2" w:before="0" w:after="160"/>
                              <w:jc w:val="center"/>
                              <w:rPr>
                                <w:rFonts w:ascii="Times New Roman;sans-serif" w:hAnsi="Times New Roman;sans-serif"/>
                                <w:b w:val="false"/>
                                <w:color w:val="000000"/>
                                <w:sz w:val="20"/>
                              </w:rPr>
                            </w:pPr>
                            <w:r>
                              <w:rPr>
                                <w:rFonts w:ascii="Times New Roman;sans-serif" w:hAnsi="Times New Roman;sans-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0" w:after="16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Election and Removal of Directors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charter and bylaws provide that the number of our directors may be established only by our board of directors but may not be more than fifteen or fewer than the minimum number permitted by the MGCL, which is one. Our bylaws provide for the election of directors, in uncontested elections, by a majority of the votes cast. In contested elections, the election of directors shall be by a plurality of the votes cast. Our bylaws provide that a director may not be an “unsuitable person” as defined in our charter, and that the term of office of any director determined by our board of directors to be an unsuitable person will end upon that determination.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bylaws provide that any vacancy on our board of directors may be filled only by the affirmative vote of a majority of the remaining directors in office, even if the remaining directors do not constitute a quorum of the board of directors except that a vacancy created by the removal of a director by stockholders may also be filled by the requisite vote or consent of stockholders set forth in our bylaws.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charter also provides that, subject to the rights of holders of one or more classes or series of preferred stock to elect one or more directors, a director may be removed, with or without cause, by the affirmative vote of stockholders holding a majority of all of the shares of our stock entitled to vote generally in the election of directors.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Amendment to Charter and Bylaws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Except as provided in our charter with respect to indemnification and limitation of liability of directors and officers and certain amendments to our charter affecting these provisions, which must each be advised by our board of directors and receive the affirmative vote of stockholders entitled to cast 75% of all the votes entitled to be cast generally in the election of directors, amendments to our charter must be advised by our board of directors and, with limited exceptions, approved by the affirmative vote of our stockholders entitled to cast a majority of all of the votes entitled to be cast on the matter. Each of our board of directors and our stockholders, by the affirmative vote of not less than a majority of all shares then outstanding and entitled to be cast on the matter, have the power to amend our bylaws.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Business Combinations </w:t>
      </w:r>
    </w:p>
    <w:p>
      <w:pPr>
        <w:pStyle w:val="TextBody"/>
        <w:bidi w:val="0"/>
        <w:spacing w:lineRule="auto" w:line="288" w:before="12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MGCL, certain “business combinations” between a Maryland corporation and an interested stockholder or an affiliate of an interested stockholder are prohibited for five years after the most recent date on which the interested stockholder becomes an interested stockholder. These business combinations include a merger, consolidation, share exchange, and, in circumstances specified in the statute, an asset transfer or issuance or reclassification of equity securities. An interested stockholder is defined as: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any person who beneficially, directly or indirectly, owns 10% or more of the voting power of the corporation’s outstanding voting stock; or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an affiliate or associate of the corporation who, at any time within the two-year period before the date in question, was the beneficial owner, directly or indirectly, of 10% or more of the voting power of the corporation’s then outstanding voting stock.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person is not an interested stockholder under the MGCL if the corporation’s board of directors approves in advance the transaction by which the person otherwise would have become an interested stockholder. In approving the transaction, the board of directors may provide that its approval is subject to compliance, at or after the time of approval, with any terms and conditions determined by the board.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After the five-year prohibition, any business combination between the Maryland corporation and the interested stockholder generally must be recommended by the corporation’s board of directors and approved by the affirmative vote of at least: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80% of the votes entitled to be cast by holders of outstanding shares of voting stock of the corporation;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two-thirds of the votes entitled to be cast by holders of outstanding shares of voting stock of the corporation other than shares held by the interested stockholder with whom or with whose affiliate the business combination is to be effected or held by an affiliate or associate of the interested stockholder.</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These super-majority vote requirements do not apply if the corporation’s common stockholders receive a minimum price, as defined under the MGCL, for their shares in the form of cash or other consideration in the same form as previously paid by the interested stockholder for its shares. </w:t>
      </w:r>
    </w:p>
    <w:p>
      <w:pPr>
        <w:pStyle w:val="TextBody"/>
        <w:bidi w:val="0"/>
        <w:spacing w:before="0" w:after="0"/>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46685"/>
                <wp:effectExtent l="0" t="0" r="0" b="0"/>
                <wp:wrapNone/>
                <wp:docPr id="161" name="Frame1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2" w:before="0" w:after="160"/>
                              <w:jc w:val="center"/>
                              <w:rPr>
                                <w:rFonts w:ascii="Times New Roman;sans-serif" w:hAnsi="Times New Roman;sans-serif"/>
                                <w:b w:val="false"/>
                                <w:color w:val="000000"/>
                                <w:sz w:val="20"/>
                              </w:rPr>
                            </w:pPr>
                            <w:r>
                              <w:rPr>
                                <w:rFonts w:ascii="Times New Roman;sans-serif" w:hAnsi="Times New Roman;sans-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0" w:after="16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foregoing provisions of the MGCL do not apply, however, to business combinations that are exempted by the board of directors before the time that the interested stockholder becomes an interested stockholder. In addition, our charter provides that, notwithstanding any other provision of our charter or our bylaws, these provisions, known as the Maryland Business Combination Act (Title 3, Subtitle 6 of the MGCL), will not apply to any business combination between us and any interested stockholder of ours and that we expressly elect not to be governed by the operative provisions of the Maryland Business Combination Act in whole or in part. Any amendment to such provision of our charter must be advised by our board of directors and approved by the affirmative vote of stockholders entitled to cast a majority of all votes entitled to be cast on the matter. Consequently, the five-year prohibition and the supermajority vote requirements will not apply to a business combination between us and any other person. As a result, any person described in the preceding sentence may be able to enter into a business combination with us that our stockholders may view not be in their best interests, without compliance with the supermajority vote requirements and other provisions of the statute. We cannot assure you that this provision of our charter will not be amended or repealed in the future. In that event, business combinations between us and an interested stockholder or an affiliate of an interested stockholder would be subject to the five-year prohibition and the super-majority vote requirements.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Control Share Acquisitions </w:t>
      </w:r>
    </w:p>
    <w:p>
      <w:pPr>
        <w:pStyle w:val="TextBody"/>
        <w:bidi w:val="0"/>
        <w:spacing w:lineRule="auto" w:line="288" w:before="12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Maryland Control Share Acquisition Act provides that a holder of control shares of a Maryland corporation acquired in a control share acquisition has no voting rights with respect to the control shares except to the extent approved by a vote of two-thirds of the votes entitled to be cast on the matter. Shares owned by the acquirer, by officers or by employees who are directors of the corporation are excluded from shares entitled to vote on the matter. Control shares are voting shares of stock that, if aggregated with all other shares of stock owned by the acquirer or in respect of which the acquirer is able to exercise or direct the exercise of voting power (except solely by virtue of a revocable proxy), would entitle the acquirer to exercise or direct voting power in electing directors within one of the following ranges of voting power: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one-tenth or more but less than one-third;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one-third or more but less than a majority; or</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a majority or more of all voting power.</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Control shares do not include shares the acquirer is then entitled to vote as a result of having previously obtained stockholder approval or shares acquired directly from us. A control share acquisition means the acquisition of issued and outstanding control shares, subject to certain exceptions.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person who has made or proposes to make a control share acquisition may compel the board of directors of the corporation to call a special meeting of stockholders to be held within 50 days of demand to consider the voting rights of the shares. The right to compel the calling of a special meeting is subject to the satisfaction of certain conditions, including an undertaking to pay the expenses of the meeting. If no request for a meeting is made, the corporation may itself present the question at any stockholders meeting.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voting rights are not approved at the meeting or if the acquirer does not deliver an acquiring person statement as required by the statute, then the corporation may, subject to certain limitations and conditions, redeem for fair value any or all of the control shares, except those for which voting rights have previously been approved. Fair value is determined, without regard to the absence of voting rights for the control shares, as of the date of the last acquisition of control shares by the acquiring person in a control share acquisition; or, if a meeting of stockholders is held at which the voting rights of the shares are considered and not approved, then as of the date of the meeting. If voting rights for control shares are approved at a stockholders meeting and the acquirer becomes entitled to exercise or direct the exercise of a majority of the voting power, all other stockholders may exercise appraisal rights. The fair value of the shares as determined for purposes of appraisal rights may not be less than the highest price per share paid by the acquirer in the control share acquisition.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Maryland Control Share Acquisition Act does not apply (a) to shares acquired in a merger, consolidation or share exchange if the corporation is a party to the transaction or (b) to acquisitions approved or exempted by the charter or bylaws of the corporation.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bylaws contain a provision exempting any acquisition of our stock by any person from the foregoing provisions on control shares. In the event that our bylaws are amended by our directors or our stockholders to modify or eliminate this </w:t>
      </w:r>
    </w:p>
    <w:p>
      <w:pPr>
        <w:pStyle w:val="TextBody"/>
        <w:bidi w:val="0"/>
        <w:spacing w:before="0" w:after="0"/>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46685"/>
                <wp:effectExtent l="0" t="0" r="0" b="0"/>
                <wp:wrapNone/>
                <wp:docPr id="162" name="Frame1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2" w:before="0" w:after="160"/>
                              <w:jc w:val="center"/>
                              <w:rPr>
                                <w:rFonts w:ascii="Times New Roman;sans-serif" w:hAnsi="Times New Roman;sans-serif"/>
                                <w:b w:val="false"/>
                                <w:color w:val="000000"/>
                                <w:sz w:val="20"/>
                              </w:rPr>
                            </w:pPr>
                            <w:r>
                              <w:rPr>
                                <w:rFonts w:ascii="Times New Roman;sans-serif" w:hAnsi="Times New Roman;sans-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0" w:after="16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provision, acquisitions of our common stock may constitute a control share acquisition and may be subject to the Maryland Control Share Acquisition Act.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Subtitle 8 </w:t>
      </w:r>
    </w:p>
    <w:p>
      <w:pPr>
        <w:pStyle w:val="TextBody"/>
        <w:bidi w:val="0"/>
        <w:spacing w:lineRule="auto" w:line="288" w:before="12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Subtitle 8 of Title 3 of the MGCL (“Subtitle 8”) permits a Maryland corporation with a class of equity securities registered under the Exchange Act and at least three independent directors to elect, by provision in its charter or bylaws or a resolution of its board of directors and without the need for stockholder approval, and notwithstanding any contrary provision in the charter or bylaws, unless the charter or a resolution adopted by the board of directors prohibits such election, to be subject to any or all of five provisions, including: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a classified board of directors;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a two-thirds vote requirement for removing a director;</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a requirement that the number of directors be fixed only by vote of the board of directors;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a requirement that a vacancy on the board of directors be filled only by the affirmative vote of a majority of the remaining directors and for the remainder of the full term of the class of directors in which the vacancy occurred and until a successor is elected and qualifies;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a provision that a special meeting of stockholders must be called upon stockholder request only on the written request of stockholders entitled to cast a majority of the votes entitled to be cast at the meeting.</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do not currently have a classified board. Our charter provides that we are prohibited from electing to be subject to any or all of the provisions of Subtitle 8 unless such election is first approved by the affirmative vote of stockholders of not less than a majority of all shares of ours then outstanding and entitled to be cast on the matter.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Through provisions in our charter and bylaws unrelated to Subtitle 8, we already (1) vest in our board of directors the exclusive power to fix the number of directors, and (2) require the request of stockholders entitled to cast a majority of the votes entitled to be cast at the meeting to call a special meeting (unless the special meeting is called by our board of directors, the chairman of our board of directors, our president or chief executive officer as described below under “Special Meetings of Stockholders”).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Special Meetings of Stockholders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board of directors, the chairman of our board of directors, our president or our chief executive officer may call a special meeting of our stockholders. Our bylaws provide that a special meeting of our stockholders to act on any matter that may properly be considered at a meeting of our stockholders must also be called by our secretary upon the written request of stockholders entitled to cast a majority of all the votes entitled to be cast on such matter at the meeting and containing the information required by our bylaws.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Stockholder Action by Written Consent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MGCL generally provides that, unless the charter of the corporation authorizes stockholder action by less than unanimous consent, stockholder action may be taken by consent in lieu of a meeting only if it is given by all stockholders entitled to vote on the matter. Our charter permits stockholder action by consent in lieu of a meeting to the extent permitted by our bylaws. Our bylaws provide that any action required or permitted to be taken at any meeting of the holders of common stock entitled to vote generally in the election of directors may be taken without a meeting (a) if a unanimous consent setting forth the action is given in writing or by electronic transmission by each stockholder entitled to vote on the matter and filed with the minutes of proceedings of the stockholders or (b) if the action is advised, and submitted to the stockholders for approval, by our board and a consent in writing or by electronic transmission of stockholders entitled to cast not less than the minimum number of votes that would be necessary to authorize or take the action at a meeting of stockholders is delivered to us in accordance with the MGCL. We will be required to give notice of any action taken by less than unanimous consent to each stockholder not later than ten days after the effective time of such action.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Competing Interests and Activities of Our Directors or Officers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charter provides that we have the power to renounce, by resolution of the board of directors, any interest or expectancy in, or in being offered an opportunity to participate in, business opportunities or classes or categories of business opportunities that are (i) presented to us or (ii) developed by or presented to one or more of our directors or officers. </w:t>
      </w:r>
    </w:p>
    <w:p>
      <w:pPr>
        <w:pStyle w:val="TextBody"/>
        <w:bidi w:val="0"/>
        <w:spacing w:before="0" w:after="0"/>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46685"/>
                <wp:effectExtent l="0" t="0" r="0" b="0"/>
                <wp:wrapNone/>
                <wp:docPr id="163" name="Frame1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2" w:before="0" w:after="160"/>
                              <w:jc w:val="center"/>
                              <w:rPr>
                                <w:rFonts w:ascii="Times New Roman;sans-serif" w:hAnsi="Times New Roman;sans-serif"/>
                                <w:b w:val="false"/>
                                <w:color w:val="000000"/>
                                <w:sz w:val="20"/>
                              </w:rPr>
                            </w:pPr>
                            <w:r>
                              <w:rPr>
                                <w:rFonts w:ascii="Times New Roman;sans-serif" w:hAnsi="Times New Roman;sans-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0" w:after="16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Advance Notice of Director Nomination and New Business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bylaws provide that nominations of individuals for election as directors and proposals of business to be considered by stockholders at any annual meeting may be made only (1) pursuant to our notice of the meeting, (2) by or at the direction of our board of directors or any duly authorized committee of our board of directors or (3) by any stockholder present in person or by proxy who was a stockholder of record at the time of provision of notice by the stockholders and at the time of the meeting, who is entitled to vote at the meeting in the election of the individuals so nominated or on such other proposed business, who is not an “unsuitable person” as defined in our charter, and who has complied with the advance notice procedures of our bylaws. Stockholders generally must provide notice to our secretary not earlier than the 150th day or later than the close of business on the 120th day before the first anniversary of the date of our proxy statement for the preceding year’s annual meeting.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Only the business specified in the notice of the meeting may be brought before a special meeting of our stockholders. Nominations of individuals for election as directors at a special meeting of stockholders may be made only (1) by or at the direction of our board of directors or any duly authorized committee of our board of directors or (2) if the special meeting has been called in accordance with our bylaws for the purpose of electing directors, by a stockholder who is a stockholder of record both at the time of provision of notice and at the time of the special meeting, who is entitled to vote at the meeting in the election of each individual so nominated and who has complied with the advance notice procedures of our bylaws. Stockholders generally must provide notice to our secretary not earlier than the 120th day before such special meeting or later than the later of the close of business on the 90th day before such special meeting or the tenth day after the first public announcement of the date of the special meeting and the nominees of our board of directors to be elected at the meeting.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stockholder’s notice must contain certain information specified by our bylaws about the stockholder, its affiliates and any proposed business or nominee for election as a director, including information about the economic interest of the stockholder, its affiliates and any proposed nominee in us.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Proxy Access Nominations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bylaws permit an eligible stockholder, or group of up to 20 stockholders, who have owned 3% or more of our common stock continuously for at least three years to nominate and include in our proxy statement director candidates to occupy up to the greater of two directors or 20% of the board of directors, provided that the stockholder or group has satisfied the procedural, eligibility and disclosure requirements set forth in our bylaws.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Effect of Certain Provisions of Maryland Law and our Charter and Bylaws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restrictions on ownership and transfer of our stock discussed under the caption “Restrictions on Ownership and Transfer of our Common Stock” prohibit any person from acquiring, with respect to any class or series of our capital stock, more than 9.8% (in value or by number of shares, whichever is more restrictive) of the aggregate of the outstanding shares of such class or series of our capital stock, including our common stock, without the approval of our board of directors. These provisions may delay, defer or prevent a change in control of us. Further, subject to the rights of holders of preferred stock, our board of directors has the power to increase the aggregate number of authorized shares, or the number of authorized shares of any class or series, and to classify and reclassify any unissued shares of our stock into other classes or series of stock, and to authorize us to issue the newly-classified shares, as discussed above under the captions “Common Stock” and “Power to Reclassify and Issue Stock,” and could authorize the issuance of shares of common stock or another class or series of stock, including a class or series of preferred stock, that could have the effect of delaying, deferring or preventing a change in control of us. We believe that the power to increase the aggregate number of authorized shares and to classify or reclassify unissued shares of common or preferred stock, without approval of holders of our common stock, provides us with increased flexibility in structuring possible future financings and acquisitions and in meeting other needs that might arise.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charter and bylaws also provide that the number of directors may be established only by our board of directors, which prevents our stockholders from increasing the number of our directors and filling any vacancies created by such increase with their own nominees. The provisions of our bylaws discussed above under the captions “Special Meetings of Stockholders” and “Advance Notice of Director Nomination and New Business” require stockholders seeking to call a special meeting, nominate an individual for election as a director or propose other business at an annual meeting to comply with certain notice and information requirements. We believe that these provisions will help to assure the continuity and stability of our business strategies and policies as determined by our board of directors and promote good corporate governance by providing us with clear procedures for calling special meetings, information about a stockholder proponent’s interest in us and adequate time to consider stockholder nominees and other business proposals. However, these provisions, alone or in combination, could make </w:t>
      </w:r>
    </w:p>
    <w:p>
      <w:pPr>
        <w:pStyle w:val="TextBody"/>
        <w:bidi w:val="0"/>
        <w:spacing w:before="0" w:after="0"/>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46685"/>
                <wp:effectExtent l="0" t="0" r="0" b="0"/>
                <wp:wrapNone/>
                <wp:docPr id="164" name="Frame1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2" w:before="0" w:after="160"/>
                              <w:jc w:val="center"/>
                              <w:rPr>
                                <w:rFonts w:ascii="Times New Roman;sans-serif" w:hAnsi="Times New Roman;sans-serif"/>
                                <w:b w:val="false"/>
                                <w:color w:val="000000"/>
                                <w:sz w:val="20"/>
                              </w:rPr>
                            </w:pPr>
                            <w:r>
                              <w:rPr>
                                <w:rFonts w:ascii="Times New Roman;sans-serif" w:hAnsi="Times New Roman;sans-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0" w:after="16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it more difficult for our stockholders to remove incumbent directors or fill vacancies on our board of directors with their own nominees and could delay, defer or prevent a change in control, including a proxy contest or tender offer that might involve a premium price for our common stockholders or otherwise be in the best interest of our stockholders.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Exclusive Forum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bylaws provide that, unless we consent in writing to the selection of an alternative forum, the Circuit Court for Baltimore City, Maryland, or, if that court does not have jurisdiction, the United States District Court for the District of Maryland, Baltimore Division, will be the sole and exclusive forum for (a) any derivative action or proceeding brought on our behalf, (b) any action asserting a claim of breach of any duty owed by any of our present or former directors or officers or other employees or stockholders to us or to our stockholders, as applicable, or any standard of conduct applicable to our directors, (c) any action asserting a claim against us or any of our present or former directors or officers or other employees arising pursuant to any provision of the MGCL or our charter or bylaws or (d) any action asserting a claim against us or any of our present or former directors or officers or other employees that is governed by the internal affairs doctrine. </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Limitation of Liability and Indemnification of Directors and Officers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Maryland law permits us to include a provision in our charter eliminating the liability of our directors and officers to us and our stockholders for money damages, except for liability resulting from (a) actual receipt of an improper benefit or profit in money, property or services or (b) a final judgment based upon a finding that his or her action or failure to act was the result of active and deliberate dishonesty by the director or officer and was material to the cause of action adjudicated. Our charter contains a provision that eliminates our directors’ and officers’ liability to us and our stockholders for money damages to the maximum extent permitted by Maryland law. </w:t>
      </w:r>
    </w:p>
    <w:p>
      <w:pPr>
        <w:pStyle w:val="TextBody"/>
        <w:bidi w:val="0"/>
        <w:spacing w:lineRule="auto" w:line="288" w:before="24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MGCL requires us (unless our charter were to provide otherwise, which our charter does not) to indemnify a director or officer who has been successful, on the merits or otherwise, in the defense of any proceeding to which he or she is made or threatened to be made a party by reason of his or her service in that capacity. The MGCL permits us to indemnify our present and former directors and officers, among others, against judgments, penalties, fines, settlements and reasonable expenses actually incurred by them in connection with any proceeding to which they may be made or threatened to be made a part to, or witness in, by reason of their service in those or certain other capacities unless it is established that: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act or omission of the director or officer was material to the matter giving rise to the proceeding and (a) was committed in bad faith or (b) was the result of active and deliberate dishonesty;</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director or officer actually received an improper personal benefit in money, property or services; or</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in the case of any criminal proceeding, the director or officer had reasonable cause to believe that the act or omission was unlawful.</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However, the MGCL prohibits us from indemnifying a director or officer who has been adjudged liable in a suit by us or on our behalf or in which the director or officer was adjudged liable on the basis that a personal benefit was improperly received. A court may order indemnification if it determines that the director or officer is fairly and reasonably entitled to indemnification, even though the director or officer did not meet the standard of conduct for indemnification set forth above or was adjudged liable on the basis that personal benefit was improperly received. However, indemnification for an adverse judgment in a suit by us or on our behalf, or for a judgment of liability on the basis that personal benefit was improperly received, is limited to expenses.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the MGCL permits us to advance reasonable expenses to a director or officer upon our receipt of (a) a written affirmation by the director or officer of his or her good faith belief that he or she has met the standard of conduct necessary for indemnification and (b) a written undertaking by him or her or on his or her behalf to repay the amount paid or reimbursed if it is ultimately determined that the standard of conduct was not met. </w:t>
      </w:r>
    </w:p>
    <w:p>
      <w:pPr>
        <w:pStyle w:val="TextBody"/>
        <w:bidi w:val="0"/>
        <w:spacing w:lineRule="auto" w:line="288" w:before="24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charter provides that we will have the power to obligate ourselves, and our bylaws obligate us, to the maximum extent permitted by Maryland law in effect from time to time, to indemnify and, without requiring a preliminary determination of the ultimate entitlement to indemnification, pay or reimburse reasonable expenses in advance of final disposition of a proceeding to: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any present or former director or officer who is made or threatened to be made a party to, or witness in, a proceeding by reason of his or her service in that capacity; or</w:t>
      </w:r>
    </w:p>
    <w:p>
      <w:pPr>
        <w:pStyle w:val="TextBody"/>
        <w:bidi w:val="0"/>
        <w:spacing w:before="0" w:after="0"/>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46685"/>
                <wp:effectExtent l="0" t="0" r="0" b="0"/>
                <wp:wrapNone/>
                <wp:docPr id="165" name="Frame1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2" w:before="0" w:after="16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0" w:after="16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any individual who, while a director or officer of our company and at our request, serves or has served as a director, officer, partner, trustee, member or manager of another corporation, REIT, limited liability company, partnership, joint venture, trust, employee benefit plan or any other enterprise and who is made or threatened to be made a party to, or witness in, the proceeding by reason of his or her service in that capacity.</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charter and bylaws provide that we have the power, with approval of our board, to provide such indemnification and advance of expenses to a person who served a predecessor of us in any such capacity described above and to any employee or agent of us or a predecessor of us. </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Indemnification Agreements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entered into an indemnification agreement with each of our directors and executive officers. Insofar as indemnification for liabilities arising under the Securities Act may be permitted to directors or executive officers, we have been informed that in the opinion of the SEC such indemnification is against public policy and is therefore unenforceable.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purchased and maintain insurance on behalf of all of our directors and executive officers against liability asserted against or incurred by them in their official capacities, whether or not we are required to have the power to indemnify them against the same liability.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07" w:before="0" w:after="0"/>
        <w:jc w:val="right"/>
        <w:rPr>
          <w:rFonts w:ascii="Arial;sans-serif" w:hAnsi="Arial;sans-serif"/>
          <w:b/>
          <w:color w:val="000000"/>
          <w:sz w:val="20"/>
        </w:rPr>
      </w:pPr>
      <w:r>
        <w:rPr>
          <w:rFonts w:ascii="Arial;sans-serif" w:hAnsi="Arial;sans-serif"/>
          <w:b/>
          <w:color w:val="000000"/>
          <w:sz w:val="20"/>
        </w:rPr>
        <w:t>Exhibit 10.47</w:t>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46685"/>
                <wp:effectExtent l="0" t="0" r="0" b="0"/>
                <wp:wrapNone/>
                <wp:docPr id="166" name="Frame1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2" w:before="0" w:after="16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0.9pt;mso-position-horizontal:left;mso-position-horizontal-relative:text">
                <v:textbox>
                  <w:txbxContent>
                    <w:p>
                      <w:pPr>
                        <w:pStyle w:val="TextBody"/>
                        <w:bidi w:val="0"/>
                        <w:spacing w:lineRule="auto" w:line="312" w:before="0" w:after="16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before="0" w:after="0"/>
        <w:jc w:val="right"/>
        <w:rPr/>
      </w:pPr>
      <w:r>
        <w:rPr/>
      </w:r>
    </w:p>
    <w:p>
      <w:pPr>
        <w:pStyle w:val="TextBody"/>
        <w:bidi w:val="0"/>
        <w:spacing w:lineRule="auto" w:line="240" w:before="0" w:after="240"/>
        <w:jc w:val="center"/>
        <w:rPr>
          <w:rFonts w:ascii="Arial;sans-serif" w:hAnsi="Arial;sans-serif"/>
          <w:b/>
          <w:color w:val="000000"/>
          <w:sz w:val="21"/>
        </w:rPr>
      </w:pPr>
      <w:r>
        <w:rPr>
          <w:rFonts w:ascii="Arial;sans-serif" w:hAnsi="Arial;sans-serif"/>
          <w:b/>
          <w:color w:val="000000"/>
          <w:sz w:val="21"/>
        </w:rPr>
        <w:t>VICI Properties Inc.</w:t>
      </w:r>
    </w:p>
    <w:p>
      <w:pPr>
        <w:pStyle w:val="TextBody"/>
        <w:bidi w:val="0"/>
        <w:spacing w:lineRule="auto" w:line="240" w:before="0" w:after="240"/>
        <w:jc w:val="center"/>
        <w:rPr>
          <w:rFonts w:ascii="Arial;sans-serif" w:hAnsi="Arial;sans-serif"/>
          <w:b/>
          <w:color w:val="000000"/>
          <w:sz w:val="21"/>
        </w:rPr>
      </w:pPr>
      <w:r>
        <w:rPr>
          <w:rFonts w:ascii="Arial;sans-serif" w:hAnsi="Arial;sans-serif"/>
          <w:b/>
          <w:color w:val="000000"/>
          <w:sz w:val="21"/>
        </w:rPr>
        <w:t>Form of Restricted Stock Grant Agreement</w:t>
      </w:r>
    </w:p>
    <w:p>
      <w:pPr>
        <w:pStyle w:val="TextBody"/>
        <w:bidi w:val="0"/>
        <w:spacing w:lineRule="auto" w:line="288" w:before="0" w:after="210"/>
        <w:ind w:left="0" w:right="0" w:firstLine="1440"/>
        <w:jc w:val="both"/>
        <w:rPr/>
      </w:pPr>
      <w:r>
        <w:rPr>
          <w:rFonts w:ascii="Arial;sans-serif" w:hAnsi="Arial;sans-serif"/>
          <w:b w:val="false"/>
          <w:color w:val="000000"/>
          <w:sz w:val="21"/>
        </w:rPr>
        <w:t>THIS AGREEMENT, (the “</w:t>
      </w:r>
      <w:r>
        <w:rPr>
          <w:rFonts w:ascii="Arial;sans-serif" w:hAnsi="Arial;sans-serif"/>
          <w:b w:val="false"/>
          <w:color w:val="000000"/>
          <w:sz w:val="21"/>
          <w:u w:val="single"/>
        </w:rPr>
        <w:t>Agreement</w:t>
      </w:r>
      <w:r>
        <w:rPr>
          <w:color w:val="000000"/>
        </w:rPr>
        <w:t>”</w:t>
      </w:r>
      <w:r>
        <w:rPr>
          <w:rFonts w:ascii="Arial;sans-serif" w:hAnsi="Arial;sans-serif"/>
          <w:b w:val="false"/>
          <w:color w:val="000000"/>
          <w:sz w:val="21"/>
        </w:rPr>
        <w:t>) made as of [•], 20[•], between VICI Properties Inc. (the “</w:t>
      </w:r>
      <w:r>
        <w:rPr>
          <w:rFonts w:ascii="Arial;sans-serif" w:hAnsi="Arial;sans-serif"/>
          <w:b w:val="false"/>
          <w:color w:val="000000"/>
          <w:sz w:val="21"/>
          <w:u w:val="single"/>
        </w:rPr>
        <w:t>Company</w:t>
      </w:r>
      <w:r>
        <w:rPr>
          <w:color w:val="000000"/>
        </w:rPr>
        <w:t>”</w:t>
      </w:r>
      <w:r>
        <w:rPr>
          <w:rFonts w:ascii="Arial;sans-serif" w:hAnsi="Arial;sans-serif"/>
          <w:b w:val="false"/>
          <w:color w:val="000000"/>
          <w:sz w:val="21"/>
        </w:rPr>
        <w:t>) and [•] (the “</w:t>
      </w:r>
      <w:r>
        <w:rPr>
          <w:rFonts w:ascii="Arial;sans-serif" w:hAnsi="Arial;sans-serif"/>
          <w:b w:val="false"/>
          <w:color w:val="000000"/>
          <w:sz w:val="21"/>
          <w:u w:val="single"/>
        </w:rPr>
        <w:t>Grantee</w:t>
      </w:r>
      <w:r>
        <w:rPr>
          <w:color w:val="000000"/>
        </w:rPr>
        <w:t>”</w:t>
      </w:r>
      <w:r>
        <w:rPr>
          <w:rFonts w:ascii="Arial;sans-serif" w:hAnsi="Arial;sans-serif"/>
          <w:b w:val="false"/>
          <w:color w:val="000000"/>
          <w:sz w:val="21"/>
        </w:rPr>
        <w:t>).</w:t>
      </w:r>
    </w:p>
    <w:p>
      <w:pPr>
        <w:pStyle w:val="TextBody"/>
        <w:bidi w:val="0"/>
        <w:spacing w:lineRule="auto" w:line="288" w:before="0" w:after="210"/>
        <w:ind w:left="0" w:right="0" w:firstLine="1440"/>
        <w:jc w:val="both"/>
        <w:rPr/>
      </w:pPr>
      <w:r>
        <w:rPr>
          <w:rFonts w:ascii="Arial;sans-serif" w:hAnsi="Arial;sans-serif"/>
          <w:b w:val="false"/>
          <w:color w:val="000000"/>
          <w:sz w:val="21"/>
        </w:rPr>
        <w:t>WHEREAS, the Company has adopted and maintains the VICI Properties Inc. 2017 Stock Incentive Plan (the “</w:t>
      </w:r>
      <w:r>
        <w:rPr>
          <w:rFonts w:ascii="Arial;sans-serif" w:hAnsi="Arial;sans-serif"/>
          <w:b w:val="false"/>
          <w:color w:val="000000"/>
          <w:sz w:val="21"/>
          <w:u w:val="single"/>
        </w:rPr>
        <w:t>Plan</w:t>
      </w:r>
      <w:r>
        <w:rPr>
          <w:color w:val="000000"/>
        </w:rPr>
        <w:t>”</w:t>
      </w:r>
      <w:r>
        <w:rPr>
          <w:rFonts w:ascii="Arial;sans-serif" w:hAnsi="Arial;sans-serif"/>
          <w:b w:val="false"/>
          <w:color w:val="000000"/>
          <w:sz w:val="21"/>
        </w:rPr>
        <w:t>) to provide certain key persons, on whose initiative and efforts the successful conduct of the business of the Company depends, and who are responsible for the management, growth and protection of the business of the Company or its subsidiaries, with incentives to: (a) enter into and remain in the service of the Company or a Company subsidiary, (b) acquire a proprietary interest in the success of the Company, (c) maximize their performance and (d) enhance the long-term performance of the Company (whether directly or indirectly through enhancing the long-term performance of a Company subsidiary);</w:t>
      </w:r>
    </w:p>
    <w:p>
      <w:pPr>
        <w:pStyle w:val="TextBody"/>
        <w:bidi w:val="0"/>
        <w:spacing w:lineRule="auto" w:line="288" w:before="0" w:after="210"/>
        <w:ind w:left="0" w:right="0" w:firstLine="1440"/>
        <w:jc w:val="both"/>
        <w:rPr/>
      </w:pPr>
      <w:r>
        <w:rPr>
          <w:rFonts w:ascii="Arial;sans-serif" w:hAnsi="Arial;sans-serif"/>
          <w:b w:val="false"/>
          <w:color w:val="000000"/>
          <w:sz w:val="21"/>
        </w:rPr>
        <w:t>WHEREAS, the Plan provides that the Compensation Committee of the Board of Directors of the Company (the “</w:t>
      </w:r>
      <w:r>
        <w:rPr>
          <w:rFonts w:ascii="Arial;sans-serif" w:hAnsi="Arial;sans-serif"/>
          <w:b w:val="false"/>
          <w:color w:val="000000"/>
          <w:sz w:val="21"/>
          <w:u w:val="single"/>
        </w:rPr>
        <w:t>Board</w:t>
      </w:r>
      <w:r>
        <w:rPr>
          <w:color w:val="000000"/>
        </w:rPr>
        <w:t>”</w:t>
      </w:r>
      <w:r>
        <w:rPr>
          <w:rFonts w:ascii="Arial;sans-serif" w:hAnsi="Arial;sans-serif"/>
          <w:b w:val="false"/>
          <w:color w:val="000000"/>
          <w:sz w:val="21"/>
        </w:rPr>
        <w:t>) or such other committee to which the Board has delegated such authority or the Board (such committee or the Board, as applicable, the “</w:t>
      </w:r>
      <w:r>
        <w:rPr>
          <w:rFonts w:ascii="Arial;sans-serif" w:hAnsi="Arial;sans-serif"/>
          <w:b w:val="false"/>
          <w:color w:val="000000"/>
          <w:sz w:val="21"/>
          <w:u w:val="single"/>
        </w:rPr>
        <w:t>Administrator</w:t>
      </w:r>
      <w:r>
        <w:rPr>
          <w:color w:val="000000"/>
        </w:rPr>
        <w:t>”</w:t>
      </w:r>
      <w:r>
        <w:rPr>
          <w:rFonts w:ascii="Arial;sans-serif" w:hAnsi="Arial;sans-serif"/>
          <w:b w:val="false"/>
          <w:color w:val="000000"/>
          <w:sz w:val="21"/>
        </w:rPr>
        <w:t>) shall administer the Plan and determine the key persons to whom awards shall be granted and the amount and type of such awards; and</w:t>
      </w:r>
    </w:p>
    <w:p>
      <w:pPr>
        <w:pStyle w:val="TextBody"/>
        <w:bidi w:val="0"/>
        <w:spacing w:lineRule="auto" w:line="288" w:before="0" w:after="210"/>
        <w:ind w:left="0" w:right="0" w:firstLine="1440"/>
        <w:jc w:val="both"/>
        <w:rPr>
          <w:rFonts w:ascii="Arial;sans-serif" w:hAnsi="Arial;sans-serif"/>
          <w:b w:val="false"/>
          <w:color w:val="000000"/>
          <w:sz w:val="21"/>
        </w:rPr>
      </w:pPr>
      <w:r>
        <w:rPr>
          <w:rFonts w:ascii="Arial;sans-serif" w:hAnsi="Arial;sans-serif"/>
          <w:b w:val="false"/>
          <w:color w:val="000000"/>
          <w:sz w:val="21"/>
        </w:rPr>
        <w:t>WHEREAS, the purposes of the Plan would be furthered by a grant to the Grantee;</w:t>
      </w:r>
    </w:p>
    <w:p>
      <w:pPr>
        <w:pStyle w:val="TextBody"/>
        <w:bidi w:val="0"/>
        <w:spacing w:lineRule="auto" w:line="288" w:before="0" w:after="210"/>
        <w:ind w:left="0" w:right="0" w:firstLine="1440"/>
        <w:jc w:val="both"/>
        <w:rPr>
          <w:rFonts w:ascii="Arial;sans-serif" w:hAnsi="Arial;sans-serif"/>
          <w:b w:val="false"/>
          <w:color w:val="000000"/>
          <w:sz w:val="21"/>
        </w:rPr>
      </w:pPr>
      <w:r>
        <w:rPr>
          <w:rFonts w:ascii="Arial;sans-serif" w:hAnsi="Arial;sans-serif"/>
          <w:b w:val="false"/>
          <w:color w:val="000000"/>
          <w:sz w:val="21"/>
        </w:rPr>
        <w:t>NOW, THEREFORE, in consideration of the premises and the mutual covenants hereinafter set forth, the parties hereto hereby agree as follows:</w:t>
      </w:r>
    </w:p>
    <w:p>
      <w:pPr>
        <w:pStyle w:val="TextBody"/>
        <w:bidi w:val="0"/>
        <w:spacing w:lineRule="auto" w:line="288" w:before="0" w:after="240"/>
        <w:ind w:left="0" w:right="0" w:firstLine="1440"/>
        <w:jc w:val="both"/>
        <w:rPr/>
      </w:pPr>
      <w:r>
        <w:rPr>
          <w:rFonts w:ascii="Arial;sans-serif" w:hAnsi="Arial;sans-serif"/>
          <w:b w:val="false"/>
          <w:color w:val="000000"/>
          <w:sz w:val="21"/>
        </w:rPr>
        <w:t>1.</w:t>
      </w:r>
      <w:r>
        <w:rPr>
          <w:rFonts w:ascii="Arial;sans-serif" w:hAnsi="Arial;sans-serif"/>
          <w:b w:val="false"/>
          <w:color w:val="000000"/>
          <w:sz w:val="21"/>
          <w:u w:val="single"/>
        </w:rPr>
        <w:t>Grant of Restricted Stock</w:t>
      </w:r>
      <w:r>
        <w:rPr>
          <w:rFonts w:ascii="Arial;sans-serif" w:hAnsi="Arial;sans-serif"/>
          <w:b w:val="false"/>
          <w:color w:val="000000"/>
          <w:sz w:val="21"/>
        </w:rPr>
        <w:t>. Pursuant to, and subject to, the terms and conditions set forth herein and in the Plan, the Company hereby grants to the Grantee [•]</w:t>
      </w:r>
      <w:r>
        <w:rPr>
          <w:color w:val="000000"/>
        </w:rPr>
        <w:t xml:space="preserve"> </w:t>
      </w:r>
      <w:r>
        <w:rPr>
          <w:rFonts w:ascii="Arial;sans-serif" w:hAnsi="Arial;sans-serif"/>
          <w:b w:val="false"/>
          <w:color w:val="000000"/>
          <w:sz w:val="21"/>
        </w:rPr>
        <w:t>restricted shares (the “</w:t>
      </w:r>
      <w:r>
        <w:rPr>
          <w:rFonts w:ascii="Arial;sans-serif" w:hAnsi="Arial;sans-serif"/>
          <w:b w:val="false"/>
          <w:color w:val="000000"/>
          <w:sz w:val="21"/>
          <w:u w:val="single"/>
        </w:rPr>
        <w:t>Restricted Stock</w:t>
      </w:r>
      <w:r>
        <w:rPr>
          <w:color w:val="000000"/>
        </w:rPr>
        <w:t>”</w:t>
      </w:r>
      <w:r>
        <w:rPr>
          <w:rFonts w:ascii="Arial;sans-serif" w:hAnsi="Arial;sans-serif"/>
          <w:b w:val="false"/>
          <w:color w:val="000000"/>
          <w:sz w:val="21"/>
        </w:rPr>
        <w:t>) of common stock of the Company (“</w:t>
      </w:r>
      <w:r>
        <w:rPr>
          <w:rFonts w:ascii="Arial;sans-serif" w:hAnsi="Arial;sans-serif"/>
          <w:b w:val="false"/>
          <w:color w:val="000000"/>
          <w:sz w:val="21"/>
          <w:u w:val="single"/>
        </w:rPr>
        <w:t>Common Stock</w:t>
      </w:r>
      <w:r>
        <w:rPr>
          <w:color w:val="000000"/>
        </w:rPr>
        <w:t>”</w:t>
      </w:r>
      <w:r>
        <w:rPr>
          <w:rFonts w:ascii="Arial;sans-serif" w:hAnsi="Arial;sans-serif"/>
          <w:b w:val="false"/>
          <w:color w:val="000000"/>
          <w:sz w:val="21"/>
        </w:rPr>
        <w:t>).</w:t>
      </w:r>
    </w:p>
    <w:p>
      <w:pPr>
        <w:pStyle w:val="TextBody"/>
        <w:bidi w:val="0"/>
        <w:spacing w:lineRule="auto" w:line="288" w:before="0" w:after="240"/>
        <w:ind w:left="0" w:right="0" w:firstLine="1440"/>
        <w:jc w:val="both"/>
        <w:rPr/>
      </w:pPr>
      <w:r>
        <w:rPr>
          <w:rFonts w:ascii="Arial;sans-serif" w:hAnsi="Arial;sans-serif"/>
          <w:b w:val="false"/>
          <w:color w:val="000000"/>
          <w:sz w:val="21"/>
        </w:rPr>
        <w:t>2.</w:t>
      </w:r>
      <w:r>
        <w:rPr>
          <w:rFonts w:ascii="Arial;sans-serif" w:hAnsi="Arial;sans-serif"/>
          <w:b w:val="false"/>
          <w:color w:val="000000"/>
          <w:sz w:val="21"/>
          <w:u w:val="single"/>
        </w:rPr>
        <w:t>Grant Date</w:t>
      </w:r>
      <w:r>
        <w:rPr>
          <w:rFonts w:ascii="Arial;sans-serif" w:hAnsi="Arial;sans-serif"/>
          <w:b w:val="false"/>
          <w:color w:val="000000"/>
          <w:sz w:val="21"/>
        </w:rPr>
        <w:t>. The Grant Date of the Restricted Stock is [•] (the “</w:t>
      </w:r>
      <w:r>
        <w:rPr>
          <w:rFonts w:ascii="Arial;sans-serif" w:hAnsi="Arial;sans-serif"/>
          <w:b w:val="false"/>
          <w:color w:val="000000"/>
          <w:sz w:val="21"/>
          <w:u w:val="single"/>
        </w:rPr>
        <w:t>Grant Date</w:t>
      </w:r>
      <w:r>
        <w:rPr>
          <w:color w:val="000000"/>
        </w:rPr>
        <w:t>”</w:t>
      </w:r>
      <w:r>
        <w:rPr>
          <w:rFonts w:ascii="Arial;sans-serif" w:hAnsi="Arial;sans-serif"/>
          <w:b w:val="false"/>
          <w:color w:val="000000"/>
          <w:sz w:val="21"/>
        </w:rPr>
        <w:t>).</w:t>
      </w:r>
    </w:p>
    <w:p>
      <w:pPr>
        <w:pStyle w:val="TextBody"/>
        <w:bidi w:val="0"/>
        <w:spacing w:lineRule="auto" w:line="288" w:before="0" w:after="240"/>
        <w:ind w:left="0" w:right="0" w:firstLine="1440"/>
        <w:jc w:val="both"/>
        <w:rPr/>
      </w:pPr>
      <w:r>
        <w:rPr>
          <w:rFonts w:ascii="Arial;sans-serif" w:hAnsi="Arial;sans-serif"/>
          <w:b w:val="false"/>
          <w:color w:val="000000"/>
          <w:sz w:val="21"/>
        </w:rPr>
        <w:t>3.</w:t>
      </w:r>
      <w:r>
        <w:rPr>
          <w:rFonts w:ascii="Arial;sans-serif" w:hAnsi="Arial;sans-serif"/>
          <w:b w:val="false"/>
          <w:color w:val="000000"/>
          <w:sz w:val="21"/>
          <w:u w:val="single"/>
        </w:rPr>
        <w:t>Incorporation of Plan</w:t>
      </w:r>
      <w:r>
        <w:rPr>
          <w:rFonts w:ascii="Arial;sans-serif" w:hAnsi="Arial;sans-serif"/>
          <w:b w:val="false"/>
          <w:color w:val="000000"/>
          <w:sz w:val="21"/>
        </w:rPr>
        <w:t>. All terms, conditions and restrictions of the Plan are incorporated herein and made part hereof as if stated herein. If there is any conflict between the terms and conditions of the Plan and this Agreement, the terms and conditions of the Plan, as interpreted by the Administrator, shall govern. Except as otherwise provided herein, all capitalized terms used herein shall have the meaning given to such terms in the Plan.</w:t>
      </w:r>
    </w:p>
    <w:p>
      <w:pPr>
        <w:pStyle w:val="TextBody"/>
        <w:bidi w:val="0"/>
        <w:spacing w:lineRule="auto" w:line="288" w:before="0" w:after="240"/>
        <w:ind w:left="0" w:right="0" w:firstLine="1440"/>
        <w:jc w:val="both"/>
        <w:rPr/>
      </w:pPr>
      <w:r>
        <w:rPr>
          <w:rFonts w:ascii="Arial;sans-serif" w:hAnsi="Arial;sans-serif"/>
          <w:b w:val="false"/>
          <w:color w:val="000000"/>
          <w:sz w:val="21"/>
        </w:rPr>
        <w:t>4.</w:t>
      </w:r>
      <w:r>
        <w:rPr>
          <w:rFonts w:ascii="Arial;sans-serif" w:hAnsi="Arial;sans-serif"/>
          <w:b w:val="false"/>
          <w:color w:val="000000"/>
          <w:sz w:val="21"/>
          <w:u w:val="single"/>
        </w:rPr>
        <w:t>Vesting</w:t>
      </w:r>
      <w:r>
        <w:rPr>
          <w:rFonts w:ascii="Arial;sans-serif" w:hAnsi="Arial;sans-serif"/>
          <w:b w:val="false"/>
          <w:color w:val="000000"/>
          <w:sz w:val="21"/>
        </w:rPr>
        <w:t>. [Subject to Section 6 hereof and the further provisions of this Agreement, the Restricted Stock shall vest on [•], subject to the Grantee’s continued service with the Company on such date ([the][each] a “</w:t>
      </w:r>
      <w:r>
        <w:rPr>
          <w:rFonts w:ascii="Arial;sans-serif" w:hAnsi="Arial;sans-serif"/>
          <w:b w:val="false"/>
          <w:color w:val="000000"/>
          <w:sz w:val="21"/>
          <w:u w:val="single"/>
        </w:rPr>
        <w:t>Vesting Date</w:t>
      </w:r>
      <w:r>
        <w:rPr>
          <w:color w:val="000000"/>
        </w:rPr>
        <w:t>”</w:t>
      </w:r>
      <w:r>
        <w:rPr>
          <w:rFonts w:ascii="Arial;sans-serif" w:hAnsi="Arial;sans-serif"/>
          <w:b w:val="false"/>
          <w:color w:val="000000"/>
          <w:sz w:val="21"/>
        </w:rPr>
        <w:t>).] [The Restricted Stock shall be fully vested as of the Grant Date.]</w:t>
      </w:r>
    </w:p>
    <w:p>
      <w:pPr>
        <w:pStyle w:val="TextBody"/>
        <w:bidi w:val="0"/>
        <w:spacing w:lineRule="auto" w:line="288" w:before="0" w:after="240"/>
        <w:ind w:left="0" w:right="0" w:firstLine="1440"/>
        <w:jc w:val="both"/>
        <w:rPr/>
      </w:pPr>
      <w:r>
        <w:rPr>
          <w:rFonts w:ascii="Arial;sans-serif" w:hAnsi="Arial;sans-serif"/>
          <w:b w:val="false"/>
          <w:color w:val="000000"/>
          <w:sz w:val="21"/>
        </w:rPr>
        <w:t>5.</w:t>
      </w:r>
      <w:r>
        <w:rPr>
          <w:rFonts w:ascii="Arial;sans-serif" w:hAnsi="Arial;sans-serif"/>
          <w:b w:val="false"/>
          <w:color w:val="000000"/>
          <w:sz w:val="21"/>
          <w:u w:val="single"/>
        </w:rPr>
        <w:t>Restrictions on Transferability</w:t>
      </w:r>
      <w:r>
        <w:rPr>
          <w:rFonts w:ascii="Arial;sans-serif" w:hAnsi="Arial;sans-serif"/>
          <w:b w:val="false"/>
          <w:color w:val="000000"/>
          <w:sz w:val="21"/>
        </w:rPr>
        <w:t>. The Restricted Stock may not be transferred, pledged, assigned, hypothecated or otherwise disposed of in any way by the Grantee, except by will or by the laws of descent and distribution. In the event that the Grantee becomes legally incapacitated, the Grantee’s rights with respect to the Restricted Stock shall be exercisable by the Grantee’s legal guardian or legal representative. The Restricted Stock shall not be subject to execution, attachment or similar process. Any attempted assignment, transfer, pledge, hypothecation or other disposition of the Restricted Stock contrary to the provisions hereof, and the levy of any execution, attachment or similar process upon any of the shares of Restricted Stock, shall be null and void and without effect. [The provisions of this Section 5 shall remain in effect until [•].]</w:t>
      </w:r>
    </w:p>
    <w:p>
      <w:pPr>
        <w:pStyle w:val="TextBody"/>
        <w:bidi w:val="0"/>
        <w:spacing w:before="0" w:after="0"/>
        <w:jc w:val="both"/>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75260"/>
                <wp:effectExtent l="0" t="0" r="0" b="0"/>
                <wp:wrapNone/>
                <wp:docPr id="167" name="Frame1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Arial;sans-serif" w:hAnsi="Arial;sans-serif"/>
          <w:b w:val="false"/>
          <w:color w:val="000000"/>
          <w:sz w:val="21"/>
        </w:rPr>
        <w:t>6.</w:t>
      </w:r>
      <w:r>
        <w:rPr>
          <w:rFonts w:ascii="Arial;sans-serif" w:hAnsi="Arial;sans-serif"/>
          <w:b w:val="false"/>
          <w:color w:val="000000"/>
          <w:sz w:val="21"/>
          <w:u w:val="single"/>
        </w:rPr>
        <w:t>Termination of Service</w:t>
      </w:r>
      <w:r>
        <w:rPr>
          <w:rFonts w:ascii="Arial;sans-serif" w:hAnsi="Arial;sans-serif"/>
          <w:b w:val="false"/>
          <w:color w:val="000000"/>
          <w:sz w:val="21"/>
        </w:rPr>
        <w:t xml:space="preserve">. </w:t>
      </w:r>
    </w:p>
    <w:p>
      <w:pPr>
        <w:pStyle w:val="TextBody"/>
        <w:bidi w:val="0"/>
        <w:spacing w:lineRule="auto" w:line="288" w:before="0" w:after="240"/>
        <w:ind w:left="0" w:right="0" w:firstLine="2160"/>
        <w:jc w:val="both"/>
        <w:rPr/>
      </w:pPr>
      <w:r>
        <w:rPr>
          <w:rFonts w:ascii="Arial;sans-serif" w:hAnsi="Arial;sans-serif"/>
          <w:b w:val="false"/>
          <w:color w:val="000000"/>
          <w:sz w:val="21"/>
        </w:rPr>
        <w:t>(a)</w:t>
      </w:r>
      <w:r>
        <w:rPr>
          <w:rFonts w:ascii="Arial;sans-serif" w:hAnsi="Arial;sans-serif"/>
          <w:b w:val="false"/>
          <w:color w:val="000000"/>
          <w:sz w:val="21"/>
        </w:rPr>
        <w:t>In the event that the Grantee’s service with the Company terminates, other than pursuant to a Qualified Retirement (as defined below), before the Restricted Stock is vested, the unvested Restricted Stock, together with any dividends or distributions related to such Restricted Stock, as set forth in Section 9 hereof, shall be forfeited as of the date such service terminates and the Grantee shall not be entitled to any compensation or other amount with respect to such forfeited Restricted Stock and dividends or distributions[, unless otherwise provided in Grantee’s employment agreement with the Company (the “Employment Agreement”)].</w:t>
      </w:r>
    </w:p>
    <w:p>
      <w:pPr>
        <w:pStyle w:val="TextBody"/>
        <w:bidi w:val="0"/>
        <w:spacing w:lineRule="auto" w:line="288" w:before="0" w:after="240"/>
        <w:ind w:left="0" w:right="0" w:firstLine="2160"/>
        <w:jc w:val="both"/>
        <w:rPr/>
      </w:pPr>
      <w:r>
        <w:rPr>
          <w:rFonts w:ascii="Arial;sans-serif" w:hAnsi="Arial;sans-serif"/>
          <w:b w:val="false"/>
          <w:color w:val="000000"/>
          <w:sz w:val="21"/>
        </w:rPr>
        <w:t>(b)</w:t>
      </w:r>
      <w:r>
        <w:rPr>
          <w:rFonts w:ascii="Arial;sans-serif" w:hAnsi="Arial;sans-serif"/>
          <w:b w:val="false"/>
          <w:color w:val="000000"/>
          <w:sz w:val="21"/>
        </w:rPr>
        <w:t>In the event the Grantee’s service with the Company terminates pursuant to a Qualified Retirement, all unvested Restricted Stock shall immediately vest as of the date of the Grantee’s Qualified Retirement.</w:t>
      </w:r>
    </w:p>
    <w:p>
      <w:pPr>
        <w:pStyle w:val="TextBody"/>
        <w:bidi w:val="0"/>
        <w:spacing w:lineRule="auto" w:line="288" w:before="0" w:after="240"/>
        <w:ind w:left="0" w:right="0" w:firstLine="2160"/>
        <w:jc w:val="both"/>
        <w:rPr/>
      </w:pPr>
      <w:r>
        <w:rPr>
          <w:rFonts w:ascii="Arial;sans-serif" w:hAnsi="Arial;sans-serif"/>
          <w:b w:val="false"/>
          <w:color w:val="000000"/>
          <w:sz w:val="21"/>
        </w:rPr>
        <w:t>(c)</w:t>
      </w:r>
      <w:r>
        <w:rPr>
          <w:rFonts w:ascii="Arial;sans-serif" w:hAnsi="Arial;sans-serif"/>
          <w:b w:val="false"/>
          <w:color w:val="000000"/>
          <w:sz w:val="21"/>
        </w:rPr>
        <w:t>For purposes of this Agreement, “Qualified Retirement” means the Grantee’s voluntary retirement from the Grantee’s service as an employee of the Company or any Company affiliate at a time when Grantee (i) is at least fifty-five (55) years of age, and (ii) has a combined age plus total years of service to the Company and any Company affiliate of at least 70 years, provided that the Grantee has provided the Company with at least six (6) months advance written notice of the Grantee’s expected retirement. For avoidance of doubt, if the Grantee’s status as an employee terminates for any reason prior to the end of such notice period, the Grantee’s status as an employee shall not be deemed to have terminated by reason of his or her Qualified Retirement for purposes of this Agreement.</w:t>
      </w:r>
    </w:p>
    <w:p>
      <w:pPr>
        <w:pStyle w:val="TextBody"/>
        <w:bidi w:val="0"/>
        <w:spacing w:lineRule="auto" w:line="288" w:before="0" w:after="240"/>
        <w:ind w:left="0" w:right="0" w:firstLine="1440"/>
        <w:jc w:val="both"/>
        <w:rPr/>
      </w:pPr>
      <w:r>
        <w:rPr>
          <w:rFonts w:ascii="Arial;sans-serif" w:hAnsi="Arial;sans-serif"/>
          <w:b w:val="false"/>
          <w:color w:val="000000"/>
          <w:sz w:val="21"/>
        </w:rPr>
        <w:t>7.</w:t>
      </w:r>
      <w:r>
        <w:rPr>
          <w:rFonts w:ascii="Arial;sans-serif" w:hAnsi="Arial;sans-serif"/>
          <w:b w:val="false"/>
          <w:color w:val="000000"/>
          <w:sz w:val="21"/>
          <w:u w:val="single"/>
        </w:rPr>
        <w:t>Issuance of Certificates</w:t>
      </w:r>
      <w:r>
        <w:rPr>
          <w:rFonts w:ascii="Arial;sans-serif" w:hAnsi="Arial;sans-serif"/>
          <w:b w:val="false"/>
          <w:color w:val="000000"/>
          <w:sz w:val="21"/>
        </w:rPr>
        <w:t>.</w:t>
      </w:r>
    </w:p>
    <w:p>
      <w:pPr>
        <w:pStyle w:val="TextBody"/>
        <w:bidi w:val="0"/>
        <w:spacing w:lineRule="auto" w:line="288" w:before="0" w:after="240"/>
        <w:ind w:left="0" w:right="0" w:firstLine="2160"/>
        <w:jc w:val="both"/>
        <w:rPr/>
      </w:pPr>
      <w:r>
        <w:rPr>
          <w:rFonts w:ascii="Arial;sans-serif" w:hAnsi="Arial;sans-serif"/>
          <w:b w:val="false"/>
          <w:color w:val="000000"/>
          <w:sz w:val="21"/>
        </w:rPr>
        <w:t>(a)</w:t>
      </w:r>
      <w:r>
        <w:rPr>
          <w:rFonts w:ascii="Arial;sans-serif" w:hAnsi="Arial;sans-serif"/>
          <w:b w:val="false"/>
          <w:color w:val="000000"/>
          <w:sz w:val="21"/>
        </w:rPr>
        <w:t>Reasonably promptly after the Grant Date, the Company shall issue stock certificates, registered in the name of the Grantee, evidencing the shares of Restricted Stock or shall make (or cause to be made) an appropriate book entry reflecting the Grantee’s ownership of the shares of Restricted Stock. The Restricted Stock, if certificated, shall bear the following legend:</w:t>
      </w:r>
    </w:p>
    <w:p>
      <w:pPr>
        <w:pStyle w:val="TextBody"/>
        <w:bidi w:val="0"/>
        <w:spacing w:lineRule="auto" w:line="288" w:before="0" w:after="210"/>
        <w:jc w:val="both"/>
        <w:rPr>
          <w:rFonts w:ascii="Arial;sans-serif" w:hAnsi="Arial;sans-serif"/>
          <w:b w:val="false"/>
          <w:color w:val="000000"/>
          <w:sz w:val="21"/>
        </w:rPr>
      </w:pPr>
      <w:r>
        <w:rPr>
          <w:rFonts w:ascii="Arial;sans-serif" w:hAnsi="Arial;sans-serif"/>
          <w:b w:val="false"/>
          <w:color w:val="000000"/>
          <w:sz w:val="21"/>
        </w:rPr>
        <w:t>THE SALE, TRANSFER, ASSIGNMENT, PLEDGE, HYPOTHECATION ENCUMBRANCE OR OTHER DISPOSAL OF THE SECURITIES REPRESENTED BY THIS CERTIFICATE ARE SUBJECT TO THE TERMS OF THE VICI PROPERTIES INC. 2017 STOCK INCENTIVE PLAN AND A RESTRICTED STOCK GRANT AGREEMENT BETWEEN VICI PROPERTIES INC. AND THE HOLDER OF RECORD OF THE SECURITIES REPRESENTED BY THIS CERTIFICATE. NO TRANSFER OF THE SECURITIES REPRESENTED BY THIS CERTIFICATE IN CONTRAVENTION OF SUCH PLAN AND RESTRICTED STOCK GRANT AGREEMENT SHALL BE VALID OR EFFECTIVE. COPIES OF SUCH AGREEMENT MAY BE OBTAINED BY WRITTEN REQUEST MADE BY THE HOLDER OF RECORD OF THE CERTIFICATE TO THE SECRETARY OF VICI PROPERTIES INC.</w:t>
      </w:r>
    </w:p>
    <w:p>
      <w:pPr>
        <w:pStyle w:val="TextBody"/>
        <w:bidi w:val="0"/>
        <w:spacing w:lineRule="auto" w:line="288" w:before="0" w:after="240"/>
        <w:ind w:left="0" w:right="0" w:firstLine="2160"/>
        <w:jc w:val="both"/>
        <w:rPr/>
      </w:pPr>
      <w:r>
        <w:rPr>
          <w:rFonts w:ascii="Arial;sans-serif" w:hAnsi="Arial;sans-serif"/>
          <w:b w:val="false"/>
          <w:color w:val="000000"/>
          <w:sz w:val="21"/>
        </w:rPr>
        <w:t>(b)</w:t>
      </w:r>
      <w:r>
        <w:rPr>
          <w:rFonts w:ascii="Arial;sans-serif" w:hAnsi="Arial;sans-serif"/>
          <w:b w:val="false"/>
          <w:color w:val="000000"/>
          <w:sz w:val="21"/>
        </w:rPr>
        <w:t>Each certificate issued pursuant to Section 7(a) hereof, together with the stock powers relating to such shares of Restricted Stock, shall be held in the custody of the Company. The Company shall issue to the Grantee a receipt evidencing the certificates held by it which are registered in the name of the Grantee.</w:t>
      </w:r>
    </w:p>
    <w:p>
      <w:pPr>
        <w:pStyle w:val="TextBody"/>
        <w:bidi w:val="0"/>
        <w:spacing w:lineRule="auto" w:line="288" w:before="0" w:after="240"/>
        <w:ind w:left="0" w:right="0" w:firstLine="2160"/>
        <w:jc w:val="both"/>
        <w:rPr/>
      </w:pPr>
      <w:r>
        <w:rPr>
          <w:rFonts w:ascii="Arial;sans-serif" w:hAnsi="Arial;sans-serif"/>
          <w:b w:val="false"/>
          <w:color w:val="000000"/>
          <w:sz w:val="21"/>
        </w:rPr>
        <w:t>(c)</w:t>
      </w:r>
      <w:r>
        <w:rPr>
          <w:rFonts w:ascii="Arial;sans-serif" w:hAnsi="Arial;sans-serif"/>
          <w:b w:val="false"/>
          <w:color w:val="000000"/>
          <w:sz w:val="21"/>
        </w:rPr>
        <w:t xml:space="preserve">Reasonably promptly after the restrictions on transferability set forth in Section 5 hereof lapse, in the case of certificated shares, in exchange for the surrender to the Company of the receipt evidencing the Restricted Stock, delivered to the Grantee under Section 7(b) hereof, and the receipts evidencing any other securities received in respect of such shares, if any, </w:t>
      </w:r>
    </w:p>
    <w:p>
      <w:pPr>
        <w:pStyle w:val="TextBody"/>
        <w:bidi w:val="0"/>
        <w:spacing w:before="0" w:after="0"/>
        <w:jc w:val="both"/>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53670"/>
                <wp:effectExtent l="0" t="0" r="0" b="0"/>
                <wp:wrapNone/>
                <wp:docPr id="168" name="Frame166"/>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307" w:before="0" w:after="0"/>
                              <w:jc w:val="center"/>
                              <w:rPr>
                                <w:rFonts w:ascii="Arial;sans-serif" w:hAnsi="Arial;sans-serif"/>
                                <w:b w:val="false"/>
                                <w:color w:val="000000"/>
                                <w:sz w:val="21"/>
                              </w:rPr>
                            </w:pPr>
                            <w:r>
                              <w:rPr>
                                <w:rFonts w:ascii="Arial;sans-serif" w:hAnsi="Arial;sans-serif"/>
                                <w:b w:val="false"/>
                                <w:color w:val="000000"/>
                                <w:sz w:val="21"/>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7" w:before="0" w:after="0"/>
                        <w:jc w:val="center"/>
                        <w:rPr>
                          <w:rFonts w:ascii="Arial;sans-serif" w:hAnsi="Arial;sans-serif"/>
                          <w:b w:val="false"/>
                          <w:color w:val="000000"/>
                          <w:sz w:val="21"/>
                        </w:rPr>
                      </w:pPr>
                      <w:r>
                        <w:rPr>
                          <w:rFonts w:ascii="Arial;sans-serif" w:hAnsi="Arial;sans-serif"/>
                          <w:b w:val="false"/>
                          <w:color w:val="000000"/>
                          <w:sz w:val="21"/>
                        </w:rPr>
                        <w:t>2</w:t>
                      </w:r>
                    </w:p>
                  </w:txbxContent>
                </v:textbox>
                <w10:wrap type="none"/>
              </v:rect>
            </w:pict>
          </mc:Fallback>
        </mc:AlternateContent>
      </w:r>
    </w:p>
    <w:p>
      <w:pPr>
        <w:pStyle w:val="TextBody"/>
        <w:bidi w:val="0"/>
        <w:spacing w:lineRule="auto" w:line="288" w:before="0" w:after="240"/>
        <w:jc w:val="both"/>
        <w:rPr>
          <w:rFonts w:ascii="Arial;sans-serif" w:hAnsi="Arial;sans-serif"/>
          <w:b w:val="false"/>
          <w:color w:val="000000"/>
          <w:sz w:val="21"/>
        </w:rPr>
      </w:pPr>
      <w:r>
        <w:rPr>
          <w:rFonts w:ascii="Arial;sans-serif" w:hAnsi="Arial;sans-serif"/>
          <w:b w:val="false"/>
          <w:color w:val="000000"/>
          <w:sz w:val="21"/>
        </w:rPr>
        <w:t>the Company shall issue and deliver to the Grantee (or the Grantee’s legal representative, beneficiary or heir) the certificate evidencing the Restricted Stock and such other securities, free of the legend provided in Section 7(a) hereof.</w:t>
      </w:r>
    </w:p>
    <w:p>
      <w:pPr>
        <w:pStyle w:val="TextBody"/>
        <w:bidi w:val="0"/>
        <w:spacing w:lineRule="auto" w:line="288" w:before="0" w:after="240"/>
        <w:ind w:left="0" w:right="0" w:firstLine="2160"/>
        <w:jc w:val="both"/>
        <w:rPr/>
      </w:pPr>
      <w:r>
        <w:rPr>
          <w:rFonts w:ascii="Arial;sans-serif" w:hAnsi="Arial;sans-serif"/>
          <w:b w:val="false"/>
          <w:color w:val="000000"/>
          <w:sz w:val="21"/>
        </w:rPr>
        <w:t>(d)</w:t>
      </w:r>
      <w:r>
        <w:rPr>
          <w:rFonts w:ascii="Arial;sans-serif" w:hAnsi="Arial;sans-serif"/>
          <w:b w:val="false"/>
          <w:color w:val="000000"/>
          <w:sz w:val="21"/>
        </w:rPr>
        <w:t>The Company may require as a condition of the delivery of stock certificates pursuant to Section 7(c) hereof that the Grantee remit to the Company an amount sufficient in the opinion of the Company to satisfy any federal, state and other governmental tax withholding requirements related to the vesting of the shares represented by such certificate. The Administrator, in its sole discretion, may permit the Grantee to satisfy such obligation by delivering shares of Common Stock or by directing the Company to withhold from delivery shares of Common Stock, in either case valued at their Fair Market Value on the Vesting Date with fractional shares being settled in cash.</w:t>
      </w:r>
    </w:p>
    <w:p>
      <w:pPr>
        <w:pStyle w:val="TextBody"/>
        <w:bidi w:val="0"/>
        <w:spacing w:lineRule="auto" w:line="288" w:before="0" w:after="240"/>
        <w:ind w:left="0" w:right="0" w:firstLine="2160"/>
        <w:jc w:val="both"/>
        <w:rPr/>
      </w:pPr>
      <w:r>
        <w:rPr>
          <w:rFonts w:ascii="Arial;sans-serif" w:hAnsi="Arial;sans-serif"/>
          <w:b w:val="false"/>
          <w:color w:val="000000"/>
          <w:sz w:val="21"/>
        </w:rPr>
        <w:t>(e)</w:t>
      </w:r>
      <w:r>
        <w:rPr>
          <w:rFonts w:ascii="Arial;sans-serif" w:hAnsi="Arial;sans-serif"/>
          <w:b w:val="false"/>
          <w:color w:val="000000"/>
          <w:sz w:val="21"/>
        </w:rPr>
        <w:t>The Grantee shall not be deemed for any purpose to be, or have rights as, a shareholder of the Company by virtue of the grant of Restricted Stock, except to the extent a stock certificate is issued therefor or an appropriate book entry is made reflecting the issuance thereof pursuant to Section 7(a) hereof, and then only from the date such certificate is issued or such book entry is made. Upon the issuance of a stock certificate or the making of an appropriate book entry, the Grantee shall have all of the rights of a shareholder with respect to the Restricted Stock, including the right to vote the shares, subject to the restrictions on transferability and the forfeiture provisions, as set forth in this Agreement.</w:t>
      </w:r>
    </w:p>
    <w:p>
      <w:pPr>
        <w:pStyle w:val="TextBody"/>
        <w:bidi w:val="0"/>
        <w:spacing w:lineRule="auto" w:line="288" w:before="0" w:after="240"/>
        <w:ind w:left="0" w:right="0" w:firstLine="1440"/>
        <w:jc w:val="both"/>
        <w:rPr/>
      </w:pPr>
      <w:r>
        <w:rPr>
          <w:rFonts w:ascii="Arial;sans-serif" w:hAnsi="Arial;sans-serif"/>
          <w:b w:val="false"/>
          <w:color w:val="000000"/>
          <w:sz w:val="21"/>
        </w:rPr>
        <w:t>8.</w:t>
      </w:r>
      <w:r>
        <w:rPr>
          <w:rFonts w:ascii="Arial;sans-serif" w:hAnsi="Arial;sans-serif"/>
          <w:b w:val="false"/>
          <w:color w:val="000000"/>
          <w:sz w:val="21"/>
          <w:u w:val="single"/>
        </w:rPr>
        <w:t>Securities Matters</w:t>
      </w:r>
      <w:r>
        <w:rPr>
          <w:rFonts w:ascii="Arial;sans-serif" w:hAnsi="Arial;sans-serif"/>
          <w:b w:val="false"/>
          <w:color w:val="000000"/>
          <w:sz w:val="21"/>
        </w:rPr>
        <w:t>. The Company shall be under no obligation to effect the registration pursuant to the Securities Act of 1933, as amended (the “</w:t>
      </w:r>
      <w:r>
        <w:rPr>
          <w:rFonts w:ascii="Arial;sans-serif" w:hAnsi="Arial;sans-serif"/>
          <w:b w:val="false"/>
          <w:color w:val="000000"/>
          <w:sz w:val="21"/>
          <w:u w:val="single"/>
        </w:rPr>
        <w:t>1933 Act</w:t>
      </w:r>
      <w:r>
        <w:rPr>
          <w:color w:val="000000"/>
        </w:rPr>
        <w:t>”</w:t>
      </w:r>
      <w:r>
        <w:rPr>
          <w:rFonts w:ascii="Arial;sans-serif" w:hAnsi="Arial;sans-serif"/>
          <w:b w:val="false"/>
          <w:color w:val="000000"/>
          <w:sz w:val="21"/>
        </w:rPr>
        <w:t>) of any interests in the Plan or any shares of Common Stock to be issued thereunder or to effect similar compliance under any state laws. The Company shall not be obligated to cause to be issued any shares, whether by means of stock certificates or appropriate book entries, unless and until the Company is advised by its counsel that the issuance of such shares is in compliance with all applicable laws, regulations of governmental authority and the requirements of any securities exchange on which shares of Common Stock are traded. The Administrator may require, as a condition of the issuance of shares of Common Stock pursuant to the terms hereof, that the recipient of such shares make such covenants, agreements and representations, and that any certificates bear such legends and any book entries be subject to such electronic coding, as the Administrator, in its sole discretion, deems necessary or desirable. The Grantee specifically understands and agrees that the shares of Common Stock, if and when issued, may be “restricted securities,” as that term is defined in Rule 144 under the 1933 Act and, accordingly, the Grantee may be required to hold the shares indefinitely unless they are registered under such Act or an exemption from such registration is available.</w:t>
      </w:r>
    </w:p>
    <w:p>
      <w:pPr>
        <w:pStyle w:val="TextBody"/>
        <w:bidi w:val="0"/>
        <w:spacing w:lineRule="auto" w:line="288" w:before="0" w:after="240"/>
        <w:ind w:left="0" w:right="0" w:firstLine="1440"/>
        <w:jc w:val="both"/>
        <w:rPr/>
      </w:pPr>
      <w:r>
        <w:rPr>
          <w:rFonts w:ascii="Arial;sans-serif" w:hAnsi="Arial;sans-serif"/>
          <w:b w:val="false"/>
          <w:color w:val="000000"/>
          <w:sz w:val="21"/>
        </w:rPr>
        <w:t>9.</w:t>
      </w:r>
      <w:r>
        <w:rPr>
          <w:rFonts w:ascii="Arial;sans-serif" w:hAnsi="Arial;sans-serif"/>
          <w:b w:val="false"/>
          <w:color w:val="000000"/>
          <w:sz w:val="21"/>
          <w:u w:val="single"/>
        </w:rPr>
        <w:t>Dividends, etc.</w:t>
      </w:r>
    </w:p>
    <w:p>
      <w:pPr>
        <w:pStyle w:val="TextBody"/>
        <w:bidi w:val="0"/>
        <w:spacing w:lineRule="auto" w:line="288" w:before="0" w:after="240"/>
        <w:ind w:left="0" w:right="0" w:firstLine="2160"/>
        <w:jc w:val="both"/>
        <w:rPr/>
      </w:pPr>
      <w:r>
        <w:rPr>
          <w:rFonts w:ascii="Arial;sans-serif" w:hAnsi="Arial;sans-serif"/>
          <w:b w:val="false"/>
          <w:color w:val="000000"/>
          <w:sz w:val="21"/>
        </w:rPr>
        <w:t>(a)</w:t>
      </w:r>
      <w:r>
        <w:rPr>
          <w:rFonts w:ascii="Arial;sans-serif" w:hAnsi="Arial;sans-serif"/>
          <w:b w:val="false"/>
          <w:color w:val="000000"/>
          <w:sz w:val="21"/>
        </w:rPr>
        <w:t xml:space="preserve">Unless the Administrator otherwise determines, any property received by the Grantee with respect to a share of Restricted Stock as a result of any cash dividend, stock dividend, recapitalization, merger, consolidation, combination, exchange of shares or otherwise, (i) will not vest until such share of Restricted Stock vests, (ii) may be held by the Company and (iii) shall be subject to the provisions of this Agreement, including the restrictions set forth in Section 8, and to all other restrictions as apply to the shares in respect of which such property was paid. The Company shall issue to the Grantee a receipt evidencing the property held by it in respect of the Restricted Stock. Any such property (but not including securities) received by the Grantee with respect to a share of Restricted Stock shall be returned to the Company in the event such share of Restricted Stock is forfeited. Any securities received by the Grantee with respect to a share of Restricted Stock as a result of any dividend, recapitalization, merger, consolidation, combination, </w:t>
      </w:r>
    </w:p>
    <w:p>
      <w:pPr>
        <w:pStyle w:val="TextBody"/>
        <w:bidi w:val="0"/>
        <w:spacing w:before="0" w:after="0"/>
        <w:jc w:val="both"/>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53670"/>
                <wp:effectExtent l="0" t="0" r="0" b="0"/>
                <wp:wrapNone/>
                <wp:docPr id="169" name="Frame167"/>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307" w:before="0" w:after="0"/>
                              <w:jc w:val="center"/>
                              <w:rPr>
                                <w:rFonts w:ascii="Arial;sans-serif" w:hAnsi="Arial;sans-serif"/>
                                <w:b w:val="false"/>
                                <w:color w:val="000000"/>
                                <w:sz w:val="21"/>
                              </w:rPr>
                            </w:pPr>
                            <w:r>
                              <w:rPr>
                                <w:rFonts w:ascii="Arial;sans-serif" w:hAnsi="Arial;sans-serif"/>
                                <w:b w:val="false"/>
                                <w:color w:val="000000"/>
                                <w:sz w:val="21"/>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7" w:before="0" w:after="0"/>
                        <w:jc w:val="center"/>
                        <w:rPr>
                          <w:rFonts w:ascii="Arial;sans-serif" w:hAnsi="Arial;sans-serif"/>
                          <w:b w:val="false"/>
                          <w:color w:val="000000"/>
                          <w:sz w:val="21"/>
                        </w:rPr>
                      </w:pPr>
                      <w:r>
                        <w:rPr>
                          <w:rFonts w:ascii="Arial;sans-serif" w:hAnsi="Arial;sans-serif"/>
                          <w:b w:val="false"/>
                          <w:color w:val="000000"/>
                          <w:sz w:val="21"/>
                        </w:rPr>
                        <w:t>3</w:t>
                      </w:r>
                    </w:p>
                  </w:txbxContent>
                </v:textbox>
                <w10:wrap type="none"/>
              </v:rect>
            </w:pict>
          </mc:Fallback>
        </mc:AlternateContent>
      </w:r>
    </w:p>
    <w:p>
      <w:pPr>
        <w:pStyle w:val="TextBody"/>
        <w:bidi w:val="0"/>
        <w:spacing w:lineRule="auto" w:line="288" w:before="0" w:after="240"/>
        <w:jc w:val="both"/>
        <w:rPr>
          <w:rFonts w:ascii="Arial;sans-serif" w:hAnsi="Arial;sans-serif"/>
          <w:b w:val="false"/>
          <w:color w:val="000000"/>
          <w:sz w:val="21"/>
        </w:rPr>
      </w:pPr>
      <w:r>
        <w:rPr>
          <w:rFonts w:ascii="Arial;sans-serif" w:hAnsi="Arial;sans-serif"/>
          <w:b w:val="false"/>
          <w:color w:val="000000"/>
          <w:sz w:val="21"/>
        </w:rPr>
        <w:t>exchange of shares or otherwise will not vest until such share of Restricted Stock vests and shall be forfeited if such share of Restricted Stock is forfeited. Unless the Administrator otherwise determines, such securities shall bear a legend, as set forth in Section 7(a) hereof.</w:t>
      </w:r>
    </w:p>
    <w:p>
      <w:pPr>
        <w:pStyle w:val="TextBody"/>
        <w:bidi w:val="0"/>
        <w:spacing w:lineRule="auto" w:line="288" w:before="0" w:after="240"/>
        <w:ind w:left="0" w:right="0" w:firstLine="2160"/>
        <w:jc w:val="both"/>
        <w:rPr/>
      </w:pPr>
      <w:r>
        <w:rPr>
          <w:rFonts w:ascii="Arial;sans-serif" w:hAnsi="Arial;sans-serif"/>
          <w:b w:val="false"/>
          <w:color w:val="000000"/>
          <w:sz w:val="21"/>
        </w:rPr>
        <w:t>(b)</w:t>
      </w:r>
      <w:r>
        <w:rPr>
          <w:rFonts w:ascii="Arial;sans-serif" w:hAnsi="Arial;sans-serif"/>
          <w:b w:val="false"/>
          <w:color w:val="000000"/>
          <w:sz w:val="21"/>
        </w:rPr>
        <w:t>Any cash dividends received with respect to the Restricted Stock that are held by the Company pending vesting of the underlying shares of Restricted Stock, shall be deemed invested in a number of shares of Common Stock, including fractional shares, equal to (i) the value of the dividend that the Grantee received with respect to the Restricted Stock divided by (ii) the closing price of a share of Common Stock on the date the dividend was issued, which deemed shares also shall be allocated dividends, as are shares of Restricted Stock. If the Restricted Stock is forfeited, the corresponding dividends shall be forfeited as well. At such time as the Restricted Stock vests, the Company shall pay the Grantee an amount in cash equal to the value of the shares of Common Stock in which such dividends are deemed invested.</w:t>
      </w:r>
    </w:p>
    <w:p>
      <w:pPr>
        <w:pStyle w:val="TextBody"/>
        <w:bidi w:val="0"/>
        <w:spacing w:lineRule="auto" w:line="288" w:before="0" w:after="240"/>
        <w:ind w:left="0" w:right="0" w:firstLine="1440"/>
        <w:jc w:val="both"/>
        <w:rPr/>
      </w:pPr>
      <w:r>
        <w:rPr>
          <w:rFonts w:ascii="Arial;sans-serif" w:hAnsi="Arial;sans-serif"/>
          <w:b w:val="false"/>
          <w:color w:val="000000"/>
          <w:sz w:val="21"/>
        </w:rPr>
        <w:t>10.</w:t>
      </w:r>
      <w:r>
        <w:rPr>
          <w:rFonts w:ascii="Arial;sans-serif" w:hAnsi="Arial;sans-serif"/>
          <w:b w:val="false"/>
          <w:color w:val="000000"/>
          <w:sz w:val="21"/>
          <w:u w:val="single"/>
        </w:rPr>
        <w:t>Delays or Omissions</w:t>
      </w:r>
      <w:r>
        <w:rPr>
          <w:rFonts w:ascii="Arial;sans-serif" w:hAnsi="Arial;sans-serif"/>
          <w:b w:val="false"/>
          <w:color w:val="000000"/>
          <w:sz w:val="21"/>
        </w:rPr>
        <w:t>. No delay or omission to exercise any right, power or remedy accruing to any party hereto upon any breach or default of any party under this Agreement, shall impair any such right, power or remedy of such party, nor shall it be construed to be a waiver of any such breach or default, or an acquiescence therein, or of or in any similar breach or default thereafter occurring, nor shall any waiver of any single breach or default be deemed a waiver of any other breach or default theretofore or thereafter occurring. Any waiver, permit, consent or approval of any kind or character on the part of any party of any breach or default under this Agreement, or any waiver on the part of any party or any provisions or conditions of this Agreement, must be in a writing signed by such party and shall be effective only to the extent specifically set forth in such writing.</w:t>
      </w:r>
    </w:p>
    <w:p>
      <w:pPr>
        <w:pStyle w:val="TextBody"/>
        <w:bidi w:val="0"/>
        <w:spacing w:lineRule="auto" w:line="288" w:before="0" w:after="240"/>
        <w:ind w:left="0" w:right="0" w:firstLine="1440"/>
        <w:jc w:val="both"/>
        <w:rPr/>
      </w:pPr>
      <w:r>
        <w:rPr>
          <w:rFonts w:ascii="Arial;sans-serif" w:hAnsi="Arial;sans-serif"/>
          <w:b w:val="false"/>
          <w:color w:val="000000"/>
          <w:sz w:val="21"/>
        </w:rPr>
        <w:t>11.</w:t>
      </w:r>
      <w:r>
        <w:rPr>
          <w:rFonts w:ascii="Arial;sans-serif" w:hAnsi="Arial;sans-serif"/>
          <w:b w:val="false"/>
          <w:color w:val="000000"/>
          <w:sz w:val="21"/>
          <w:u w:val="single"/>
        </w:rPr>
        <w:t>Right of Discharge Preserved</w:t>
      </w:r>
      <w:r>
        <w:rPr>
          <w:rFonts w:ascii="Arial;sans-serif" w:hAnsi="Arial;sans-serif"/>
          <w:b w:val="false"/>
          <w:color w:val="000000"/>
          <w:sz w:val="21"/>
        </w:rPr>
        <w:t>. Nothing in this Agreement shall confer upon the Grantee the right to continue in the service of the Company, or affect any right which the Company may have to terminate such service.</w:t>
      </w:r>
    </w:p>
    <w:p>
      <w:pPr>
        <w:pStyle w:val="TextBody"/>
        <w:bidi w:val="0"/>
        <w:spacing w:lineRule="auto" w:line="288" w:before="0" w:after="240"/>
        <w:ind w:left="0" w:right="0" w:firstLine="1440"/>
        <w:jc w:val="both"/>
        <w:rPr/>
      </w:pPr>
      <w:r>
        <w:rPr>
          <w:rFonts w:ascii="Arial;sans-serif" w:hAnsi="Arial;sans-serif"/>
          <w:b w:val="false"/>
          <w:color w:val="000000"/>
          <w:sz w:val="21"/>
        </w:rPr>
        <w:t>12.</w:t>
      </w:r>
      <w:r>
        <w:rPr>
          <w:rFonts w:ascii="Arial;sans-serif" w:hAnsi="Arial;sans-serif"/>
          <w:b w:val="false"/>
          <w:color w:val="000000"/>
          <w:sz w:val="21"/>
          <w:u w:val="single"/>
        </w:rPr>
        <w:t>Integration</w:t>
      </w:r>
      <w:r>
        <w:rPr>
          <w:rFonts w:ascii="Arial;sans-serif" w:hAnsi="Arial;sans-serif"/>
          <w:b w:val="false"/>
          <w:color w:val="000000"/>
          <w:sz w:val="21"/>
        </w:rPr>
        <w:t>. This Agreement[,][ and] the Plan [and the Employment Agreement] contains the entire understanding of the parties with respect to its subject matter. There are no restrictions, agreements, promises, representations, warranties, covenants or undertakings with respect to the subject matter hereof other than those expressly set forth herein. This Agreement and the Employment Agreement, including, without limitation, the Plan, supersedes all prior agreements and understandings, written or oral, between the parties with respect to its subject matter.</w:t>
      </w:r>
    </w:p>
    <w:p>
      <w:pPr>
        <w:pStyle w:val="TextBody"/>
        <w:bidi w:val="0"/>
        <w:spacing w:lineRule="auto" w:line="288" w:before="0" w:after="240"/>
        <w:ind w:left="0" w:right="0" w:firstLine="1440"/>
        <w:jc w:val="both"/>
        <w:rPr/>
      </w:pPr>
      <w:r>
        <w:rPr>
          <w:rFonts w:ascii="Arial;sans-serif" w:hAnsi="Arial;sans-serif"/>
          <w:b w:val="false"/>
          <w:color w:val="000000"/>
          <w:sz w:val="21"/>
        </w:rPr>
        <w:t>13.</w:t>
      </w:r>
      <w:r>
        <w:rPr>
          <w:rFonts w:ascii="Arial;sans-serif" w:hAnsi="Arial;sans-serif"/>
          <w:b w:val="false"/>
          <w:color w:val="000000"/>
          <w:sz w:val="21"/>
          <w:u w:val="single"/>
        </w:rPr>
        <w:t>Counterparts</w:t>
      </w:r>
      <w:r>
        <w:rPr>
          <w:rFonts w:ascii="Arial;sans-serif" w:hAnsi="Arial;sans-serif"/>
          <w:b w:val="false"/>
          <w:color w:val="000000"/>
          <w:sz w:val="21"/>
        </w:rPr>
        <w:t>. This Agreement may be executed in two or more counterparts, each of which shall be deemed an original, but all of which shall constitute one and the same instrument.</w:t>
      </w:r>
    </w:p>
    <w:p>
      <w:pPr>
        <w:pStyle w:val="TextBody"/>
        <w:bidi w:val="0"/>
        <w:spacing w:lineRule="auto" w:line="288" w:before="0" w:after="240"/>
        <w:ind w:left="0" w:right="0" w:firstLine="1440"/>
        <w:jc w:val="both"/>
        <w:rPr/>
      </w:pPr>
      <w:r>
        <w:rPr>
          <w:rFonts w:ascii="Arial;sans-serif" w:hAnsi="Arial;sans-serif"/>
          <w:b w:val="false"/>
          <w:color w:val="000000"/>
          <w:sz w:val="21"/>
        </w:rPr>
        <w:t>14.</w:t>
      </w:r>
      <w:r>
        <w:rPr>
          <w:rFonts w:ascii="Arial;sans-serif" w:hAnsi="Arial;sans-serif"/>
          <w:b w:val="false"/>
          <w:color w:val="000000"/>
          <w:sz w:val="21"/>
          <w:u w:val="single"/>
        </w:rPr>
        <w:t>Governing Law</w:t>
      </w:r>
      <w:r>
        <w:rPr>
          <w:rFonts w:ascii="Arial;sans-serif" w:hAnsi="Arial;sans-serif"/>
          <w:b w:val="false"/>
          <w:color w:val="000000"/>
          <w:sz w:val="21"/>
        </w:rPr>
        <w:t>. This Agreement shall be governed by and construed and enforced in accordance with the laws of the State of New York, without regard to the provisions governing conflict of laws.</w:t>
      </w:r>
    </w:p>
    <w:p>
      <w:pPr>
        <w:pStyle w:val="TextBody"/>
        <w:bidi w:val="0"/>
        <w:spacing w:lineRule="auto" w:line="288" w:before="0" w:after="240"/>
        <w:ind w:left="0" w:right="0" w:firstLine="1440"/>
        <w:jc w:val="both"/>
        <w:rPr/>
      </w:pPr>
      <w:r>
        <w:rPr>
          <w:rFonts w:ascii="Arial;sans-serif" w:hAnsi="Arial;sans-serif"/>
          <w:b w:val="false"/>
          <w:color w:val="000000"/>
          <w:sz w:val="21"/>
        </w:rPr>
        <w:t>15.</w:t>
      </w:r>
      <w:r>
        <w:rPr>
          <w:rFonts w:ascii="Arial;sans-serif" w:hAnsi="Arial;sans-serif"/>
          <w:b w:val="false"/>
          <w:color w:val="000000"/>
          <w:sz w:val="21"/>
          <w:u w:val="single"/>
        </w:rPr>
        <w:t>Forfeiture and Recapture</w:t>
      </w:r>
      <w:r>
        <w:rPr>
          <w:rFonts w:ascii="Arial;sans-serif" w:hAnsi="Arial;sans-serif"/>
          <w:b w:val="false"/>
          <w:color w:val="000000"/>
          <w:sz w:val="21"/>
        </w:rPr>
        <w:t>. The Restricted Stock and any dividends or other distributions paid with respect to the Restricted Stock will be subject to recoupment in accordance with any existing clawback or recoupment policy, or any new or amended clawback or recoupment policy that the Company adopts from time to time, including any policy required to be adopted or amended pursuant to the listing standards of any national securities exchange or association on which the Company’s securities are listed or as is otherwise required by the Dodd-Frank Wall Street Reform and Consumer Protection Act or other applicable law.</w:t>
      </w:r>
    </w:p>
    <w:p>
      <w:pPr>
        <w:pStyle w:val="TextBody"/>
        <w:bidi w:val="0"/>
        <w:spacing w:before="0" w:after="0"/>
        <w:jc w:val="both"/>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153670"/>
                <wp:effectExtent l="0" t="0" r="0" b="0"/>
                <wp:wrapNone/>
                <wp:docPr id="170" name="Frame168"/>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307" w:before="0" w:after="0"/>
                              <w:jc w:val="center"/>
                              <w:rPr>
                                <w:rFonts w:ascii="Arial;sans-serif" w:hAnsi="Arial;sans-serif"/>
                                <w:b w:val="false"/>
                                <w:color w:val="000000"/>
                                <w:sz w:val="21"/>
                              </w:rPr>
                            </w:pPr>
                            <w:r>
                              <w:rPr>
                                <w:rFonts w:ascii="Arial;sans-serif" w:hAnsi="Arial;sans-serif"/>
                                <w:b w:val="false"/>
                                <w:color w:val="000000"/>
                                <w:sz w:val="21"/>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7" w:before="0" w:after="0"/>
                        <w:jc w:val="center"/>
                        <w:rPr>
                          <w:rFonts w:ascii="Arial;sans-serif" w:hAnsi="Arial;sans-serif"/>
                          <w:b w:val="false"/>
                          <w:color w:val="000000"/>
                          <w:sz w:val="21"/>
                        </w:rPr>
                      </w:pPr>
                      <w:r>
                        <w:rPr>
                          <w:rFonts w:ascii="Arial;sans-serif" w:hAnsi="Arial;sans-serif"/>
                          <w:b w:val="false"/>
                          <w:color w:val="000000"/>
                          <w:sz w:val="21"/>
                        </w:rPr>
                        <w:t>4</w:t>
                      </w:r>
                    </w:p>
                  </w:txbxContent>
                </v:textbox>
                <w10:wrap type="none"/>
              </v:rect>
            </w:pict>
          </mc:Fallback>
        </mc:AlternateContent>
      </w:r>
    </w:p>
    <w:p>
      <w:pPr>
        <w:pStyle w:val="TextBody"/>
        <w:bidi w:val="0"/>
        <w:spacing w:lineRule="auto" w:line="288" w:before="0" w:after="240"/>
        <w:ind w:left="0" w:right="0" w:firstLine="1440"/>
        <w:jc w:val="both"/>
        <w:rPr/>
      </w:pPr>
      <w:r>
        <w:rPr>
          <w:rFonts w:ascii="Arial;sans-serif" w:hAnsi="Arial;sans-serif"/>
          <w:b w:val="false"/>
          <w:color w:val="000000"/>
          <w:sz w:val="21"/>
        </w:rPr>
        <w:t>16.</w:t>
      </w:r>
      <w:r>
        <w:rPr>
          <w:rFonts w:ascii="Arial;sans-serif" w:hAnsi="Arial;sans-serif"/>
          <w:b w:val="false"/>
          <w:color w:val="000000"/>
          <w:sz w:val="21"/>
          <w:u w:val="single"/>
        </w:rPr>
        <w:t>Obligation to Notify</w:t>
      </w:r>
      <w:r>
        <w:rPr>
          <w:rFonts w:ascii="Arial;sans-serif" w:hAnsi="Arial;sans-serif"/>
          <w:b w:val="false"/>
          <w:color w:val="000000"/>
          <w:sz w:val="21"/>
        </w:rPr>
        <w:t>. If the Grantee makes the election permitted under Section 83(b) of the Internal Revenue Code of 1986, as amended (that is, an election to include in gross income in the year of transfer the amounts specified in Section 83(b)), the Grantee shall notify the Company of such election within 10 days of filing notice of the election with the Internal Revenue Service and shall within the same 10-day period remit to the Company an amount sufficient in the opinion of the Company to satisfy any federal, state and other governmental tax withholding requirements related to such inclusion in the Grantee’s income. The Grantee should consult with his or her tax advisor to determine the tax consequences of acquiring the Restricted Stock and the advantages and disadvantages of filing the Section 83(b) election. The Grantee acknowledges that it is his or her sole responsibility, and not the Company’s, to file a timely election under Section 83(b), even if the Grantee requests the Company or its representatives to make this filing on his or her behalf.</w:t>
      </w:r>
    </w:p>
    <w:p>
      <w:pPr>
        <w:pStyle w:val="TextBody"/>
        <w:bidi w:val="0"/>
        <w:spacing w:lineRule="auto" w:line="288" w:before="0" w:after="240"/>
        <w:ind w:left="0" w:right="0" w:firstLine="1440"/>
        <w:jc w:val="both"/>
        <w:rPr/>
      </w:pPr>
      <w:r>
        <w:rPr>
          <w:rFonts w:ascii="Arial;sans-serif" w:hAnsi="Arial;sans-serif"/>
          <w:b w:val="false"/>
          <w:color w:val="000000"/>
          <w:sz w:val="21"/>
        </w:rPr>
        <w:t>17.</w:t>
      </w:r>
      <w:r>
        <w:rPr>
          <w:rFonts w:ascii="Arial;sans-serif" w:hAnsi="Arial;sans-serif"/>
          <w:b w:val="false"/>
          <w:color w:val="000000"/>
          <w:sz w:val="21"/>
          <w:u w:val="single"/>
        </w:rPr>
        <w:t>Grantee Acknowledgment</w:t>
      </w:r>
      <w:r>
        <w:rPr>
          <w:rFonts w:ascii="Arial;sans-serif" w:hAnsi="Arial;sans-serif"/>
          <w:b w:val="false"/>
          <w:color w:val="000000"/>
          <w:sz w:val="21"/>
        </w:rPr>
        <w:t>. The Grantee hereby acknowledges receipt of a copy of the Plan. The Grantee hereby acknowledges that all decisions, determinations and interpretations of the Administrator in respect of the Plan, this Agreement and the Restricted Stock shall be final and conclusive.</w:t>
      </w:r>
    </w:p>
    <w:p>
      <w:pPr>
        <w:pStyle w:val="TextBody"/>
        <w:bidi w:val="0"/>
        <w:spacing w:lineRule="auto" w:line="288" w:before="0" w:after="240"/>
        <w:ind w:left="0" w:right="0" w:firstLine="1440"/>
        <w:jc w:val="both"/>
        <w:rPr/>
      </w:pPr>
      <w:r>
        <w:rPr>
          <w:rFonts w:ascii="Arial;sans-serif" w:hAnsi="Arial;sans-serif"/>
          <w:b w:val="false"/>
          <w:color w:val="000000"/>
          <w:sz w:val="21"/>
        </w:rPr>
        <w:t>18.</w:t>
      </w:r>
      <w:r>
        <w:rPr>
          <w:rFonts w:ascii="Arial;sans-serif" w:hAnsi="Arial;sans-serif"/>
          <w:b w:val="false"/>
          <w:color w:val="000000"/>
          <w:sz w:val="21"/>
          <w:u w:val="single"/>
        </w:rPr>
        <w:t>Section 409A</w:t>
      </w:r>
      <w:r>
        <w:rPr>
          <w:rFonts w:ascii="Arial;sans-serif" w:hAnsi="Arial;sans-serif"/>
          <w:b w:val="false"/>
          <w:color w:val="000000"/>
          <w:sz w:val="21"/>
        </w:rPr>
        <w:t>. This Agreement is intended to comply with Section 409A of the Code (“</w:t>
      </w:r>
      <w:r>
        <w:rPr>
          <w:rFonts w:ascii="Arial;sans-serif" w:hAnsi="Arial;sans-serif"/>
          <w:b w:val="false"/>
          <w:color w:val="000000"/>
          <w:sz w:val="21"/>
          <w:u w:val="single"/>
        </w:rPr>
        <w:t>Section 409A</w:t>
      </w:r>
      <w:r>
        <w:rPr>
          <w:color w:val="000000"/>
        </w:rPr>
        <w:t>”</w:t>
      </w:r>
      <w:r>
        <w:rPr>
          <w:rFonts w:ascii="Arial;sans-serif" w:hAnsi="Arial;sans-serif"/>
          <w:b w:val="false"/>
          <w:color w:val="000000"/>
          <w:sz w:val="21"/>
        </w:rPr>
        <w:t>) or an exemption thereunder and shall be construed and administered in accordance with Section 409A. Notwithstanding any other provision of the Plan or this Agreement, payments provided under this Agreement may only be made upon an event and in a manner that complies with Section 409A or an applicable exemption. Any payments under this Agreement that may be excluded from Section 409A shall be excluded from Section 409A to the maximum extent possible. Notwithstanding the foregoing, the Company makes no representations that the payments and benefits provided under this Agreement comply with Section 409A, and in no event shall the Company or any of its subsidiaries or affiliates be liable for all or any portion of any taxes, penalties, interest or other expenses that may be incurred by the Grantee on account of non-compliance with Section 409A.</w:t>
      </w:r>
    </w:p>
    <w:p>
      <w:pPr>
        <w:pStyle w:val="TextBody"/>
        <w:bidi w:val="0"/>
        <w:spacing w:lineRule="auto" w:line="288" w:before="0" w:after="240"/>
        <w:ind w:left="0" w:right="0" w:firstLine="1440"/>
        <w:jc w:val="both"/>
        <w:rPr/>
      </w:pPr>
      <w:r>
        <w:rPr>
          <w:rFonts w:ascii="Arial;sans-serif" w:hAnsi="Arial;sans-serif"/>
          <w:b w:val="false"/>
          <w:color w:val="000000"/>
          <w:sz w:val="21"/>
        </w:rPr>
        <w:t>19.</w:t>
      </w:r>
      <w:r>
        <w:rPr>
          <w:rFonts w:ascii="Arial;sans-serif" w:hAnsi="Arial;sans-serif"/>
          <w:b w:val="false"/>
          <w:color w:val="000000"/>
          <w:sz w:val="21"/>
          <w:u w:val="single"/>
        </w:rPr>
        <w:t>Notices</w:t>
      </w:r>
      <w:r>
        <w:rPr>
          <w:rFonts w:ascii="Arial;sans-serif" w:hAnsi="Arial;sans-serif"/>
          <w:b w:val="false"/>
          <w:color w:val="000000"/>
          <w:sz w:val="21"/>
        </w:rPr>
        <w:t>. Any notice hereunder by the Grantee shall be given to the Company in writing and such notice shall be deemed duly given only upon receipt thereof by the General Counsel of the Company, or the person acting in such capacity, at the Company’s principal executive offices. Any notice hereunder by the Company shall be given to the Grantee in writing at the most recent address as the Grantee may have on file with the Company.</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07" w:before="0" w:after="0"/>
        <w:jc w:val="right"/>
        <w:rPr>
          <w:rFonts w:ascii="Arial;sans-serif" w:hAnsi="Arial;sans-serif"/>
          <w:b/>
          <w:color w:val="000000"/>
          <w:sz w:val="20"/>
        </w:rPr>
      </w:pPr>
      <w:r>
        <w:rPr>
          <w:rFonts w:ascii="Arial;sans-serif" w:hAnsi="Arial;sans-serif"/>
          <w:b/>
          <w:color w:val="000000"/>
          <w:sz w:val="20"/>
        </w:rPr>
        <w:t>Exhibit 10.48</w:t>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153670"/>
                <wp:effectExtent l="0" t="0" r="0" b="0"/>
                <wp:wrapNone/>
                <wp:docPr id="171" name="Frame169"/>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307" w:before="0" w:after="0"/>
                              <w:jc w:val="center"/>
                              <w:rPr>
                                <w:rFonts w:ascii="Arial;sans-serif" w:hAnsi="Arial;sans-serif"/>
                                <w:b w:val="false"/>
                                <w:color w:val="000000"/>
                                <w:sz w:val="21"/>
                              </w:rPr>
                            </w:pPr>
                            <w:r>
                              <w:rPr>
                                <w:rFonts w:ascii="Arial;sans-serif" w:hAnsi="Arial;sans-serif"/>
                                <w:b w:val="false"/>
                                <w:color w:val="000000"/>
                                <w:sz w:val="21"/>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420.9pt;mso-position-horizontal:left;mso-position-horizontal-relative:text">
                <v:textbox>
                  <w:txbxContent>
                    <w:p>
                      <w:pPr>
                        <w:pStyle w:val="TextBody"/>
                        <w:bidi w:val="0"/>
                        <w:spacing w:lineRule="auto" w:line="307" w:before="0" w:after="0"/>
                        <w:jc w:val="center"/>
                        <w:rPr>
                          <w:rFonts w:ascii="Arial;sans-serif" w:hAnsi="Arial;sans-serif"/>
                          <w:b w:val="false"/>
                          <w:color w:val="000000"/>
                          <w:sz w:val="21"/>
                        </w:rPr>
                      </w:pPr>
                      <w:r>
                        <w:rPr>
                          <w:rFonts w:ascii="Arial;sans-serif" w:hAnsi="Arial;sans-serif"/>
                          <w:b w:val="false"/>
                          <w:color w:val="000000"/>
                          <w:sz w:val="21"/>
                        </w:rPr>
                        <w:t>5</w:t>
                      </w:r>
                    </w:p>
                  </w:txbxContent>
                </v:textbox>
                <w10:wrap type="none"/>
              </v:rect>
            </w:pict>
          </mc:Fallback>
        </mc:AlternateContent>
      </w:r>
    </w:p>
    <w:p>
      <w:pPr>
        <w:pStyle w:val="TextBody"/>
        <w:bidi w:val="0"/>
        <w:spacing w:lineRule="auto" w:line="240" w:before="0" w:after="240"/>
        <w:jc w:val="center"/>
        <w:rPr>
          <w:rFonts w:ascii="Arial;sans-serif" w:hAnsi="Arial;sans-serif"/>
          <w:b/>
          <w:color w:val="000000"/>
          <w:sz w:val="21"/>
        </w:rPr>
      </w:pPr>
      <w:r>
        <w:rPr>
          <w:rFonts w:ascii="Arial;sans-serif" w:hAnsi="Arial;sans-serif"/>
          <w:b/>
          <w:color w:val="000000"/>
          <w:sz w:val="21"/>
        </w:rPr>
        <w:t>VICI Properties Inc.</w:t>
      </w:r>
    </w:p>
    <w:p>
      <w:pPr>
        <w:pStyle w:val="TextBody"/>
        <w:bidi w:val="0"/>
        <w:spacing w:lineRule="auto" w:line="240" w:before="0" w:after="240"/>
        <w:jc w:val="center"/>
        <w:rPr>
          <w:rFonts w:ascii="Arial;sans-serif" w:hAnsi="Arial;sans-serif"/>
          <w:b/>
          <w:color w:val="000000"/>
          <w:sz w:val="21"/>
        </w:rPr>
      </w:pPr>
      <w:r>
        <w:rPr>
          <w:rFonts w:ascii="Arial;sans-serif" w:hAnsi="Arial;sans-serif"/>
          <w:b/>
          <w:color w:val="000000"/>
          <w:sz w:val="21"/>
        </w:rPr>
        <w:t>Form of Performance-Based Restricted Stock Unit Agreement</w:t>
      </w:r>
    </w:p>
    <w:p>
      <w:pPr>
        <w:pStyle w:val="TextBody"/>
        <w:bidi w:val="0"/>
        <w:spacing w:lineRule="auto" w:line="288" w:before="0" w:after="210"/>
        <w:ind w:left="0" w:right="0" w:firstLine="1440"/>
        <w:jc w:val="both"/>
        <w:rPr/>
      </w:pPr>
      <w:r>
        <w:rPr>
          <w:rFonts w:ascii="Arial;sans-serif" w:hAnsi="Arial;sans-serif"/>
          <w:b w:val="false"/>
          <w:color w:val="000000"/>
          <w:sz w:val="21"/>
        </w:rPr>
        <w:t>THIS AGREEMENT, is made as of [•], 20[•], between VICI Properties Inc., a Maryland corporation (the “</w:t>
      </w:r>
      <w:r>
        <w:rPr>
          <w:rFonts w:ascii="Arial;sans-serif" w:hAnsi="Arial;sans-serif"/>
          <w:b w:val="false"/>
          <w:color w:val="000000"/>
          <w:sz w:val="21"/>
          <w:u w:val="single"/>
        </w:rPr>
        <w:t>Company</w:t>
      </w:r>
      <w:r>
        <w:rPr>
          <w:color w:val="000000"/>
        </w:rPr>
        <w:t>”</w:t>
      </w:r>
      <w:r>
        <w:rPr>
          <w:rFonts w:ascii="Arial;sans-serif" w:hAnsi="Arial;sans-serif"/>
          <w:b w:val="false"/>
          <w:color w:val="000000"/>
          <w:sz w:val="21"/>
        </w:rPr>
        <w:t>), and [•] (the “</w:t>
      </w:r>
      <w:r>
        <w:rPr>
          <w:rFonts w:ascii="Arial;sans-serif" w:hAnsi="Arial;sans-serif"/>
          <w:b w:val="false"/>
          <w:color w:val="000000"/>
          <w:sz w:val="21"/>
          <w:u w:val="single"/>
        </w:rPr>
        <w:t>Grantee</w:t>
      </w:r>
      <w:r>
        <w:rPr>
          <w:color w:val="000000"/>
        </w:rPr>
        <w:t>”</w:t>
      </w:r>
      <w:r>
        <w:rPr>
          <w:rFonts w:ascii="Arial;sans-serif" w:hAnsi="Arial;sans-serif"/>
          <w:b w:val="false"/>
          <w:color w:val="000000"/>
          <w:sz w:val="21"/>
        </w:rPr>
        <w:t>).</w:t>
      </w:r>
    </w:p>
    <w:p>
      <w:pPr>
        <w:pStyle w:val="TextBody"/>
        <w:bidi w:val="0"/>
        <w:spacing w:lineRule="auto" w:line="288" w:before="0" w:after="210"/>
        <w:ind w:left="0" w:right="0" w:firstLine="1440"/>
        <w:jc w:val="both"/>
        <w:rPr/>
      </w:pPr>
      <w:r>
        <w:rPr>
          <w:rFonts w:ascii="Arial;sans-serif" w:hAnsi="Arial;sans-serif"/>
          <w:b w:val="false"/>
          <w:color w:val="000000"/>
          <w:sz w:val="21"/>
        </w:rPr>
        <w:t>WHEREAS, the Company has adopted and maintains the VICI Properties Inc. 2017 Stock Incentive Plan (the “</w:t>
      </w:r>
      <w:r>
        <w:rPr>
          <w:rFonts w:ascii="Arial;sans-serif" w:hAnsi="Arial;sans-serif"/>
          <w:b w:val="false"/>
          <w:color w:val="000000"/>
          <w:sz w:val="21"/>
          <w:u w:val="single"/>
        </w:rPr>
        <w:t>Plan</w:t>
      </w:r>
      <w:r>
        <w:rPr>
          <w:color w:val="000000"/>
        </w:rPr>
        <w:t>”</w:t>
      </w:r>
      <w:r>
        <w:rPr>
          <w:rFonts w:ascii="Arial;sans-serif" w:hAnsi="Arial;sans-serif"/>
          <w:b w:val="false"/>
          <w:color w:val="000000"/>
          <w:sz w:val="21"/>
        </w:rPr>
        <w:t>) to provide certain key persons, on whose initiative and efforts the successful conduct of the business of the Company depends, and who are responsible for the management, growth and protection of the business of the Company or its subsidiaries, with incentives to: (a) enter into and remain in the service of the Company or a Company subsidiary, (b) acquire a proprietary interest in the success of the Company, (c) maximize their performance and (d) enhance the long-term performance of the Company (whether directly or indirectly through enhancing the long-term performance of a Company subsidiary);</w:t>
      </w:r>
    </w:p>
    <w:p>
      <w:pPr>
        <w:pStyle w:val="TextBody"/>
        <w:bidi w:val="0"/>
        <w:spacing w:lineRule="auto" w:line="288" w:before="0" w:after="210"/>
        <w:ind w:left="0" w:right="0" w:firstLine="1440"/>
        <w:jc w:val="both"/>
        <w:rPr/>
      </w:pPr>
      <w:r>
        <w:rPr>
          <w:rFonts w:ascii="Arial;sans-serif" w:hAnsi="Arial;sans-serif"/>
          <w:b w:val="false"/>
          <w:color w:val="000000"/>
          <w:sz w:val="21"/>
        </w:rPr>
        <w:t>WHEREAS, the Plan provides that the Compensation Committee of the Board of Directors of the Company or such other committee to which the Board of Directors has delegated such authority or the Board of Directors (such committee or the Board of Directors, as applicable, the “</w:t>
      </w:r>
      <w:r>
        <w:rPr>
          <w:rFonts w:ascii="Arial;sans-serif" w:hAnsi="Arial;sans-serif"/>
          <w:b w:val="false"/>
          <w:color w:val="000000"/>
          <w:sz w:val="21"/>
          <w:u w:val="single"/>
        </w:rPr>
        <w:t>Administrator</w:t>
      </w:r>
      <w:r>
        <w:rPr>
          <w:color w:val="000000"/>
        </w:rPr>
        <w:t>”</w:t>
      </w:r>
      <w:r>
        <w:rPr>
          <w:rFonts w:ascii="Arial;sans-serif" w:hAnsi="Arial;sans-serif"/>
          <w:b w:val="false"/>
          <w:color w:val="000000"/>
          <w:sz w:val="21"/>
        </w:rPr>
        <w:t>) shall administer the Plan and determine the key persons to whom awards shall be granted and the amount and type of such awards; and</w:t>
      </w:r>
    </w:p>
    <w:p>
      <w:pPr>
        <w:pStyle w:val="TextBody"/>
        <w:bidi w:val="0"/>
        <w:spacing w:lineRule="auto" w:line="288" w:before="0" w:after="210"/>
        <w:ind w:left="0" w:right="0" w:firstLine="1440"/>
        <w:jc w:val="both"/>
        <w:rPr/>
      </w:pPr>
      <w:r>
        <w:rPr>
          <w:rFonts w:ascii="Arial;sans-serif" w:hAnsi="Arial;sans-serif"/>
          <w:b w:val="false"/>
          <w:color w:val="000000"/>
          <w:sz w:val="21"/>
        </w:rPr>
        <w:t>WHEREAS, the Administrator has determined that the purposes of the Plan would be furthered by granting the Grantee an award of restricted stock units (“</w:t>
      </w:r>
      <w:r>
        <w:rPr>
          <w:rFonts w:ascii="Arial;sans-serif" w:hAnsi="Arial;sans-serif"/>
          <w:b w:val="false"/>
          <w:color w:val="000000"/>
          <w:sz w:val="21"/>
          <w:u w:val="single"/>
        </w:rPr>
        <w:t>RSUs</w:t>
      </w:r>
      <w:r>
        <w:rPr>
          <w:color w:val="000000"/>
        </w:rPr>
        <w:t>”</w:t>
      </w:r>
      <w:r>
        <w:rPr>
          <w:rFonts w:ascii="Arial;sans-serif" w:hAnsi="Arial;sans-serif"/>
          <w:b w:val="false"/>
          <w:color w:val="000000"/>
          <w:sz w:val="21"/>
        </w:rPr>
        <w:t>) under the Plan as set forth in this Agreement;</w:t>
      </w:r>
    </w:p>
    <w:p>
      <w:pPr>
        <w:pStyle w:val="TextBody"/>
        <w:bidi w:val="0"/>
        <w:spacing w:lineRule="auto" w:line="288" w:before="0" w:after="210"/>
        <w:ind w:left="0" w:right="0" w:firstLine="1440"/>
        <w:jc w:val="both"/>
        <w:rPr>
          <w:rFonts w:ascii="Arial;sans-serif" w:hAnsi="Arial;sans-serif"/>
          <w:b w:val="false"/>
          <w:color w:val="000000"/>
          <w:sz w:val="21"/>
        </w:rPr>
      </w:pPr>
      <w:r>
        <w:rPr>
          <w:rFonts w:ascii="Arial;sans-serif" w:hAnsi="Arial;sans-serif"/>
          <w:b w:val="false"/>
          <w:color w:val="000000"/>
          <w:sz w:val="21"/>
        </w:rPr>
        <w:t>NOW, THEREFORE, in consideration of the premises and the mutual covenants hereinafter set forth, the parties hereto hereby agree as follows:</w:t>
      </w:r>
    </w:p>
    <w:p>
      <w:pPr>
        <w:pStyle w:val="TextBody"/>
        <w:bidi w:val="0"/>
        <w:spacing w:lineRule="auto" w:line="288" w:before="0" w:after="240"/>
        <w:ind w:left="0" w:right="0" w:firstLine="1440"/>
        <w:jc w:val="both"/>
        <w:rPr/>
      </w:pPr>
      <w:r>
        <w:rPr>
          <w:rFonts w:ascii="Arial;sans-serif" w:hAnsi="Arial;sans-serif"/>
          <w:b w:val="false"/>
          <w:color w:val="000000"/>
          <w:sz w:val="21"/>
        </w:rPr>
        <w:t>1.</w:t>
      </w:r>
      <w:r>
        <w:rPr>
          <w:rFonts w:ascii="Arial;sans-serif" w:hAnsi="Arial;sans-serif"/>
          <w:b w:val="false"/>
          <w:color w:val="000000"/>
          <w:sz w:val="21"/>
        </w:rPr>
        <w:t>1.</w:t>
      </w:r>
      <w:r>
        <w:rPr>
          <w:rFonts w:ascii="Arial;sans-serif" w:hAnsi="Arial;sans-serif"/>
          <w:b w:val="false"/>
          <w:color w:val="000000"/>
          <w:sz w:val="21"/>
          <w:u w:val="single"/>
        </w:rPr>
        <w:t>Grant of RSUs</w:t>
      </w:r>
      <w:r>
        <w:rPr>
          <w:rFonts w:ascii="Arial;sans-serif" w:hAnsi="Arial;sans-serif"/>
          <w:b w:val="false"/>
          <w:color w:val="000000"/>
          <w:sz w:val="21"/>
        </w:rPr>
        <w:t>. Pursuant to, and subject to, the terms and conditions set forth herein and in the Plan, the Company hereby grants to the Grantee an award of performance-based RSUs (“</w:t>
      </w:r>
      <w:r>
        <w:rPr>
          <w:rFonts w:ascii="Arial;sans-serif" w:hAnsi="Arial;sans-serif"/>
          <w:b w:val="false"/>
          <w:color w:val="000000"/>
          <w:sz w:val="21"/>
          <w:u w:val="single"/>
        </w:rPr>
        <w:t>Performance RSUs</w:t>
      </w:r>
      <w:r>
        <w:rPr>
          <w:color w:val="000000"/>
        </w:rPr>
        <w:t xml:space="preserve">” </w:t>
      </w:r>
      <w:r>
        <w:rPr>
          <w:rFonts w:ascii="Arial;sans-serif" w:hAnsi="Arial;sans-serif"/>
          <w:b w:val="false"/>
          <w:color w:val="000000"/>
          <w:sz w:val="21"/>
        </w:rPr>
        <w:t>or “</w:t>
      </w:r>
      <w:r>
        <w:rPr>
          <w:rFonts w:ascii="Arial;sans-serif" w:hAnsi="Arial;sans-serif"/>
          <w:b w:val="false"/>
          <w:color w:val="000000"/>
          <w:sz w:val="21"/>
          <w:u w:val="single"/>
        </w:rPr>
        <w:t>Performance Stock Units</w:t>
      </w:r>
      <w:r>
        <w:rPr>
          <w:color w:val="000000"/>
        </w:rPr>
        <w:t>”</w:t>
      </w:r>
      <w:r>
        <w:rPr>
          <w:rFonts w:ascii="Arial;sans-serif" w:hAnsi="Arial;sans-serif"/>
          <w:b w:val="false"/>
          <w:color w:val="000000"/>
          <w:sz w:val="21"/>
        </w:rPr>
        <w:t>) in an amount of [•] Performance RSUs (the “</w:t>
      </w:r>
      <w:r>
        <w:rPr>
          <w:rFonts w:ascii="Arial;sans-serif" w:hAnsi="Arial;sans-serif"/>
          <w:b w:val="false"/>
          <w:color w:val="000000"/>
          <w:sz w:val="21"/>
          <w:u w:val="single"/>
        </w:rPr>
        <w:t>Target Award</w:t>
      </w:r>
      <w:r>
        <w:rPr>
          <w:color w:val="000000"/>
        </w:rPr>
        <w:t>”</w:t>
      </w:r>
      <w:r>
        <w:rPr>
          <w:rFonts w:ascii="Arial;sans-serif" w:hAnsi="Arial;sans-serif"/>
          <w:b w:val="false"/>
          <w:color w:val="000000"/>
          <w:sz w:val="21"/>
        </w:rPr>
        <w:t>). Each vested Performance RSU represents the right to receive one share of Common Stock, subject to the terms and conditions of the Plan (including but not limited to Section 3.6 of the Plan) and this Agreement.</w:t>
      </w:r>
    </w:p>
    <w:p>
      <w:pPr>
        <w:pStyle w:val="TextBody"/>
        <w:bidi w:val="0"/>
        <w:spacing w:lineRule="auto" w:line="288" w:before="0" w:after="240"/>
        <w:ind w:left="0" w:right="0" w:firstLine="1440"/>
        <w:jc w:val="both"/>
        <w:rPr/>
      </w:pPr>
      <w:r>
        <w:rPr>
          <w:rFonts w:ascii="Arial;sans-serif" w:hAnsi="Arial;sans-serif"/>
          <w:b w:val="false"/>
          <w:color w:val="000000"/>
          <w:sz w:val="21"/>
        </w:rPr>
        <w:t>2.</w:t>
      </w:r>
      <w:r>
        <w:rPr>
          <w:rFonts w:ascii="Arial;sans-serif" w:hAnsi="Arial;sans-serif"/>
          <w:b w:val="false"/>
          <w:color w:val="000000"/>
          <w:sz w:val="21"/>
          <w:u w:val="single"/>
        </w:rPr>
        <w:t>Grant Date</w:t>
      </w:r>
      <w:r>
        <w:rPr>
          <w:rFonts w:ascii="Arial;sans-serif" w:hAnsi="Arial;sans-serif"/>
          <w:b w:val="false"/>
          <w:color w:val="000000"/>
          <w:sz w:val="21"/>
        </w:rPr>
        <w:t>. The Grant Date of the Target Award is [•], 20[•] (the “</w:t>
      </w:r>
      <w:r>
        <w:rPr>
          <w:rFonts w:ascii="Arial;sans-serif" w:hAnsi="Arial;sans-serif"/>
          <w:b w:val="false"/>
          <w:color w:val="000000"/>
          <w:sz w:val="21"/>
          <w:u w:val="single"/>
        </w:rPr>
        <w:t>Grant Date</w:t>
      </w:r>
      <w:r>
        <w:rPr>
          <w:color w:val="000000"/>
        </w:rPr>
        <w:t>”</w:t>
      </w:r>
      <w:r>
        <w:rPr>
          <w:rFonts w:ascii="Arial;sans-serif" w:hAnsi="Arial;sans-serif"/>
          <w:b w:val="false"/>
          <w:color w:val="000000"/>
          <w:sz w:val="21"/>
        </w:rPr>
        <w:t>).</w:t>
      </w:r>
    </w:p>
    <w:p>
      <w:pPr>
        <w:pStyle w:val="TextBody"/>
        <w:bidi w:val="0"/>
        <w:spacing w:lineRule="auto" w:line="288" w:before="0" w:after="240"/>
        <w:ind w:left="0" w:right="0" w:firstLine="1440"/>
        <w:jc w:val="both"/>
        <w:rPr/>
      </w:pPr>
      <w:r>
        <w:rPr>
          <w:rFonts w:ascii="Arial;sans-serif" w:hAnsi="Arial;sans-serif"/>
          <w:b w:val="false"/>
          <w:color w:val="000000"/>
          <w:sz w:val="21"/>
        </w:rPr>
        <w:t>3.</w:t>
      </w:r>
      <w:r>
        <w:rPr>
          <w:rFonts w:ascii="Arial;sans-serif" w:hAnsi="Arial;sans-serif"/>
          <w:b w:val="false"/>
          <w:color w:val="000000"/>
          <w:sz w:val="21"/>
          <w:u w:val="single"/>
        </w:rPr>
        <w:t>Incorporation of Plan</w:t>
      </w:r>
      <w:r>
        <w:rPr>
          <w:rFonts w:ascii="Arial;sans-serif" w:hAnsi="Arial;sans-serif"/>
          <w:b w:val="false"/>
          <w:color w:val="000000"/>
          <w:sz w:val="21"/>
        </w:rPr>
        <w:t>. All terms, conditions and restrictions of the Plan are incorporated herein and made part hereof as if stated herein. Except as otherwise provided herein, all capitalized terms used herein shall have the meanings given to such terms in the Plan.</w:t>
      </w:r>
    </w:p>
    <w:p>
      <w:pPr>
        <w:pStyle w:val="TextBody"/>
        <w:bidi w:val="0"/>
        <w:spacing w:lineRule="auto" w:line="288" w:before="0" w:after="240"/>
        <w:ind w:left="0" w:right="0" w:firstLine="1440"/>
        <w:jc w:val="both"/>
        <w:rPr/>
      </w:pPr>
      <w:r>
        <w:rPr>
          <w:rFonts w:ascii="Arial;sans-serif" w:hAnsi="Arial;sans-serif"/>
          <w:b w:val="false"/>
          <w:color w:val="000000"/>
          <w:sz w:val="21"/>
        </w:rPr>
        <w:t>4.</w:t>
      </w:r>
      <w:r>
        <w:rPr>
          <w:rFonts w:ascii="Arial;sans-serif" w:hAnsi="Arial;sans-serif"/>
          <w:b w:val="false"/>
          <w:color w:val="000000"/>
          <w:sz w:val="21"/>
          <w:u w:val="single"/>
        </w:rPr>
        <w:t>Vesting; Settlement</w:t>
      </w:r>
      <w:r>
        <w:rPr>
          <w:rFonts w:ascii="Arial;sans-serif" w:hAnsi="Arial;sans-serif"/>
          <w:b w:val="false"/>
          <w:color w:val="000000"/>
          <w:sz w:val="21"/>
        </w:rPr>
        <w:t>. The performance period for the Target Award shall be the period beginning January 1, 20[•] and ending on December 31, 20[•] (or, if earlier and otherwise provided in this Agreement, the day prior to the consummation of a Change in Control) (the “</w:t>
      </w:r>
      <w:r>
        <w:rPr>
          <w:rFonts w:ascii="Arial;sans-serif" w:hAnsi="Arial;sans-serif"/>
          <w:b w:val="false"/>
          <w:color w:val="000000"/>
          <w:sz w:val="21"/>
          <w:u w:val="single"/>
        </w:rPr>
        <w:t>Performance Period</w:t>
      </w:r>
      <w:r>
        <w:rPr>
          <w:color w:val="000000"/>
        </w:rPr>
        <w:t>”</w:t>
      </w:r>
      <w:r>
        <w:rPr>
          <w:rFonts w:ascii="Arial;sans-serif" w:hAnsi="Arial;sans-serif"/>
          <w:b w:val="false"/>
          <w:color w:val="000000"/>
          <w:sz w:val="21"/>
        </w:rPr>
        <w:t xml:space="preserve">). Subject to the terms and conditions of this Agreement, the number of Performance RSUs that shall be deemed earned and vested, if any, shall be determined based on the level of achievement of the performance conditions set forth on </w:t>
      </w:r>
      <w:r>
        <w:rPr>
          <w:rFonts w:ascii="Arial;sans-serif" w:hAnsi="Arial;sans-serif"/>
          <w:b w:val="false"/>
          <w:color w:val="000000"/>
          <w:sz w:val="21"/>
          <w:u w:val="single"/>
        </w:rPr>
        <w:t>Exhibit A</w:t>
      </w:r>
      <w:r>
        <w:rPr>
          <w:color w:val="000000"/>
        </w:rPr>
        <w:t xml:space="preserve"> </w:t>
      </w:r>
      <w:r>
        <w:rPr>
          <w:rFonts w:ascii="Arial;sans-serif" w:hAnsi="Arial;sans-serif"/>
          <w:b w:val="false"/>
          <w:color w:val="000000"/>
          <w:sz w:val="21"/>
        </w:rPr>
        <w:t>(such performance conditions, the “</w:t>
      </w:r>
      <w:r>
        <w:rPr>
          <w:rFonts w:ascii="Arial;sans-serif" w:hAnsi="Arial;sans-serif"/>
          <w:b w:val="false"/>
          <w:color w:val="000000"/>
          <w:sz w:val="21"/>
          <w:u w:val="single"/>
        </w:rPr>
        <w:t>Performance Conditions</w:t>
      </w:r>
      <w:r>
        <w:rPr>
          <w:color w:val="000000"/>
        </w:rPr>
        <w:t>”</w:t>
      </w:r>
      <w:r>
        <w:rPr>
          <w:rFonts w:ascii="Arial;sans-serif" w:hAnsi="Arial;sans-serif"/>
          <w:b w:val="false"/>
          <w:color w:val="000000"/>
          <w:sz w:val="21"/>
        </w:rPr>
        <w:t xml:space="preserve">) over the Performance Period, with the number of Performance RSUs that may be earned and vested ranging from zero to 200% of the Target Award. Any Performance RSUs that are determined not to be earned and vested at the end of the </w:t>
      </w:r>
    </w:p>
    <w:p>
      <w:pPr>
        <w:pStyle w:val="TextBody"/>
        <w:bidi w:val="0"/>
        <w:spacing w:before="0" w:after="0"/>
        <w:jc w:val="both"/>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175260"/>
                <wp:effectExtent l="0" t="0" r="0" b="0"/>
                <wp:wrapNone/>
                <wp:docPr id="172" name="Frame1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240"/>
        <w:jc w:val="both"/>
        <w:rPr>
          <w:rFonts w:ascii="Arial;sans-serif" w:hAnsi="Arial;sans-serif"/>
          <w:b w:val="false"/>
          <w:color w:val="000000"/>
          <w:sz w:val="21"/>
        </w:rPr>
      </w:pPr>
      <w:r>
        <w:rPr>
          <w:rFonts w:ascii="Arial;sans-serif" w:hAnsi="Arial;sans-serif"/>
          <w:b w:val="false"/>
          <w:color w:val="000000"/>
          <w:sz w:val="21"/>
        </w:rPr>
        <w:t>Performance Period shall be forfeited and canceled for no value without further action by the Grantee or the Company.</w:t>
      </w:r>
    </w:p>
    <w:p>
      <w:pPr>
        <w:pStyle w:val="TextBody"/>
        <w:bidi w:val="0"/>
        <w:spacing w:lineRule="auto" w:line="288" w:before="0" w:after="210"/>
        <w:jc w:val="both"/>
        <w:rPr/>
      </w:pPr>
      <w:r>
        <w:rPr>
          <w:rFonts w:ascii="Arial;sans-serif" w:hAnsi="Arial;sans-serif"/>
          <w:b w:val="false"/>
          <w:color w:val="000000"/>
          <w:sz w:val="21"/>
        </w:rPr>
        <w:t>As soon as practicable following the end of the Performance Period (and, in no event later than March 15th following the end of the Performance Period), the Administrator shall determine (i) the level of achievement of the Performance Conditions and the percentage of the Target Award earned pursuant to such criteria (the date of such determination, the “</w:t>
      </w:r>
      <w:r>
        <w:rPr>
          <w:rFonts w:ascii="Arial;sans-serif" w:hAnsi="Arial;sans-serif"/>
          <w:b w:val="false"/>
          <w:color w:val="000000"/>
          <w:sz w:val="21"/>
          <w:u w:val="single"/>
        </w:rPr>
        <w:t>Determination Date</w:t>
      </w:r>
      <w:r>
        <w:rPr>
          <w:color w:val="000000"/>
        </w:rPr>
        <w:t>”</w:t>
      </w:r>
      <w:r>
        <w:rPr>
          <w:rFonts w:ascii="Arial;sans-serif" w:hAnsi="Arial;sans-serif"/>
          <w:b w:val="false"/>
          <w:color w:val="000000"/>
          <w:sz w:val="21"/>
        </w:rPr>
        <w:t>) and (ii) the number of Performance RSUs deemed earned and, therefore, the number of shares of Common Stock, if any, to be delivered.</w:t>
      </w:r>
    </w:p>
    <w:p>
      <w:pPr>
        <w:pStyle w:val="TextBody"/>
        <w:bidi w:val="0"/>
        <w:spacing w:lineRule="auto" w:line="288" w:before="0" w:after="210"/>
        <w:jc w:val="both"/>
        <w:rPr/>
      </w:pPr>
      <w:r>
        <w:rPr>
          <w:rFonts w:ascii="Arial;sans-serif" w:hAnsi="Arial;sans-serif"/>
          <w:b w:val="false"/>
          <w:color w:val="000000"/>
          <w:sz w:val="21"/>
        </w:rPr>
        <w:t>As soon as practicable following the Determination Date (but in no event later than March 15th following the end of the Performance Period), (a) all vested Performance RSUs shall be settled and (b) subject to Section 3.6 and Section 9 of the Plan, the Company shall deliver to the Grantee one</w:t>
      </w:r>
      <w:r>
        <w:rPr>
          <w:color w:val="000000"/>
        </w:rPr>
        <w:t xml:space="preserve"> </w:t>
      </w:r>
      <w:r>
        <w:rPr>
          <w:rFonts w:ascii="Arial;sans-serif" w:hAnsi="Arial;sans-serif"/>
          <w:b w:val="false"/>
          <w:color w:val="000000"/>
          <w:sz w:val="21"/>
        </w:rPr>
        <w:t>unrestricted, fully transferable share of Common Stock for each vested Performance RSU.</w:t>
      </w:r>
    </w:p>
    <w:p>
      <w:pPr>
        <w:pStyle w:val="TextBody"/>
        <w:bidi w:val="0"/>
        <w:spacing w:lineRule="auto" w:line="288" w:before="0" w:after="240"/>
        <w:ind w:left="0" w:right="0" w:firstLine="1440"/>
        <w:jc w:val="both"/>
        <w:rPr/>
      </w:pPr>
      <w:r>
        <w:rPr>
          <w:rFonts w:ascii="Arial;sans-serif" w:hAnsi="Arial;sans-serif"/>
          <w:b w:val="false"/>
          <w:color w:val="000000"/>
          <w:sz w:val="21"/>
        </w:rPr>
        <w:t>5.</w:t>
      </w:r>
      <w:r>
        <w:rPr>
          <w:rFonts w:ascii="Arial;sans-serif" w:hAnsi="Arial;sans-serif"/>
          <w:b w:val="false"/>
          <w:color w:val="000000"/>
          <w:sz w:val="21"/>
          <w:u w:val="single"/>
        </w:rPr>
        <w:t>Change in Control</w:t>
      </w:r>
      <w:r>
        <w:rPr>
          <w:rFonts w:ascii="Arial;sans-serif" w:hAnsi="Arial;sans-serif"/>
          <w:b w:val="false"/>
          <w:color w:val="000000"/>
          <w:sz w:val="21"/>
        </w:rPr>
        <w:t>. In the event of a consummation of a Change in Control during the Performance Period and while the Grantee is employed by the Company, [</w:t>
      </w:r>
      <w:r>
        <w:rPr>
          <w:rFonts w:ascii="Arial;sans-serif" w:hAnsi="Arial;sans-serif"/>
          <w:b w:val="false"/>
          <w:i/>
          <w:color w:val="000000"/>
          <w:sz w:val="21"/>
        </w:rPr>
        <w:t>For Grantee’s with Employment Agreements</w:t>
      </w:r>
      <w:r>
        <w:rPr>
          <w:rFonts w:ascii="Arial;sans-serif" w:hAnsi="Arial;sans-serif"/>
          <w:b w:val="false"/>
          <w:color w:val="000000"/>
          <w:sz w:val="21"/>
        </w:rPr>
        <w:t xml:space="preserve">: or if the Grantee is terminated within six (6) months prior to the Change in Control] if the Performance RSUs are not assumed or exchanged for an equivalent substitute award by the Company or its successor, the number of Performance RSUs that shall vest shall be determined as if the Performance Period ended as of the day immediately prior to the consummation of the Change of Control based on actual performance through such day and shall be earned and vested as of such date, </w:t>
      </w:r>
      <w:r>
        <w:rPr>
          <w:rFonts w:ascii="Arial;sans-serif" w:hAnsi="Arial;sans-serif"/>
          <w:b w:val="false"/>
          <w:color w:val="000000"/>
          <w:sz w:val="21"/>
          <w:u w:val="single"/>
        </w:rPr>
        <w:t>provided</w:t>
      </w:r>
      <w:r>
        <w:rPr>
          <w:color w:val="000000"/>
        </w:rPr>
        <w:t xml:space="preserve"> </w:t>
      </w:r>
      <w:r>
        <w:rPr>
          <w:rFonts w:ascii="Arial;sans-serif" w:hAnsi="Arial;sans-serif"/>
          <w:b w:val="false"/>
          <w:color w:val="000000"/>
          <w:sz w:val="21"/>
          <w:u w:val="single"/>
        </w:rPr>
        <w:t>that</w:t>
      </w:r>
      <w:r>
        <w:rPr>
          <w:color w:val="000000"/>
        </w:rPr>
        <w:t xml:space="preserve"> </w:t>
      </w:r>
      <w:r>
        <w:rPr>
          <w:rFonts w:ascii="Arial;sans-serif" w:hAnsi="Arial;sans-serif"/>
          <w:b w:val="false"/>
          <w:color w:val="000000"/>
          <w:sz w:val="21"/>
        </w:rPr>
        <w:t>the number of Performance RSUs that shall be earned and vested in accordance with the foregoing clause shall not be less than 100% of the Target Award. The earned and vested Performance RSUs (and any related dividend equivalents) shall be settled on the consummation of the Change in Control.</w:t>
      </w:r>
    </w:p>
    <w:p>
      <w:pPr>
        <w:pStyle w:val="TextBody"/>
        <w:bidi w:val="0"/>
        <w:spacing w:lineRule="auto" w:line="288" w:before="0" w:after="210"/>
        <w:jc w:val="both"/>
        <w:rPr/>
      </w:pPr>
      <w:r>
        <w:rPr>
          <w:rFonts w:ascii="Arial;sans-serif" w:hAnsi="Arial;sans-serif"/>
          <w:b w:val="false"/>
          <w:color w:val="000000"/>
          <w:sz w:val="21"/>
        </w:rPr>
        <w:t>For this purpose, “</w:t>
      </w:r>
      <w:r>
        <w:rPr>
          <w:rFonts w:ascii="Arial;sans-serif" w:hAnsi="Arial;sans-serif"/>
          <w:b w:val="false"/>
          <w:color w:val="000000"/>
          <w:sz w:val="21"/>
          <w:u w:val="single"/>
        </w:rPr>
        <w:t>Change in Control</w:t>
      </w:r>
      <w:r>
        <w:rPr>
          <w:color w:val="000000"/>
        </w:rPr>
        <w:t xml:space="preserve">” </w:t>
      </w:r>
      <w:r>
        <w:rPr>
          <w:rFonts w:ascii="Arial;sans-serif" w:hAnsi="Arial;sans-serif"/>
          <w:b w:val="false"/>
          <w:color w:val="000000"/>
          <w:sz w:val="21"/>
        </w:rPr>
        <w:t>shall mean the occurrence of one of the following events: (a) any transaction or group of related transactions (whether a merger, consolidation, sale or otherwise) pursuant to which any Person (in any case, excluding the Company and any Company Affiliate) or group (within the meaning of Section 13(d)(3) of the Exchange Act) of such Persons acting together pursuant to which such Person or group of Persons is or becomes the “beneficial owner” (as defined in Rule 13d-3 under the Exchange Act), directly or indirectly, of more than 30% of the aggregate voting power of the capital stock ordinarily entitled to elect directors of the Company; (b) any disposition in one transaction or a series of related transactions, of all or substantially all of the assets of the Company and its Subsidiaries (which shall be defined to include any corporation, partnership, limited liability company or other entity of which more than 50% of the economic interest in such entity is owned directly or indirectly by the Company or another subsidiary of the Company), determined on a consolidated basis, to any Person or Persons (in any case, excluding the Company and any Company Affiliate); (c) within a 12-month period, a majority of the members of the Board cease to be Continuing Directors; (d) the consummation of a merger, consolidation, reorganization or similar corporate transaction involving the Company, other than a merger, consolidation, reorganization or similar corporate transaction which would result in the voting securities of the Company outstanding immediately prior thereto continuing to represent (either by remaining outstanding or by being converted into voting securities of the surviving entity or its parent) at least a majority of the aggregate voting securities of the Company or such surviving entity or its parent outstanding immediately after such merger, consolidation, reorganization or similar corporate transaction; or (e) a liquidation or dissolution of the Company. As used herein, a “</w:t>
      </w:r>
      <w:r>
        <w:rPr>
          <w:rFonts w:ascii="Arial;sans-serif" w:hAnsi="Arial;sans-serif"/>
          <w:b w:val="false"/>
          <w:color w:val="000000"/>
          <w:sz w:val="21"/>
          <w:u w:val="single"/>
        </w:rPr>
        <w:t>Continuing Director</w:t>
      </w:r>
      <w:r>
        <w:rPr>
          <w:color w:val="000000"/>
        </w:rPr>
        <w:t xml:space="preserve">” </w:t>
      </w:r>
      <w:r>
        <w:rPr>
          <w:rFonts w:ascii="Arial;sans-serif" w:hAnsi="Arial;sans-serif"/>
          <w:b w:val="false"/>
          <w:color w:val="000000"/>
          <w:sz w:val="21"/>
        </w:rPr>
        <w:t xml:space="preserve">means any member of the Board who was a member of such Board on the date hereof; </w:t>
      </w:r>
      <w:r>
        <w:rPr>
          <w:rFonts w:ascii="Arial;sans-serif" w:hAnsi="Arial;sans-serif"/>
          <w:b w:val="false"/>
          <w:color w:val="000000"/>
          <w:sz w:val="21"/>
          <w:u w:val="single"/>
        </w:rPr>
        <w:t>provided</w:t>
      </w:r>
      <w:r>
        <w:rPr>
          <w:color w:val="000000"/>
        </w:rPr>
        <w:t xml:space="preserve"> </w:t>
      </w:r>
      <w:r>
        <w:rPr>
          <w:rFonts w:ascii="Arial;sans-serif" w:hAnsi="Arial;sans-serif"/>
          <w:b w:val="false"/>
          <w:color w:val="000000"/>
          <w:sz w:val="21"/>
          <w:u w:val="single"/>
        </w:rPr>
        <w:t>that</w:t>
      </w:r>
      <w:r>
        <w:rPr>
          <w:color w:val="000000"/>
        </w:rPr>
        <w:t xml:space="preserve"> </w:t>
      </w:r>
      <w:r>
        <w:rPr>
          <w:rFonts w:ascii="Arial;sans-serif" w:hAnsi="Arial;sans-serif"/>
          <w:b w:val="false"/>
          <w:color w:val="000000"/>
          <w:sz w:val="21"/>
        </w:rPr>
        <w:t>any person becoming a director subsequent to such date whose election or nomination for election was supported by a majority of the directors who then comprised the Continuing Directors shall be considered to be a Continuing Director.</w:t>
      </w:r>
    </w:p>
    <w:p>
      <w:pPr>
        <w:pStyle w:val="TextBody"/>
        <w:bidi w:val="0"/>
        <w:spacing w:before="0" w:after="0"/>
        <w:jc w:val="both"/>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153670"/>
                <wp:effectExtent l="0" t="0" r="0" b="0"/>
                <wp:wrapNone/>
                <wp:docPr id="173" name="Frame171"/>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307" w:before="0" w:after="0"/>
                              <w:jc w:val="center"/>
                              <w:rPr>
                                <w:rFonts w:ascii="Arial;sans-serif" w:hAnsi="Arial;sans-serif"/>
                                <w:b w:val="false"/>
                                <w:color w:val="000000"/>
                                <w:sz w:val="21"/>
                              </w:rPr>
                            </w:pPr>
                            <w:r>
                              <w:rPr>
                                <w:rFonts w:ascii="Arial;sans-serif" w:hAnsi="Arial;sans-serif"/>
                                <w:b w:val="false"/>
                                <w:color w:val="000000"/>
                                <w:sz w:val="21"/>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7" w:before="0" w:after="0"/>
                        <w:jc w:val="center"/>
                        <w:rPr>
                          <w:rFonts w:ascii="Arial;sans-serif" w:hAnsi="Arial;sans-serif"/>
                          <w:b w:val="false"/>
                          <w:color w:val="000000"/>
                          <w:sz w:val="21"/>
                        </w:rPr>
                      </w:pPr>
                      <w:r>
                        <w:rPr>
                          <w:rFonts w:ascii="Arial;sans-serif" w:hAnsi="Arial;sans-serif"/>
                          <w:b w:val="false"/>
                          <w:color w:val="000000"/>
                          <w:sz w:val="21"/>
                        </w:rPr>
                        <w:t>2</w:t>
                      </w:r>
                    </w:p>
                  </w:txbxContent>
                </v:textbox>
                <w10:wrap type="none"/>
              </v:rect>
            </w:pict>
          </mc:Fallback>
        </mc:AlternateContent>
      </w:r>
    </w:p>
    <w:p>
      <w:pPr>
        <w:pStyle w:val="TextBody"/>
        <w:bidi w:val="0"/>
        <w:spacing w:lineRule="auto" w:line="288" w:before="0" w:after="210"/>
        <w:jc w:val="both"/>
        <w:rPr/>
      </w:pPr>
      <w:r>
        <w:rPr>
          <w:rFonts w:ascii="Arial;sans-serif" w:hAnsi="Arial;sans-serif"/>
          <w:b w:val="false"/>
          <w:color w:val="000000"/>
          <w:sz w:val="21"/>
        </w:rPr>
        <w:t>For the purposes hereof, the term “</w:t>
      </w:r>
      <w:r>
        <w:rPr>
          <w:rFonts w:ascii="Arial;sans-serif" w:hAnsi="Arial;sans-serif"/>
          <w:b w:val="false"/>
          <w:color w:val="000000"/>
          <w:sz w:val="21"/>
          <w:u w:val="single"/>
        </w:rPr>
        <w:t>Company Affiliate</w:t>
      </w:r>
      <w:r>
        <w:rPr>
          <w:color w:val="000000"/>
        </w:rPr>
        <w:t xml:space="preserve">” </w:t>
      </w:r>
      <w:r>
        <w:rPr>
          <w:rFonts w:ascii="Arial;sans-serif" w:hAnsi="Arial;sans-serif"/>
          <w:b w:val="false"/>
          <w:color w:val="000000"/>
          <w:sz w:val="21"/>
        </w:rPr>
        <w:t>shall mean any individual or entity that directly or indirectly controls, is controlled by, or is under common control with the Company and “</w:t>
      </w:r>
      <w:r>
        <w:rPr>
          <w:rFonts w:ascii="Arial;sans-serif" w:hAnsi="Arial;sans-serif"/>
          <w:b w:val="false"/>
          <w:color w:val="000000"/>
          <w:sz w:val="21"/>
          <w:u w:val="single"/>
        </w:rPr>
        <w:t>Person</w:t>
      </w:r>
      <w:r>
        <w:rPr>
          <w:color w:val="000000"/>
        </w:rPr>
        <w:t xml:space="preserve">” </w:t>
      </w:r>
      <w:r>
        <w:rPr>
          <w:rFonts w:ascii="Arial;sans-serif" w:hAnsi="Arial;sans-serif"/>
          <w:b w:val="false"/>
          <w:color w:val="000000"/>
          <w:sz w:val="21"/>
        </w:rPr>
        <w:t>shall mean an individual, partnership, corporation, limited liability company, association, joint stock company, trust, joint venture, unincorporated organization, association or other entity or a governmental entity. Notwithstanding the foregoing, to the extent that the Performance RSU Award is considered “nonqualified deferred compensation” subject to Section 409A of the Code and the rules and regulations thereunder (“</w:t>
      </w:r>
      <w:r>
        <w:rPr>
          <w:rFonts w:ascii="Arial;sans-serif" w:hAnsi="Arial;sans-serif"/>
          <w:b w:val="false"/>
          <w:color w:val="000000"/>
          <w:sz w:val="21"/>
          <w:u w:val="single"/>
        </w:rPr>
        <w:t>Section 409A</w:t>
      </w:r>
      <w:r>
        <w:rPr>
          <w:color w:val="000000"/>
        </w:rPr>
        <w:t>”</w:t>
      </w:r>
      <w:r>
        <w:rPr>
          <w:rFonts w:ascii="Arial;sans-serif" w:hAnsi="Arial;sans-serif"/>
          <w:b w:val="false"/>
          <w:color w:val="000000"/>
          <w:sz w:val="21"/>
        </w:rPr>
        <w:t>) and where Change in Control is the basis for a payment, delivery or issuance event, or changes the time and form of payment, delivery or issuance, to the extent required to avoid additional taxes and/or penalties under Section 409A, a Change in Control shall only occur if such event also constitutes a “change in the ownership,” “change in effective control” and/or “change in the ownership of a substantial portion of the assets” of the Company, as those terms are defined under Treasury Regulation §1.409A-3(i)(5).</w:t>
      </w:r>
    </w:p>
    <w:p>
      <w:pPr>
        <w:pStyle w:val="TextBody"/>
        <w:bidi w:val="0"/>
        <w:spacing w:lineRule="auto" w:line="288" w:before="0" w:after="240"/>
        <w:ind w:left="0" w:right="0" w:firstLine="1440"/>
        <w:jc w:val="both"/>
        <w:rPr/>
      </w:pPr>
      <w:r>
        <w:rPr>
          <w:rFonts w:ascii="Arial;sans-serif" w:hAnsi="Arial;sans-serif"/>
          <w:b w:val="false"/>
          <w:color w:val="000000"/>
          <w:sz w:val="21"/>
        </w:rPr>
        <w:t>6.</w:t>
      </w:r>
      <w:r>
        <w:rPr>
          <w:rFonts w:ascii="Arial;sans-serif" w:hAnsi="Arial;sans-serif"/>
          <w:b w:val="false"/>
          <w:color w:val="000000"/>
          <w:sz w:val="21"/>
          <w:u w:val="single"/>
        </w:rPr>
        <w:t>Termination of Employment</w:t>
      </w:r>
      <w:r>
        <w:rPr>
          <w:rFonts w:ascii="Arial;sans-serif" w:hAnsi="Arial;sans-serif"/>
          <w:b w:val="false"/>
          <w:color w:val="000000"/>
          <w:sz w:val="21"/>
        </w:rPr>
        <w:t>.</w:t>
      </w:r>
    </w:p>
    <w:p>
      <w:pPr>
        <w:pStyle w:val="TextBody"/>
        <w:bidi w:val="0"/>
        <w:spacing w:lineRule="auto" w:line="288" w:before="0" w:after="210"/>
        <w:jc w:val="both"/>
        <w:rPr/>
      </w:pPr>
      <w:r>
        <w:rPr>
          <w:rFonts w:ascii="Arial;sans-serif" w:hAnsi="Arial;sans-serif"/>
          <w:b w:val="false"/>
          <w:color w:val="000000"/>
          <w:sz w:val="21"/>
        </w:rPr>
        <w:t>[</w:t>
      </w:r>
      <w:r>
        <w:rPr>
          <w:rFonts w:ascii="Arial;sans-serif" w:hAnsi="Arial;sans-serif"/>
          <w:b w:val="false"/>
          <w:i/>
          <w:color w:val="000000"/>
          <w:sz w:val="21"/>
        </w:rPr>
        <w:t>For Grantees without Employment Agreements:</w:t>
      </w:r>
      <w:r>
        <w:rPr>
          <w:color w:val="000000"/>
        </w:rPr>
        <w:t xml:space="preserve"> </w:t>
      </w:r>
      <w:r>
        <w:rPr>
          <w:rFonts w:ascii="Arial;sans-serif" w:hAnsi="Arial;sans-serif"/>
          <w:b w:val="false"/>
          <w:color w:val="000000"/>
          <w:sz w:val="21"/>
        </w:rPr>
        <w:t>(a) Except as otherwise specifically provided by the Administrator, or provided in any other current or future policy or program of the Company or a Company Affiliate, in the event that the Grantee’s employment with the Company or any Company Affiliate terminates for any reason (other than a Qualified Retirement (as defined below)) prior to the end of the Performance Period, any unvested Performance RSUs subject to this Agreement (and any related dividend equivalents) shall be forfeited and canceled for no value as of the date such employment terminates and the Grantee shall not be entitled to any compensation or other amount with respect to such forfeited Performance RSUs. If the Grantee's employment with the Company or a Company Affiliate is terminated during the Performance Period on account of the Grantee's Qualified Retirement, a pro rata portion (determined based on a calculation where the numerator is the number of days that have elapsed between the start of the Performance Period through the Termination Date, and the denominator is the total number of days in the Performance Period) of the Grantee’s Performance RSUs shall remain outstanding during the Performance Period and shall vest and be settled, if and to the extent, the Performance Conditions are achieved. For avoidance of doubt, in the event the Grantee’s employment with the Company or any Company Affiliate terminates for any reason following the end of the Performance Period and prior to settlement of the Performance RSUs, the Grantee shall continue to be entitled to receive the Performance RSUs, if any, that become earned and vested based on the Administrator’s determination of the Performance Conditions.</w:t>
      </w:r>
    </w:p>
    <w:p>
      <w:pPr>
        <w:pStyle w:val="TextBody"/>
        <w:bidi w:val="0"/>
        <w:spacing w:lineRule="auto" w:line="288" w:before="0" w:after="240"/>
        <w:ind w:left="0" w:right="0" w:firstLine="1440"/>
        <w:jc w:val="both"/>
        <w:rPr/>
      </w:pPr>
      <w:r>
        <w:rPr>
          <w:rFonts w:ascii="Arial;sans-serif" w:hAnsi="Arial;sans-serif"/>
          <w:b w:val="false"/>
          <w:color w:val="000000"/>
          <w:sz w:val="21"/>
        </w:rPr>
        <w:t>(a)</w:t>
      </w:r>
      <w:r>
        <w:rPr>
          <w:rFonts w:ascii="Arial;sans-serif" w:hAnsi="Arial;sans-serif"/>
          <w:b w:val="false"/>
          <w:color w:val="000000"/>
          <w:sz w:val="21"/>
        </w:rPr>
        <w:t>For purposes of this Agreement, “Qualified Retirement” means the Grantee’s voluntary retirement from the Grantee’s service as an employee of the Company or any Company Affiliate at a time when Grantee (i) is at least fifty-five (55) years of age, and (ii) has a combined age plus total years of service to the Company and any Company Affiliate of at least 70 years, provided that the Grantee has provided the Company with at least six (6) months advance written notice of the Grantee’s expected retirement. For avoidance of doubt, if the Grantee’s status as an employee terminates for any reason prior to the end of such notice period, the Grantee’s status as an employee shall not be deemed to have terminated by reason of his or her Qualified Retirement for purposes of this Agreement.]</w:t>
      </w:r>
    </w:p>
    <w:p>
      <w:pPr>
        <w:pStyle w:val="TextBody"/>
        <w:bidi w:val="0"/>
        <w:spacing w:lineRule="auto" w:line="288" w:before="0" w:after="210"/>
        <w:jc w:val="both"/>
        <w:rPr/>
      </w:pPr>
      <w:r>
        <w:rPr>
          <w:rFonts w:ascii="Arial;sans-serif" w:hAnsi="Arial;sans-serif"/>
          <w:b w:val="false"/>
          <w:color w:val="000000"/>
          <w:sz w:val="21"/>
        </w:rPr>
        <w:t>[</w:t>
      </w:r>
      <w:r>
        <w:rPr>
          <w:rFonts w:ascii="Arial;sans-serif" w:hAnsi="Arial;sans-serif"/>
          <w:b w:val="false"/>
          <w:i/>
          <w:color w:val="000000"/>
          <w:sz w:val="21"/>
        </w:rPr>
        <w:t>For Grantees with Employment Agreements</w:t>
      </w:r>
      <w:r>
        <w:rPr>
          <w:rFonts w:ascii="Arial;sans-serif" w:hAnsi="Arial;sans-serif"/>
          <w:b w:val="false"/>
          <w:color w:val="000000"/>
          <w:sz w:val="21"/>
        </w:rPr>
        <w:t>: (a) Subject to Section 6(c) below, if the Grantee’s employment with the Company or a Company Affiliate is terminated during the Performance Period on account of the Grantee’s death, Disability, Qualified Retirement (as defined below) or termination by the Company or a Company Affiliate without Cause or the Grantee’s resignation for Good Reason (the effective date of such termination, the “</w:t>
      </w:r>
      <w:r>
        <w:rPr>
          <w:rFonts w:ascii="Arial;sans-serif" w:hAnsi="Arial;sans-serif"/>
          <w:b w:val="false"/>
          <w:color w:val="000000"/>
          <w:sz w:val="21"/>
          <w:u w:val="single"/>
        </w:rPr>
        <w:t>Termination Date</w:t>
      </w:r>
      <w:r>
        <w:rPr>
          <w:color w:val="000000"/>
        </w:rPr>
        <w:t>”</w:t>
      </w:r>
      <w:r>
        <w:rPr>
          <w:rFonts w:ascii="Arial;sans-serif" w:hAnsi="Arial;sans-serif"/>
          <w:b w:val="false"/>
          <w:color w:val="000000"/>
          <w:sz w:val="21"/>
        </w:rPr>
        <w:t xml:space="preserve">), a pro rata portion (determined based on a calculation where the numerator is the number of days that have elapsed between the start of the Performance Period through the Termination Date, and the denominator is the total number of </w:t>
      </w:r>
    </w:p>
    <w:p>
      <w:pPr>
        <w:pStyle w:val="TextBody"/>
        <w:bidi w:val="0"/>
        <w:spacing w:before="0" w:after="0"/>
        <w:jc w:val="both"/>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153670"/>
                <wp:effectExtent l="0" t="0" r="0" b="0"/>
                <wp:wrapNone/>
                <wp:docPr id="174" name="Frame172"/>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307" w:before="0" w:after="0"/>
                              <w:jc w:val="center"/>
                              <w:rPr>
                                <w:rFonts w:ascii="Arial;sans-serif" w:hAnsi="Arial;sans-serif"/>
                                <w:b w:val="false"/>
                                <w:color w:val="000000"/>
                                <w:sz w:val="21"/>
                              </w:rPr>
                            </w:pPr>
                            <w:r>
                              <w:rPr>
                                <w:rFonts w:ascii="Arial;sans-serif" w:hAnsi="Arial;sans-serif"/>
                                <w:b w:val="false"/>
                                <w:color w:val="000000"/>
                                <w:sz w:val="21"/>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7" w:before="0" w:after="0"/>
                        <w:jc w:val="center"/>
                        <w:rPr>
                          <w:rFonts w:ascii="Arial;sans-serif" w:hAnsi="Arial;sans-serif"/>
                          <w:b w:val="false"/>
                          <w:color w:val="000000"/>
                          <w:sz w:val="21"/>
                        </w:rPr>
                      </w:pPr>
                      <w:r>
                        <w:rPr>
                          <w:rFonts w:ascii="Arial;sans-serif" w:hAnsi="Arial;sans-serif"/>
                          <w:b w:val="false"/>
                          <w:color w:val="000000"/>
                          <w:sz w:val="21"/>
                        </w:rPr>
                        <w:t>3</w:t>
                      </w:r>
                    </w:p>
                  </w:txbxContent>
                </v:textbox>
                <w10:wrap type="none"/>
              </v:rect>
            </w:pict>
          </mc:Fallback>
        </mc:AlternateContent>
      </w:r>
    </w:p>
    <w:p>
      <w:pPr>
        <w:pStyle w:val="TextBody"/>
        <w:bidi w:val="0"/>
        <w:spacing w:lineRule="auto" w:line="288" w:before="0" w:after="210"/>
        <w:jc w:val="both"/>
        <w:rPr>
          <w:rFonts w:ascii="Arial;sans-serif" w:hAnsi="Arial;sans-serif"/>
          <w:b w:val="false"/>
          <w:color w:val="000000"/>
          <w:sz w:val="21"/>
        </w:rPr>
      </w:pPr>
      <w:r>
        <w:rPr>
          <w:rFonts w:ascii="Arial;sans-serif" w:hAnsi="Arial;sans-serif"/>
          <w:b w:val="false"/>
          <w:color w:val="000000"/>
          <w:sz w:val="21"/>
        </w:rPr>
        <w:t>days in the Performance Period) of the Grantee’s Performance RSUs shall remain outstanding during the Performance Period and shall vest and be settled, if and to the extent, the Performance Conditions are achieved.</w:t>
      </w:r>
    </w:p>
    <w:p>
      <w:pPr>
        <w:pStyle w:val="TextBody"/>
        <w:bidi w:val="0"/>
        <w:spacing w:lineRule="auto" w:line="288" w:before="0" w:after="240"/>
        <w:ind w:left="0" w:right="0" w:firstLine="1440"/>
        <w:jc w:val="both"/>
        <w:rPr/>
      </w:pPr>
      <w:r>
        <w:rPr>
          <w:rFonts w:ascii="Arial;sans-serif" w:hAnsi="Arial;sans-serif"/>
          <w:b w:val="false"/>
          <w:color w:val="000000"/>
          <w:sz w:val="21"/>
        </w:rPr>
        <w:t>(b)</w:t>
      </w:r>
      <w:r>
        <w:rPr>
          <w:rFonts w:ascii="Arial;sans-serif" w:hAnsi="Arial;sans-serif"/>
          <w:b w:val="false"/>
          <w:color w:val="000000"/>
          <w:sz w:val="21"/>
        </w:rPr>
        <w:t>If the Grantee’s employment with the Company or a Company Affiliate terminates during the Performance Period and at the scheduled expiration of the term of the Grantee’s employment agreement with the Company on account of a non-renewal of the term as a result of a decision by the Company not to renew the employment agreement (“</w:t>
      </w:r>
      <w:r>
        <w:rPr>
          <w:rFonts w:ascii="Arial;sans-serif" w:hAnsi="Arial;sans-serif"/>
          <w:b w:val="false"/>
          <w:color w:val="000000"/>
          <w:sz w:val="21"/>
          <w:u w:val="single"/>
        </w:rPr>
        <w:t>Company Non-Renewal</w:t>
      </w:r>
      <w:r>
        <w:rPr>
          <w:color w:val="000000"/>
        </w:rPr>
        <w:t>”</w:t>
      </w:r>
      <w:r>
        <w:rPr>
          <w:rFonts w:ascii="Arial;sans-serif" w:hAnsi="Arial;sans-serif"/>
          <w:b w:val="false"/>
          <w:color w:val="000000"/>
          <w:sz w:val="21"/>
        </w:rPr>
        <w:t>), the Grantee’s termination of employment shall be treated as a termination by the Company without Cause.</w:t>
      </w:r>
    </w:p>
    <w:p>
      <w:pPr>
        <w:pStyle w:val="TextBody"/>
        <w:bidi w:val="0"/>
        <w:spacing w:lineRule="auto" w:line="288" w:before="0" w:after="240"/>
        <w:ind w:left="0" w:right="0" w:firstLine="1440"/>
        <w:jc w:val="both"/>
        <w:rPr/>
      </w:pPr>
      <w:r>
        <w:rPr>
          <w:rFonts w:ascii="Arial;sans-serif" w:hAnsi="Arial;sans-serif"/>
          <w:b w:val="false"/>
          <w:color w:val="000000"/>
          <w:sz w:val="21"/>
        </w:rPr>
        <w:t>(c)</w:t>
      </w:r>
      <w:r>
        <w:rPr>
          <w:rFonts w:ascii="Arial;sans-serif" w:hAnsi="Arial;sans-serif"/>
          <w:b w:val="false"/>
          <w:color w:val="000000"/>
          <w:sz w:val="21"/>
        </w:rPr>
        <w:t xml:space="preserve">If the Performance RSUs are assumed or exchanged for an equivalent award by the Company or its successor in connection with a Change in Control and the Grantee’s employment with the Company or a Company Affiliate is terminated during the Performance Period (i) by the Company or a Company Affiliate without Cause, (ii) by the Grantee for Good Reason or (iii) at the scheduled expiration of the term of the Grantee’s employment agreement with the Company on account of a Company Non-Renewal, and any such termination set forth in clauses (i), (ii) or (iii) occurs within six (6) months prior to the consummation of a Change in Control or on or within the twelve (12) months following a Change in Control, then, notwithstanding anything else herein to the contrary, the number of Performance RSUs (and related dividend equivalents) that shall vest and be settled, if any, shall be determined as if the Performance Period ended as of the day immediately prior to the consummation of the Change of Control based on actual performance through such day and shall not be pro-rated as provided in clause (a) of this section, </w:t>
      </w:r>
      <w:r>
        <w:rPr>
          <w:rFonts w:ascii="Arial;sans-serif" w:hAnsi="Arial;sans-serif"/>
          <w:b w:val="false"/>
          <w:color w:val="000000"/>
          <w:sz w:val="21"/>
          <w:u w:val="single"/>
        </w:rPr>
        <w:t>provided</w:t>
      </w:r>
      <w:r>
        <w:rPr>
          <w:color w:val="000000"/>
        </w:rPr>
        <w:t xml:space="preserve"> </w:t>
      </w:r>
      <w:r>
        <w:rPr>
          <w:rFonts w:ascii="Arial;sans-serif" w:hAnsi="Arial;sans-serif"/>
          <w:b w:val="false"/>
          <w:color w:val="000000"/>
          <w:sz w:val="21"/>
          <w:u w:val="single"/>
        </w:rPr>
        <w:t>further</w:t>
      </w:r>
      <w:r>
        <w:rPr>
          <w:color w:val="000000"/>
        </w:rPr>
        <w:t xml:space="preserve"> </w:t>
      </w:r>
      <w:r>
        <w:rPr>
          <w:rFonts w:ascii="Arial;sans-serif" w:hAnsi="Arial;sans-serif"/>
          <w:b w:val="false"/>
          <w:color w:val="000000"/>
          <w:sz w:val="21"/>
          <w:u w:val="single"/>
        </w:rPr>
        <w:t>that</w:t>
      </w:r>
      <w:r>
        <w:rPr>
          <w:rFonts w:ascii="Arial;sans-serif" w:hAnsi="Arial;sans-serif"/>
          <w:b w:val="false"/>
          <w:color w:val="000000"/>
          <w:sz w:val="21"/>
        </w:rPr>
        <w:t>, the number of Performance RSUs that shall vest in accordance with this clause shall not be less than 100% of the Target Award.</w:t>
      </w:r>
      <w:r>
        <w:rPr>
          <w:color w:val="000000"/>
        </w:rPr>
        <w:t xml:space="preserve"> </w:t>
      </w:r>
      <w:r>
        <w:rPr>
          <w:rFonts w:ascii="Arial;sans-serif" w:hAnsi="Arial;sans-serif"/>
          <w:b w:val="false"/>
          <w:color w:val="000000"/>
          <w:sz w:val="21"/>
        </w:rPr>
        <w:t xml:space="preserve">If any such termination occurs (a) within six (6) months prior to the consummation of a Change in Control, then the earned and vested Performance RSUs (and any related dividend equivalents) shall be settled on the consummation of the Change in Control, and (b) within the twelve (12) months following a Change in Control, then the earned and vested Performance RSUs (and any related dividend equivalents) shall be settled on the date of termination; </w:t>
      </w:r>
      <w:r>
        <w:rPr>
          <w:rFonts w:ascii="Arial;sans-serif" w:hAnsi="Arial;sans-serif"/>
          <w:b w:val="false"/>
          <w:color w:val="000000"/>
          <w:sz w:val="21"/>
          <w:u w:val="single"/>
        </w:rPr>
        <w:t>provided</w:t>
      </w:r>
      <w:r>
        <w:rPr>
          <w:rFonts w:ascii="Arial;sans-serif" w:hAnsi="Arial;sans-serif"/>
          <w:b w:val="false"/>
          <w:color w:val="000000"/>
          <w:sz w:val="21"/>
        </w:rPr>
        <w:t xml:space="preserve">, </w:t>
      </w:r>
      <w:r>
        <w:rPr>
          <w:rFonts w:ascii="Arial;sans-serif" w:hAnsi="Arial;sans-serif"/>
          <w:b w:val="false"/>
          <w:color w:val="000000"/>
          <w:sz w:val="21"/>
          <w:u w:val="single"/>
        </w:rPr>
        <w:t>however</w:t>
      </w:r>
      <w:r>
        <w:rPr>
          <w:rFonts w:ascii="Arial;sans-serif" w:hAnsi="Arial;sans-serif"/>
          <w:b w:val="false"/>
          <w:color w:val="000000"/>
          <w:sz w:val="21"/>
        </w:rPr>
        <w:t>, if required to avoid additional taxes under Section 409A, such Performance RSUs (and any related dividend equivalents) shall be settled at the same time the Performance RSUs would have been settled absent the Change in Control.</w:t>
      </w:r>
    </w:p>
    <w:p>
      <w:pPr>
        <w:pStyle w:val="TextBody"/>
        <w:bidi w:val="0"/>
        <w:spacing w:lineRule="auto" w:line="288" w:before="0" w:after="240"/>
        <w:ind w:left="0" w:right="0" w:firstLine="1440"/>
        <w:jc w:val="both"/>
        <w:rPr/>
      </w:pPr>
      <w:r>
        <w:rPr>
          <w:rFonts w:ascii="Arial;sans-serif" w:hAnsi="Arial;sans-serif"/>
          <w:b w:val="false"/>
          <w:color w:val="000000"/>
          <w:sz w:val="21"/>
        </w:rPr>
        <w:t>(d)</w:t>
      </w:r>
      <w:r>
        <w:rPr>
          <w:rFonts w:ascii="Arial;sans-serif" w:hAnsi="Arial;sans-serif"/>
          <w:b w:val="false"/>
          <w:color w:val="000000"/>
          <w:sz w:val="21"/>
        </w:rPr>
        <w:t>For avoidance of doubt, in the event the Grantee’s employment with the Company or any Company Affiliate terminates for any reason following the end of the Performance Period and prior to settlement of the Performance RSUs, the Grantee shall continue to be entitled to receive the Performance RSUs, if any, that become earned and vested based on the Administrator’s determination of the Performance Conditions.</w:t>
      </w:r>
    </w:p>
    <w:p>
      <w:pPr>
        <w:pStyle w:val="TextBody"/>
        <w:bidi w:val="0"/>
        <w:spacing w:lineRule="auto" w:line="288" w:before="0" w:after="240"/>
        <w:ind w:left="0" w:right="0" w:firstLine="1440"/>
        <w:jc w:val="both"/>
        <w:rPr/>
      </w:pPr>
      <w:r>
        <w:rPr>
          <w:rFonts w:ascii="Arial;sans-serif" w:hAnsi="Arial;sans-serif"/>
          <w:b w:val="false"/>
          <w:color w:val="000000"/>
          <w:sz w:val="21"/>
        </w:rPr>
        <w:t>(e)</w:t>
      </w:r>
      <w:r>
        <w:rPr>
          <w:rFonts w:ascii="Arial;sans-serif" w:hAnsi="Arial;sans-serif"/>
          <w:b w:val="false"/>
          <w:color w:val="000000"/>
          <w:sz w:val="21"/>
        </w:rPr>
        <w:t>For purposes of this Agreement, “Qualified Retirement” means the Grantee’s voluntary retirement from the Grantee’s service as an employee of the Company or any Company Affiliate at a time when Grantee (i) is at least fifty-five (55) years of age, and (ii) has a combined age plus total years of service to the Company and any Company Affiliate of at least 70 years, provided that the Grantee has provided the Company with at least six (6) months advance written notice of the Grantee’s expected retirement. For avoidance of doubt, if the Grantee’s status as an employee terminates for any reason prior to the end of such notice period, the Grantee’s status as an employee shall not be deemed to have terminated by reason of his or her Qualified Retirement for purposes of this Agreement.</w:t>
      </w:r>
    </w:p>
    <w:p>
      <w:pPr>
        <w:pStyle w:val="TextBody"/>
        <w:bidi w:val="0"/>
        <w:spacing w:lineRule="auto" w:line="288" w:before="0" w:after="240"/>
        <w:ind w:left="0" w:right="0" w:firstLine="1440"/>
        <w:jc w:val="both"/>
        <w:rPr/>
      </w:pPr>
      <w:r>
        <w:rPr>
          <w:rFonts w:ascii="Arial;sans-serif" w:hAnsi="Arial;sans-serif"/>
          <w:b w:val="false"/>
          <w:color w:val="000000"/>
          <w:sz w:val="21"/>
        </w:rPr>
        <w:t>(f)</w:t>
      </w:r>
      <w:r>
        <w:rPr>
          <w:rFonts w:ascii="Arial;sans-serif" w:hAnsi="Arial;sans-serif"/>
          <w:b w:val="false"/>
          <w:color w:val="000000"/>
          <w:sz w:val="21"/>
        </w:rPr>
        <w:t>For purposes hereof, “</w:t>
      </w:r>
      <w:r>
        <w:rPr>
          <w:rFonts w:ascii="Arial;sans-serif" w:hAnsi="Arial;sans-serif"/>
          <w:b w:val="false"/>
          <w:color w:val="000000"/>
          <w:sz w:val="21"/>
          <w:u w:val="single"/>
        </w:rPr>
        <w:t>Cause</w:t>
      </w:r>
      <w:r>
        <w:rPr>
          <w:rFonts w:ascii="Arial;sans-serif" w:hAnsi="Arial;sans-serif"/>
          <w:b w:val="false"/>
          <w:color w:val="000000"/>
          <w:sz w:val="21"/>
        </w:rPr>
        <w:t>,” “</w:t>
      </w:r>
      <w:r>
        <w:rPr>
          <w:rFonts w:ascii="Arial;sans-serif" w:hAnsi="Arial;sans-serif"/>
          <w:b w:val="false"/>
          <w:color w:val="000000"/>
          <w:sz w:val="21"/>
          <w:u w:val="single"/>
        </w:rPr>
        <w:t>Disability</w:t>
      </w:r>
      <w:r>
        <w:rPr>
          <w:rFonts w:ascii="Arial;sans-serif" w:hAnsi="Arial;sans-serif"/>
          <w:b w:val="false"/>
          <w:color w:val="000000"/>
          <w:sz w:val="21"/>
        </w:rPr>
        <w:t>,” and “</w:t>
      </w:r>
      <w:r>
        <w:rPr>
          <w:rFonts w:ascii="Arial;sans-serif" w:hAnsi="Arial;sans-serif"/>
          <w:b w:val="false"/>
          <w:color w:val="000000"/>
          <w:sz w:val="21"/>
          <w:u w:val="single"/>
        </w:rPr>
        <w:t>Good Reason</w:t>
      </w:r>
      <w:r>
        <w:rPr>
          <w:color w:val="000000"/>
        </w:rPr>
        <w:t xml:space="preserve">” </w:t>
      </w:r>
      <w:r>
        <w:rPr>
          <w:rFonts w:ascii="Arial;sans-serif" w:hAnsi="Arial;sans-serif"/>
          <w:b w:val="false"/>
          <w:color w:val="000000"/>
          <w:sz w:val="21"/>
        </w:rPr>
        <w:t>shall have the meaning assigned to such terms in the Grantee’s employment or separation agreement with the Company.]</w:t>
      </w:r>
    </w:p>
    <w:p>
      <w:pPr>
        <w:pStyle w:val="TextBody"/>
        <w:bidi w:val="0"/>
        <w:spacing w:before="0" w:after="0"/>
        <w:jc w:val="both"/>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153670"/>
                <wp:effectExtent l="0" t="0" r="0" b="0"/>
                <wp:wrapNone/>
                <wp:docPr id="175" name="Frame173"/>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307" w:before="0" w:after="0"/>
                              <w:jc w:val="center"/>
                              <w:rPr>
                                <w:rFonts w:ascii="Arial;sans-serif" w:hAnsi="Arial;sans-serif"/>
                                <w:b w:val="false"/>
                                <w:color w:val="000000"/>
                                <w:sz w:val="21"/>
                              </w:rPr>
                            </w:pPr>
                            <w:r>
                              <w:rPr>
                                <w:rFonts w:ascii="Arial;sans-serif" w:hAnsi="Arial;sans-serif"/>
                                <w:b w:val="false"/>
                                <w:color w:val="000000"/>
                                <w:sz w:val="21"/>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7" w:before="0" w:after="0"/>
                        <w:jc w:val="center"/>
                        <w:rPr>
                          <w:rFonts w:ascii="Arial;sans-serif" w:hAnsi="Arial;sans-serif"/>
                          <w:b w:val="false"/>
                          <w:color w:val="000000"/>
                          <w:sz w:val="21"/>
                        </w:rPr>
                      </w:pPr>
                      <w:r>
                        <w:rPr>
                          <w:rFonts w:ascii="Arial;sans-serif" w:hAnsi="Arial;sans-serif"/>
                          <w:b w:val="false"/>
                          <w:color w:val="000000"/>
                          <w:sz w:val="21"/>
                        </w:rPr>
                        <w:t>4</w:t>
                      </w:r>
                    </w:p>
                  </w:txbxContent>
                </v:textbox>
                <w10:wrap type="none"/>
              </v:rect>
            </w:pict>
          </mc:Fallback>
        </mc:AlternateContent>
      </w:r>
    </w:p>
    <w:p>
      <w:pPr>
        <w:pStyle w:val="TextBody"/>
        <w:bidi w:val="0"/>
        <w:spacing w:lineRule="auto" w:line="288" w:before="0" w:after="240"/>
        <w:ind w:left="0" w:right="0" w:firstLine="1440"/>
        <w:jc w:val="both"/>
        <w:rPr/>
      </w:pPr>
      <w:r>
        <w:rPr>
          <w:rFonts w:ascii="Arial;sans-serif" w:hAnsi="Arial;sans-serif"/>
          <w:b w:val="false"/>
          <w:color w:val="000000"/>
          <w:sz w:val="21"/>
        </w:rPr>
        <w:t>7.</w:t>
      </w:r>
      <w:r>
        <w:rPr>
          <w:rFonts w:ascii="Arial;sans-serif" w:hAnsi="Arial;sans-serif"/>
          <w:b w:val="false"/>
          <w:color w:val="000000"/>
          <w:sz w:val="21"/>
          <w:u w:val="single"/>
        </w:rPr>
        <w:t>Dividend Equivalents</w:t>
      </w:r>
      <w:r>
        <w:rPr>
          <w:rFonts w:ascii="Arial;sans-serif" w:hAnsi="Arial;sans-serif"/>
          <w:b w:val="false"/>
          <w:color w:val="000000"/>
          <w:sz w:val="21"/>
        </w:rPr>
        <w:t>. The Grantee shall be entitled to receive dividend equivalents in respect of each Performance RSU that vests, if any, pursuant to this Agreement or the Plan. At the time the Company delivers shares of Common Stock in respect of Grantee’s earned and vested Performance RSUs, the Company shall also pay the Grantee a lump sum cash amount equal to the cash dividends the Grantee would have received had the Grantee held such number of shares of Common Stock from the Grant Date through and including the date of the Grantee’s receipt of such shares of Common Stock in settlement of the Grantee’s earned and vested Performance RSUs. No interest will accrue on such dividend equivalents. No dividend equivalent amounts will be paid in respect of unvested or forfeited Performance RSUs.</w:t>
      </w:r>
    </w:p>
    <w:p>
      <w:pPr>
        <w:pStyle w:val="TextBody"/>
        <w:bidi w:val="0"/>
        <w:spacing w:lineRule="auto" w:line="288" w:before="0" w:after="240"/>
        <w:ind w:left="0" w:right="0" w:firstLine="1440"/>
        <w:jc w:val="both"/>
        <w:rPr/>
      </w:pPr>
      <w:r>
        <w:rPr>
          <w:rFonts w:ascii="Arial;sans-serif" w:hAnsi="Arial;sans-serif"/>
          <w:b w:val="false"/>
          <w:color w:val="000000"/>
          <w:sz w:val="21"/>
        </w:rPr>
        <w:t>8.</w:t>
      </w:r>
      <w:r>
        <w:rPr>
          <w:rFonts w:ascii="Arial;sans-serif" w:hAnsi="Arial;sans-serif"/>
          <w:b w:val="false"/>
          <w:color w:val="000000"/>
          <w:sz w:val="21"/>
          <w:u w:val="single"/>
        </w:rPr>
        <w:t>Restrictions on Transferability</w:t>
      </w:r>
      <w:r>
        <w:rPr>
          <w:rFonts w:ascii="Arial;sans-serif" w:hAnsi="Arial;sans-serif"/>
          <w:b w:val="false"/>
          <w:color w:val="000000"/>
          <w:sz w:val="21"/>
        </w:rPr>
        <w:t>. The Performance RSUs may not be transferred, pledged, assigned, hypothecated or otherwise disposed of in any way by the Grantee, except by will or by the laws of descent and distribution. In the event that the Grantee becomes legally incapacitated, the Grantee’s rights with respect to the Performance RSUs shall be exercisable by the Grantee’s legal guardian or legal representative. The Performance RSUs shall not be subject to execution, attachment or similar process. Any attempted assignment, transfer, pledge, hypothecation or other disposition of the Performance RSUs contrary to the provisions hereof, and the levy of any execution, attachment or similar process upon any Performance RSUs, shall be null and void and without effect.</w:t>
      </w:r>
    </w:p>
    <w:p>
      <w:pPr>
        <w:pStyle w:val="TextBody"/>
        <w:bidi w:val="0"/>
        <w:spacing w:lineRule="auto" w:line="288" w:before="0" w:after="240"/>
        <w:ind w:left="0" w:right="0" w:firstLine="1440"/>
        <w:jc w:val="both"/>
        <w:rPr/>
      </w:pPr>
      <w:r>
        <w:rPr>
          <w:rFonts w:ascii="Arial;sans-serif" w:hAnsi="Arial;sans-serif"/>
          <w:b w:val="false"/>
          <w:color w:val="000000"/>
          <w:sz w:val="21"/>
        </w:rPr>
        <w:t>9.</w:t>
      </w:r>
      <w:r>
        <w:rPr>
          <w:rFonts w:ascii="Arial;sans-serif" w:hAnsi="Arial;sans-serif"/>
          <w:b w:val="false"/>
          <w:color w:val="000000"/>
          <w:sz w:val="21"/>
          <w:u w:val="single"/>
        </w:rPr>
        <w:t>Tax Matters</w:t>
      </w:r>
      <w:r>
        <w:rPr>
          <w:rFonts w:ascii="Arial;sans-serif" w:hAnsi="Arial;sans-serif"/>
          <w:b w:val="false"/>
          <w:color w:val="000000"/>
          <w:sz w:val="21"/>
        </w:rPr>
        <w:t>. The Grantee agrees that in order to satisfy any income, employment and/or other applicable taxes that are statutorily required to be withheld in respect of the Performance RSUs (and any corresponding dividend equivalents), the Company shall withhold a number of shares of Common Stock otherwise issuable to the Grantee upon settlement of the Performance RSUs equal in value to the minimum amount (or such other amount that is permitted and agreed by the Administrator provided that the tax or accounting treatment of the Performance RSUs are not changed) necessary to satisfy the statutorily required withholding liability, if any (“</w:t>
      </w:r>
      <w:r>
        <w:rPr>
          <w:rFonts w:ascii="Arial;sans-serif" w:hAnsi="Arial;sans-serif"/>
          <w:b w:val="false"/>
          <w:color w:val="000000"/>
          <w:sz w:val="21"/>
          <w:u w:val="single"/>
        </w:rPr>
        <w:t>Withholding Taxes</w:t>
      </w:r>
      <w:r>
        <w:rPr>
          <w:color w:val="000000"/>
        </w:rPr>
        <w:t>”</w:t>
      </w:r>
      <w:r>
        <w:rPr>
          <w:rFonts w:ascii="Arial;sans-serif" w:hAnsi="Arial;sans-serif"/>
          <w:b w:val="false"/>
          <w:color w:val="000000"/>
          <w:sz w:val="21"/>
        </w:rPr>
        <w:t>), except to the extent that the Grantee shall have elected to pay such Withholding Taxes to the Company in cash (by check or wire transfer). The number of shares of Common Stock equal to the Withholding Taxes shall be determined using the closing price per share on the New York Stock Exchange (or other principal exchange on which the shares of Common Stock then trade) on the trading day immediately prior to the date of issuance of the shares of Common Stock to the Grantee, and shall be rounded up to the nearest whole share.</w:t>
      </w:r>
    </w:p>
    <w:p>
      <w:pPr>
        <w:pStyle w:val="TextBody"/>
        <w:bidi w:val="0"/>
        <w:spacing w:lineRule="auto" w:line="288" w:before="0" w:after="240"/>
        <w:ind w:left="0" w:right="0" w:firstLine="1440"/>
        <w:jc w:val="both"/>
        <w:rPr/>
      </w:pPr>
      <w:r>
        <w:rPr>
          <w:rFonts w:ascii="Arial;sans-serif" w:hAnsi="Arial;sans-serif"/>
          <w:b w:val="false"/>
          <w:color w:val="000000"/>
          <w:sz w:val="21"/>
        </w:rPr>
        <w:t>10.</w:t>
      </w:r>
      <w:r>
        <w:rPr>
          <w:rFonts w:ascii="Arial;sans-serif" w:hAnsi="Arial;sans-serif"/>
          <w:b w:val="false"/>
          <w:color w:val="000000"/>
          <w:sz w:val="21"/>
          <w:u w:val="single"/>
        </w:rPr>
        <w:t>No Rights as a Stockholder; Unfunded</w:t>
      </w:r>
      <w:r>
        <w:rPr>
          <w:rFonts w:ascii="Arial;sans-serif" w:hAnsi="Arial;sans-serif"/>
          <w:b/>
          <w:color w:val="000000"/>
          <w:sz w:val="21"/>
        </w:rPr>
        <w:t>.</w:t>
      </w:r>
      <w:r>
        <w:rPr>
          <w:color w:val="000000"/>
        </w:rPr>
        <w:t xml:space="preserve"> </w:t>
      </w:r>
      <w:r>
        <w:rPr>
          <w:rFonts w:ascii="Arial;sans-serif" w:hAnsi="Arial;sans-serif"/>
          <w:b w:val="false"/>
          <w:color w:val="000000"/>
          <w:sz w:val="21"/>
        </w:rPr>
        <w:t>The Grantee shall not be deemed for any purpose to be, or have rights as, a stockholder of the Company by virtue of the Target Award, unless and until shares of Common Stock subject to the Performance RSUs are delivered. Upon the settlement of the Performance RSUs, the Company shall either issue a stock certificate or make an appropriate book entry, at which time the Grantee shall have all the rights of a stockholder with respect to the Common Stock, including the right to vote the shares of Common Stock. The Performance RSUs are an unfunded, unsecured obligation of the Company.</w:t>
      </w:r>
    </w:p>
    <w:p>
      <w:pPr>
        <w:pStyle w:val="TextBody"/>
        <w:bidi w:val="0"/>
        <w:spacing w:lineRule="auto" w:line="288" w:before="0" w:after="240"/>
        <w:ind w:left="0" w:right="0" w:firstLine="1440"/>
        <w:jc w:val="both"/>
        <w:rPr/>
      </w:pPr>
      <w:r>
        <w:rPr>
          <w:rFonts w:ascii="Arial;sans-serif" w:hAnsi="Arial;sans-serif"/>
          <w:b w:val="false"/>
          <w:color w:val="000000"/>
          <w:sz w:val="21"/>
        </w:rPr>
        <w:t>11.</w:t>
      </w:r>
      <w:r>
        <w:rPr>
          <w:rFonts w:ascii="Arial;sans-serif" w:hAnsi="Arial;sans-serif"/>
          <w:b w:val="false"/>
          <w:color w:val="000000"/>
          <w:sz w:val="21"/>
          <w:u w:val="single"/>
        </w:rPr>
        <w:t>Delays or Omissions</w:t>
      </w:r>
      <w:r>
        <w:rPr>
          <w:rFonts w:ascii="Arial;sans-serif" w:hAnsi="Arial;sans-serif"/>
          <w:b w:val="false"/>
          <w:color w:val="000000"/>
          <w:sz w:val="21"/>
        </w:rPr>
        <w:t>. No delay or omission to exercise any right, power or remedy accruing to any party hereto upon any breach or default of any party under this Agreement, shall impair any such right, power or remedy of such party, nor shall it be construed to be a waiver of any such breach or default, or an acquiescence therein, or of or in any similar breach or default thereafter occurring, nor shall any waiver of any single breach or default be deemed a waiver of any other breach or default theretofore or thereafter occurring. Any waiver, permit, consent or approval of any kind or character on the part of any party of any breach or default under this Agreement, or any waiver on the part of any party or any provisions or conditions of this Agreement, must be in a writing signed by such party and shall be effective only to the extent specifically set forth in such writing.</w:t>
      </w:r>
    </w:p>
    <w:p>
      <w:pPr>
        <w:pStyle w:val="TextBody"/>
        <w:bidi w:val="0"/>
        <w:spacing w:before="0" w:after="0"/>
        <w:jc w:val="both"/>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153670"/>
                <wp:effectExtent l="0" t="0" r="0" b="0"/>
                <wp:wrapNone/>
                <wp:docPr id="176" name="Frame174"/>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307" w:before="0" w:after="0"/>
                              <w:jc w:val="center"/>
                              <w:rPr>
                                <w:rFonts w:ascii="Arial;sans-serif" w:hAnsi="Arial;sans-serif"/>
                                <w:b w:val="false"/>
                                <w:color w:val="000000"/>
                                <w:sz w:val="21"/>
                              </w:rPr>
                            </w:pPr>
                            <w:r>
                              <w:rPr>
                                <w:rFonts w:ascii="Arial;sans-serif" w:hAnsi="Arial;sans-serif"/>
                                <w:b w:val="false"/>
                                <w:color w:val="000000"/>
                                <w:sz w:val="21"/>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7" w:before="0" w:after="0"/>
                        <w:jc w:val="center"/>
                        <w:rPr>
                          <w:rFonts w:ascii="Arial;sans-serif" w:hAnsi="Arial;sans-serif"/>
                          <w:b w:val="false"/>
                          <w:color w:val="000000"/>
                          <w:sz w:val="21"/>
                        </w:rPr>
                      </w:pPr>
                      <w:r>
                        <w:rPr>
                          <w:rFonts w:ascii="Arial;sans-serif" w:hAnsi="Arial;sans-serif"/>
                          <w:b w:val="false"/>
                          <w:color w:val="000000"/>
                          <w:sz w:val="21"/>
                        </w:rPr>
                        <w:t>5</w:t>
                      </w:r>
                    </w:p>
                  </w:txbxContent>
                </v:textbox>
                <w10:wrap type="none"/>
              </v:rect>
            </w:pict>
          </mc:Fallback>
        </mc:AlternateContent>
      </w:r>
    </w:p>
    <w:p>
      <w:pPr>
        <w:pStyle w:val="TextBody"/>
        <w:bidi w:val="0"/>
        <w:spacing w:lineRule="auto" w:line="288" w:before="0" w:after="240"/>
        <w:ind w:left="0" w:right="0" w:firstLine="1440"/>
        <w:jc w:val="both"/>
        <w:rPr/>
      </w:pPr>
      <w:r>
        <w:rPr>
          <w:rFonts w:ascii="Arial;sans-serif" w:hAnsi="Arial;sans-serif"/>
          <w:b w:val="false"/>
          <w:color w:val="000000"/>
          <w:sz w:val="21"/>
        </w:rPr>
        <w:t>12.</w:t>
      </w:r>
      <w:r>
        <w:rPr>
          <w:rFonts w:ascii="Arial;sans-serif" w:hAnsi="Arial;sans-serif"/>
          <w:b w:val="false"/>
          <w:color w:val="000000"/>
          <w:sz w:val="21"/>
          <w:u w:val="single"/>
        </w:rPr>
        <w:t>Right of Discharge Preserved</w:t>
      </w:r>
      <w:r>
        <w:rPr>
          <w:rFonts w:ascii="Arial;sans-serif" w:hAnsi="Arial;sans-serif"/>
          <w:b w:val="false"/>
          <w:color w:val="000000"/>
          <w:sz w:val="21"/>
        </w:rPr>
        <w:t xml:space="preserve">. Nothing in this Agreement shall confer upon the Grantee the right to continue in the employ or other service of the Company, or affect any right which the Company may have to terminate such employment or service; </w:t>
      </w:r>
      <w:r>
        <w:rPr>
          <w:rFonts w:ascii="Arial;sans-serif" w:hAnsi="Arial;sans-serif"/>
          <w:b w:val="false"/>
          <w:color w:val="000000"/>
          <w:sz w:val="21"/>
          <w:u w:val="single"/>
        </w:rPr>
        <w:t>provided</w:t>
      </w:r>
      <w:r>
        <w:rPr>
          <w:rFonts w:ascii="Arial;sans-serif" w:hAnsi="Arial;sans-serif"/>
          <w:b w:val="false"/>
          <w:color w:val="000000"/>
          <w:sz w:val="21"/>
        </w:rPr>
        <w:t xml:space="preserve">, </w:t>
      </w:r>
      <w:r>
        <w:rPr>
          <w:rFonts w:ascii="Arial;sans-serif" w:hAnsi="Arial;sans-serif"/>
          <w:b w:val="false"/>
          <w:color w:val="000000"/>
          <w:sz w:val="21"/>
          <w:u w:val="single"/>
        </w:rPr>
        <w:t>however</w:t>
      </w:r>
      <w:r>
        <w:rPr>
          <w:rFonts w:ascii="Arial;sans-serif" w:hAnsi="Arial;sans-serif"/>
          <w:b w:val="false"/>
          <w:color w:val="000000"/>
          <w:sz w:val="21"/>
        </w:rPr>
        <w:t>, that nothing herein shall affect the Grantee’s right to severance, payments or other benefits, if any, the Grantee may be entitled to under any other agreement with the Company.</w:t>
      </w:r>
    </w:p>
    <w:p>
      <w:pPr>
        <w:pStyle w:val="TextBody"/>
        <w:bidi w:val="0"/>
        <w:spacing w:lineRule="auto" w:line="288" w:before="0" w:after="240"/>
        <w:ind w:left="0" w:right="0" w:firstLine="1440"/>
        <w:jc w:val="both"/>
        <w:rPr/>
      </w:pPr>
      <w:r>
        <w:rPr>
          <w:rFonts w:ascii="Arial;sans-serif" w:hAnsi="Arial;sans-serif"/>
          <w:b w:val="false"/>
          <w:color w:val="000000"/>
          <w:sz w:val="21"/>
        </w:rPr>
        <w:t>13.</w:t>
      </w:r>
      <w:r>
        <w:rPr>
          <w:rFonts w:ascii="Arial;sans-serif" w:hAnsi="Arial;sans-serif"/>
          <w:b w:val="false"/>
          <w:color w:val="000000"/>
          <w:sz w:val="21"/>
          <w:u w:val="single"/>
        </w:rPr>
        <w:t>Integration</w:t>
      </w:r>
      <w:r>
        <w:rPr>
          <w:rFonts w:ascii="Arial;sans-serif" w:hAnsi="Arial;sans-serif"/>
          <w:b w:val="false"/>
          <w:color w:val="000000"/>
          <w:sz w:val="21"/>
        </w:rPr>
        <w:t>. This Agreement, together with the Plan, contain the entire understanding of the parties with respect to its subject matter. Notwithstanding the foregoing to the extent the Grantee is party to an employment or separation agreement with the Company or Company Affiliate which provides for more favorable treatment on a termination of employment, change in control, or similar provision, the provisions of such employment or separation agreement shall govern. There are no restrictions, agreements, promises, representations, warranties, covenants or undertakings with respect to the subject matter hereof other than those expressly set forth herein. This Agreement, including, without limitation, the Plan, and any employment or separation agreement between the Grantee and the Company or any Company Affiliate (to the extent such employment or separation agreement provides for more favorable treatment on a termination, change in control or similar provision) supersedes all prior agreements and understandings, written or oral, between the parties with respect to its subject matter.</w:t>
      </w:r>
    </w:p>
    <w:p>
      <w:pPr>
        <w:pStyle w:val="TextBody"/>
        <w:bidi w:val="0"/>
        <w:spacing w:lineRule="auto" w:line="288" w:before="0" w:after="240"/>
        <w:ind w:left="0" w:right="0" w:firstLine="1440"/>
        <w:jc w:val="both"/>
        <w:rPr/>
      </w:pPr>
      <w:r>
        <w:rPr>
          <w:rFonts w:ascii="Arial;sans-serif" w:hAnsi="Arial;sans-serif"/>
          <w:b w:val="false"/>
          <w:color w:val="000000"/>
          <w:sz w:val="21"/>
        </w:rPr>
        <w:t>14.</w:t>
      </w:r>
      <w:r>
        <w:rPr>
          <w:rFonts w:ascii="Arial;sans-serif" w:hAnsi="Arial;sans-serif"/>
          <w:b w:val="false"/>
          <w:color w:val="000000"/>
          <w:sz w:val="21"/>
          <w:u w:val="single"/>
        </w:rPr>
        <w:t>Counterparts</w:t>
      </w:r>
      <w:r>
        <w:rPr>
          <w:rFonts w:ascii="Arial;sans-serif" w:hAnsi="Arial;sans-serif"/>
          <w:b w:val="false"/>
          <w:color w:val="000000"/>
          <w:sz w:val="21"/>
        </w:rPr>
        <w:t>. This Agreement may be executed in two or more counterparts, each of which shall be deemed an original, but all of which shall constitute one and the same instrument.</w:t>
      </w:r>
    </w:p>
    <w:p>
      <w:pPr>
        <w:pStyle w:val="TextBody"/>
        <w:bidi w:val="0"/>
        <w:spacing w:lineRule="auto" w:line="288" w:before="0" w:after="240"/>
        <w:ind w:left="0" w:right="0" w:firstLine="1440"/>
        <w:jc w:val="both"/>
        <w:rPr/>
      </w:pPr>
      <w:r>
        <w:rPr>
          <w:rFonts w:ascii="Arial;sans-serif" w:hAnsi="Arial;sans-serif"/>
          <w:b w:val="false"/>
          <w:color w:val="000000"/>
          <w:sz w:val="21"/>
        </w:rPr>
        <w:t>15.</w:t>
      </w:r>
      <w:r>
        <w:rPr>
          <w:rFonts w:ascii="Arial;sans-serif" w:hAnsi="Arial;sans-serif"/>
          <w:b w:val="false"/>
          <w:color w:val="000000"/>
          <w:sz w:val="21"/>
          <w:u w:val="single"/>
        </w:rPr>
        <w:t>Governing Law</w:t>
      </w:r>
      <w:r>
        <w:rPr>
          <w:rFonts w:ascii="Arial;sans-serif" w:hAnsi="Arial;sans-serif"/>
          <w:b w:val="false"/>
          <w:color w:val="000000"/>
          <w:sz w:val="21"/>
        </w:rPr>
        <w:t>. This Agreement shall be governed by and construed and enforced in accordance with the laws of the State of New York, without regard to the provisions governing conflict of laws.</w:t>
      </w:r>
    </w:p>
    <w:p>
      <w:pPr>
        <w:pStyle w:val="TextBody"/>
        <w:bidi w:val="0"/>
        <w:spacing w:lineRule="auto" w:line="288" w:before="0" w:after="240"/>
        <w:ind w:left="0" w:right="0" w:firstLine="1440"/>
        <w:jc w:val="both"/>
        <w:rPr/>
      </w:pPr>
      <w:r>
        <w:rPr>
          <w:rFonts w:ascii="Arial;sans-serif" w:hAnsi="Arial;sans-serif"/>
          <w:b w:val="false"/>
          <w:color w:val="000000"/>
          <w:sz w:val="21"/>
        </w:rPr>
        <w:t>16.</w:t>
      </w:r>
      <w:r>
        <w:rPr>
          <w:rFonts w:ascii="Arial;sans-serif" w:hAnsi="Arial;sans-serif"/>
          <w:b w:val="false"/>
          <w:color w:val="000000"/>
          <w:sz w:val="21"/>
          <w:u w:val="single"/>
        </w:rPr>
        <w:t>Forfeiture and Recapture</w:t>
      </w:r>
      <w:r>
        <w:rPr>
          <w:rFonts w:ascii="Arial;sans-serif" w:hAnsi="Arial;sans-serif"/>
          <w:b w:val="false"/>
          <w:color w:val="000000"/>
          <w:sz w:val="21"/>
        </w:rPr>
        <w:t>. The Performance RSUs and any dividend equivalents or other distributions paid with respect to the Performance RSUs will be subject to recoupment in accordance with any existing, new or amended clawback or recoupment policy, or any clawback or recoupment policy that the Company adopts from time to time, including any policy required to be adopted or amended pursuant to the listing standards of any national securities exchange or association on which the Company’s securities are listed or as is otherwise required by the Dodd-Frank Wall Street Reform and Consumer Protection Act or other applicable law.</w:t>
      </w:r>
    </w:p>
    <w:p>
      <w:pPr>
        <w:pStyle w:val="TextBody"/>
        <w:bidi w:val="0"/>
        <w:spacing w:lineRule="auto" w:line="288" w:before="0" w:after="240"/>
        <w:ind w:left="0" w:right="0" w:firstLine="1440"/>
        <w:jc w:val="both"/>
        <w:rPr/>
      </w:pPr>
      <w:r>
        <w:rPr>
          <w:rFonts w:ascii="Arial;sans-serif" w:hAnsi="Arial;sans-serif"/>
          <w:b w:val="false"/>
          <w:color w:val="000000"/>
          <w:sz w:val="21"/>
        </w:rPr>
        <w:t>17.</w:t>
      </w:r>
      <w:r>
        <w:rPr>
          <w:rFonts w:ascii="Arial;sans-serif" w:hAnsi="Arial;sans-serif"/>
          <w:b w:val="false"/>
          <w:color w:val="000000"/>
          <w:sz w:val="21"/>
          <w:u w:val="single"/>
        </w:rPr>
        <w:t>Grantee Acknowledgment</w:t>
      </w:r>
      <w:r>
        <w:rPr>
          <w:rFonts w:ascii="Arial;sans-serif" w:hAnsi="Arial;sans-serif"/>
          <w:b w:val="false"/>
          <w:color w:val="000000"/>
          <w:sz w:val="21"/>
        </w:rPr>
        <w:t>. The Grantee hereby acknowledges receipt of a copy of the Plan. The Grantee hereby acknowledges that all decisions, determinations and interpretations of the Administrator in respect of the Plan, this Agreement and the Performance RSUs shall be final and conclusive.</w:t>
      </w:r>
    </w:p>
    <w:p>
      <w:pPr>
        <w:pStyle w:val="TextBody"/>
        <w:bidi w:val="0"/>
        <w:spacing w:lineRule="auto" w:line="288" w:before="0" w:after="240"/>
        <w:ind w:left="0" w:right="0" w:firstLine="1440"/>
        <w:jc w:val="both"/>
        <w:rPr/>
      </w:pPr>
      <w:r>
        <w:rPr>
          <w:rFonts w:ascii="Arial;sans-serif" w:hAnsi="Arial;sans-serif"/>
          <w:b w:val="false"/>
          <w:color w:val="000000"/>
          <w:sz w:val="21"/>
        </w:rPr>
        <w:t>18.</w:t>
      </w:r>
      <w:r>
        <w:rPr>
          <w:rFonts w:ascii="Arial;sans-serif" w:hAnsi="Arial;sans-serif"/>
          <w:b w:val="false"/>
          <w:color w:val="000000"/>
          <w:sz w:val="21"/>
          <w:u w:val="single"/>
        </w:rPr>
        <w:t>Section 409A</w:t>
      </w:r>
      <w:r>
        <w:rPr>
          <w:rFonts w:ascii="Arial;sans-serif" w:hAnsi="Arial;sans-serif"/>
          <w:b w:val="false"/>
          <w:color w:val="000000"/>
          <w:sz w:val="21"/>
        </w:rPr>
        <w:t xml:space="preserve">. This Agreement and the Plan provisions that apply to the Performance RSUs are intended to either be exempt from or comply with Section 409A and shall be construed and administered in accordance with Section 409A. Notwithstanding any other provision of the Plan or this Agreement, payments provided under this Agreement may only be made upon an event and in a manner that complies with Section 409A or an applicable exemption. Any payments under this Agreement that may be excluded from Section 409A shall be excluded from Section 409A to the maximum extent possible. Notwithstanding the foregoing, the Company makes no representations that the payments and benefits provided under this Agreement comply with Section 409A, and in no event shall the Company or any of its subsidiaries or affiliates be liable for all or any portion of any taxes, penalties, interest or other expenses that may be incurred by the Grantee on account of non-compliance with Section 409A. In the event the Grantee is a “specified employee” as </w:t>
      </w:r>
    </w:p>
    <w:p>
      <w:pPr>
        <w:pStyle w:val="TextBody"/>
        <w:bidi w:val="0"/>
        <w:spacing w:before="0" w:after="0"/>
        <w:jc w:val="both"/>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153670"/>
                <wp:effectExtent l="0" t="0" r="0" b="0"/>
                <wp:wrapNone/>
                <wp:docPr id="177" name="Frame175"/>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307" w:before="0" w:after="0"/>
                              <w:jc w:val="center"/>
                              <w:rPr>
                                <w:rFonts w:ascii="Arial;sans-serif" w:hAnsi="Arial;sans-serif"/>
                                <w:b w:val="false"/>
                                <w:color w:val="000000"/>
                                <w:sz w:val="21"/>
                              </w:rPr>
                            </w:pPr>
                            <w:r>
                              <w:rPr>
                                <w:rFonts w:ascii="Arial;sans-serif" w:hAnsi="Arial;sans-serif"/>
                                <w:b w:val="false"/>
                                <w:color w:val="000000"/>
                                <w:sz w:val="21"/>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7" w:before="0" w:after="0"/>
                        <w:jc w:val="center"/>
                        <w:rPr>
                          <w:rFonts w:ascii="Arial;sans-serif" w:hAnsi="Arial;sans-serif"/>
                          <w:b w:val="false"/>
                          <w:color w:val="000000"/>
                          <w:sz w:val="21"/>
                        </w:rPr>
                      </w:pPr>
                      <w:r>
                        <w:rPr>
                          <w:rFonts w:ascii="Arial;sans-serif" w:hAnsi="Arial;sans-serif"/>
                          <w:b w:val="false"/>
                          <w:color w:val="000000"/>
                          <w:sz w:val="21"/>
                        </w:rPr>
                        <w:t>6</w:t>
                      </w:r>
                    </w:p>
                  </w:txbxContent>
                </v:textbox>
                <w10:wrap type="none"/>
              </v:rect>
            </w:pict>
          </mc:Fallback>
        </mc:AlternateContent>
      </w:r>
    </w:p>
    <w:p>
      <w:pPr>
        <w:pStyle w:val="TextBody"/>
        <w:bidi w:val="0"/>
        <w:spacing w:lineRule="auto" w:line="288" w:before="0" w:after="240"/>
        <w:jc w:val="both"/>
        <w:rPr>
          <w:rFonts w:ascii="Arial;sans-serif" w:hAnsi="Arial;sans-serif"/>
          <w:b w:val="false"/>
          <w:color w:val="000000"/>
          <w:sz w:val="21"/>
        </w:rPr>
      </w:pPr>
      <w:r>
        <w:rPr>
          <w:rFonts w:ascii="Arial;sans-serif" w:hAnsi="Arial;sans-serif"/>
          <w:b w:val="false"/>
          <w:color w:val="000000"/>
          <w:sz w:val="21"/>
        </w:rPr>
        <w:t>defined in Treasury Regulation Section 1.409A-1(i) and to the extent necessary under Section 409A, no payments in respect of any Performance RSU that are “deferred compensation” subject to Section 409A of the Code and which would otherwise be payable upon the Grantee’s “separation from service” (as defined in Section 409A) shall be payable or settled before the first day of the seventh month following your termination of employment. Following any applicable six-month delay, all such delayed payments will be paid in a single lump sum on the earliest date permitted under Section 409A that is also a business day.</w:t>
      </w:r>
    </w:p>
    <w:p>
      <w:pPr>
        <w:pStyle w:val="TextBody"/>
        <w:bidi w:val="0"/>
        <w:spacing w:lineRule="auto" w:line="288" w:before="0" w:after="240"/>
        <w:ind w:left="0" w:right="0" w:firstLine="1440"/>
        <w:jc w:val="both"/>
        <w:rPr/>
      </w:pPr>
      <w:r>
        <w:rPr>
          <w:rFonts w:ascii="Arial;sans-serif" w:hAnsi="Arial;sans-serif"/>
          <w:b w:val="false"/>
          <w:color w:val="000000"/>
          <w:sz w:val="21"/>
        </w:rPr>
        <w:t>19.</w:t>
      </w:r>
      <w:r>
        <w:rPr>
          <w:rFonts w:ascii="Arial;sans-serif" w:hAnsi="Arial;sans-serif"/>
          <w:b w:val="false"/>
          <w:color w:val="000000"/>
          <w:sz w:val="21"/>
          <w:u w:val="single"/>
        </w:rPr>
        <w:t>Notices</w:t>
      </w:r>
      <w:r>
        <w:rPr>
          <w:rFonts w:ascii="Arial;sans-serif" w:hAnsi="Arial;sans-serif"/>
          <w:b w:val="false"/>
          <w:color w:val="000000"/>
          <w:sz w:val="21"/>
        </w:rPr>
        <w:t>. Any notice hereunder by the Grantee shall be given to the Company in writing and such notice shall be deemed duly given only upon receipt thereof by the General Counsel of the Company, or the person acting in such capacity, at the Company’s principal executive offices. Any notice hereunder by the Company shall be given to the Grantee in writing at the most recent address as the Grantee may have on file with the Company.</w:t>
      </w:r>
    </w:p>
    <w:p>
      <w:pPr>
        <w:pStyle w:val="TextBody"/>
        <w:bidi w:val="0"/>
        <w:spacing w:lineRule="auto" w:line="288" w:before="0" w:after="240"/>
        <w:ind w:left="0" w:right="0" w:firstLine="1440"/>
        <w:jc w:val="both"/>
        <w:rPr/>
      </w:pPr>
      <w:r>
        <w:rPr>
          <w:rFonts w:ascii="Arial;sans-serif" w:hAnsi="Arial;sans-serif"/>
          <w:b w:val="false"/>
          <w:color w:val="000000"/>
          <w:sz w:val="21"/>
        </w:rPr>
        <w:t>20.</w:t>
      </w:r>
      <w:r>
        <w:rPr>
          <w:rFonts w:ascii="Arial;sans-serif" w:hAnsi="Arial;sans-serif"/>
          <w:b w:val="false"/>
          <w:color w:val="000000"/>
          <w:sz w:val="21"/>
          <w:u w:val="single"/>
        </w:rPr>
        <w:t>Electronic Delivery and Acceptance</w:t>
      </w:r>
      <w:r>
        <w:rPr>
          <w:rFonts w:ascii="Arial;sans-serif" w:hAnsi="Arial;sans-serif"/>
          <w:b w:val="false"/>
          <w:color w:val="000000"/>
          <w:sz w:val="21"/>
        </w:rPr>
        <w:t>. The Company may, in its sole discretion, decide to deliver any documents related to current or future participation in the Plan by electronic means. The Grantee hereby consents to receive such documents by electronic delivery and agrees to participate in the Plan through an on-line or electronic system established and maintained by the Company or a third party designated by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153670"/>
                <wp:effectExtent l="0" t="0" r="0" b="0"/>
                <wp:wrapNone/>
                <wp:docPr id="178" name="Frame176"/>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307" w:before="0" w:after="0"/>
                              <w:jc w:val="center"/>
                              <w:rPr>
                                <w:rFonts w:ascii="Arial;sans-serif" w:hAnsi="Arial;sans-serif"/>
                                <w:b w:val="false"/>
                                <w:color w:val="000000"/>
                                <w:sz w:val="21"/>
                              </w:rPr>
                            </w:pPr>
                            <w:r>
                              <w:rPr>
                                <w:rFonts w:ascii="Arial;sans-serif" w:hAnsi="Arial;sans-serif"/>
                                <w:b w:val="false"/>
                                <w:color w:val="000000"/>
                                <w:sz w:val="21"/>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07" w:before="0" w:after="0"/>
                        <w:jc w:val="center"/>
                        <w:rPr>
                          <w:rFonts w:ascii="Arial;sans-serif" w:hAnsi="Arial;sans-serif"/>
                          <w:b w:val="false"/>
                          <w:color w:val="000000"/>
                          <w:sz w:val="21"/>
                        </w:rPr>
                      </w:pPr>
                      <w:r>
                        <w:rPr>
                          <w:rFonts w:ascii="Arial;sans-serif" w:hAnsi="Arial;sans-serif"/>
                          <w:b w:val="false"/>
                          <w:color w:val="000000"/>
                          <w:sz w:val="21"/>
                        </w:rPr>
                        <w:t>7</w:t>
                      </w:r>
                    </w:p>
                  </w:txbxContent>
                </v:textbox>
                <w10:wrap type="none"/>
              </v:rect>
            </w:pict>
          </mc:Fallback>
        </mc:AlternateContent>
      </w:r>
    </w:p>
    <w:p>
      <w:pPr>
        <w:pStyle w:val="TextBody"/>
        <w:bidi w:val="0"/>
        <w:spacing w:lineRule="auto" w:line="307"/>
        <w:jc w:val="center"/>
        <w:rPr>
          <w:rFonts w:ascii="Arial;sans-serif" w:hAnsi="Arial;sans-serif"/>
          <w:b/>
          <w:color w:val="000000"/>
          <w:sz w:val="21"/>
        </w:rPr>
      </w:pPr>
      <w:r>
        <w:rPr>
          <w:rFonts w:ascii="Arial;sans-serif" w:hAnsi="Arial;sans-serif"/>
          <w:b/>
          <w:color w:val="000000"/>
          <w:sz w:val="21"/>
        </w:rPr>
        <w:t xml:space="preserve">EXHIBIT A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Exhibit 21.1</w:t>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175260"/>
                <wp:effectExtent l="0" t="0" r="0" b="0"/>
                <wp:wrapNone/>
                <wp:docPr id="179" name="Frame1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 xml:space="preserve">Subsidiaries of VICI Properties Inc. </w:t>
      </w:r>
    </w:p>
    <w:tbl>
      <w:tblPr>
        <w:tblW w:w="7542" w:type="dxa"/>
        <w:jc w:val="left"/>
        <w:tblInd w:w="0" w:type="dxa"/>
        <w:tblLayout w:type="fixed"/>
        <w:tblCellMar>
          <w:top w:w="28" w:type="dxa"/>
          <w:left w:w="28" w:type="dxa"/>
          <w:bottom w:w="28" w:type="dxa"/>
          <w:right w:w="28" w:type="dxa"/>
        </w:tblCellMar>
      </w:tblPr>
      <w:tblGrid>
        <w:gridCol w:w="1208"/>
        <w:gridCol w:w="1055"/>
        <w:gridCol w:w="1067"/>
        <w:gridCol w:w="109"/>
        <w:gridCol w:w="109"/>
        <w:gridCol w:w="109"/>
        <w:gridCol w:w="1138"/>
        <w:gridCol w:w="1138"/>
        <w:gridCol w:w="1609"/>
      </w:tblGrid>
      <w:tr>
        <w:trPr/>
        <w:tc>
          <w:tcPr>
            <w:tcW w:w="1208"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Name of Entity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State or Country of Incorporation or Organization</w:t>
            </w:r>
          </w:p>
        </w:tc>
      </w:tr>
      <w:tr>
        <w:trPr/>
        <w:tc>
          <w:tcPr>
            <w:tcW w:w="33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2474322 Alberta ULC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Alberta, Canada</w:t>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Biloxi Hammond,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Bluegrass Downs Property Owner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Caesars Atlantic City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Caesars Southern Indiana Propco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Cape G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Cascata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Centaur Propco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Chariot Run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Cincinnati Propco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Claudine Propco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Claudine Property Owner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Cleveland Propco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CPLV Property Owner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Expo Center Propco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Fitz Propco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Grand Bear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Grand Biloxi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Greektown Propco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GSCR Propco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Harrah’s Atlantic City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Harrah’s Bossier City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Louisiana</w:t>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Harrah’s Council Bluffs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Harrah’s Joliet LandCo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Harrah’s Lake Tahoe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Harrah’s Metropolis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Harrah’s New Orleans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Harrah’s Reno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Harvey’s Lake Tahoe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Horseshoe Bossier City Prop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Louisiana</w:t>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Horseshoe Council Bluffs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Horseshoe Tunica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Lady Luck C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Laughlin Propco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Mandalay Propco,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Mandalay Grand Holdco Venture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Margaritaville Propco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MGM Grand Propco,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MGM Springfield reDevelopment,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Massachusetts</w:t>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MGP Finance Co-Issuer,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MGP JV Investco 1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MGP JV Investco 2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MGP JV Investco 2.5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MGP Lessor,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MGP Lessor II,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MGP Lessor Holdings,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MGP Yonkers Realty Sub,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York</w:t>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Mirage Propco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175260"/>
                <wp:effectExtent l="0" t="0" r="0" b="0"/>
                <wp:wrapNone/>
                <wp:docPr id="180" name="Frame1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4947" w:type="dxa"/>
        <w:jc w:val="left"/>
        <w:tblInd w:w="0" w:type="dxa"/>
        <w:tblLayout w:type="fixed"/>
        <w:tblCellMar>
          <w:top w:w="28" w:type="dxa"/>
          <w:left w:w="28" w:type="dxa"/>
          <w:bottom w:w="28" w:type="dxa"/>
          <w:right w:w="28" w:type="dxa"/>
        </w:tblCellMar>
      </w:tblPr>
      <w:tblGrid>
        <w:gridCol w:w="1146"/>
        <w:gridCol w:w="1008"/>
        <w:gridCol w:w="1011"/>
        <w:gridCol w:w="109"/>
        <w:gridCol w:w="109"/>
        <w:gridCol w:w="109"/>
        <w:gridCol w:w="425"/>
        <w:gridCol w:w="425"/>
        <w:gridCol w:w="605"/>
      </w:tblGrid>
      <w:tr>
        <w:trPr/>
        <w:tc>
          <w:tcPr>
            <w:tcW w:w="1146"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Miscellaneous Land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Miscellaneous Venetian Propco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Mountaineer CRR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New Harrah’s North Kansas City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New Horseshoe Hammond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Laughlin Owner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New Tunica Roadhouse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Palazzo Propco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Philadelphia Propco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Propco Gulfport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Propco TRS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Pure CAN 1 LP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Pure CAN 2 LP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Pure CAN 3 LP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Pure CAN 4 LP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Pure CAN GP 1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Pure CAN GP 2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Pure CAN GP 3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Pure CAN GP 4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Pure CAN Holdco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Pure CAN Holdings GP 1 ULC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Alberta, Canada</w:t>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Pure CAN Holdings GP 2 ULC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Alberta, Canada</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Pure CAN Holdings GP 3 ULC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Alberta, Canada</w:t>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Pure CAN Holdings GP 4 ULC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Alberta, Canada</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Rio Secco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Riverview Properties 1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Rocky Gap Propco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Thistledown Propco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 Bowl Alexandria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 Bowl Appleton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 Bowl Auburn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 Bowl Brentwood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 Bowl Burke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 Bowl Columbia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 Bowl Commack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 Bowl Council Bluffs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 Bowl Crystal River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 Bowl Elkhorn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 Bowl Falls Church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 Bowl Findlay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 Bowl Gaithersburg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 Bowl Georgetown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 Bowl Jacksonville Mandarin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 Bowl Jacksonville Southridge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 Bowl Limerick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 Bowl Manassas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 Bowl Menasha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 Bowl Midlothian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 Bowl Milwaukee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 Bowl North Brunswick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175260"/>
                <wp:effectExtent l="0" t="0" r="0" b="0"/>
                <wp:wrapNone/>
                <wp:docPr id="181" name="Frame1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4556" w:type="dxa"/>
        <w:jc w:val="left"/>
        <w:tblInd w:w="0" w:type="dxa"/>
        <w:tblLayout w:type="fixed"/>
        <w:tblCellMar>
          <w:top w:w="28" w:type="dxa"/>
          <w:left w:w="28" w:type="dxa"/>
          <w:bottom w:w="28" w:type="dxa"/>
          <w:right w:w="28" w:type="dxa"/>
        </w:tblCellMar>
      </w:tblPr>
      <w:tblGrid>
        <w:gridCol w:w="1006"/>
        <w:gridCol w:w="883"/>
        <w:gridCol w:w="885"/>
        <w:gridCol w:w="109"/>
        <w:gridCol w:w="109"/>
        <w:gridCol w:w="109"/>
        <w:gridCol w:w="425"/>
        <w:gridCol w:w="425"/>
        <w:gridCol w:w="605"/>
      </w:tblGrid>
      <w:tr>
        <w:trPr/>
        <w:tc>
          <w:tcPr>
            <w:tcW w:w="1006"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 Bowl Norwalk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 Bowl Pleasant Hill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 Bowl Port St. Lucie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 Bowl Reading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 Bowl Roanoke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 Bowl Rocklin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 Bowl Rohnert Park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 Bowl San Antonio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 Bowl Sinking Spring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 Bowl Spring Hill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 Bowl St Paul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 Bowl Sterling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 Bowl Vacaville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 Bowl Wichita 13th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 Bowl Wichita Northridge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 Bowl Wichita Northrock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Vegas Development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Vegas Operating Property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Venetian Holdco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Venetian Propco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Venetian Venue Propco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VICI Baby REIT 1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VICI Baby REIT Sub I ULC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Alberta, Canada</w:t>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VICI Bowl Holdco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VICI CAN 1 LP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Alberta, Canada</w:t>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VICI CAN 2 LP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Alberta, Canada</w:t>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VICI CAN 3 LP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Alberta, Canada</w:t>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VICI CAN 4 LP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Alberta, Canada</w:t>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VICI CAN Agent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VICI CAN GP 1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VICI CAN GP 2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VICI CAN GP 3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VICI CAN GP 4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VICI CAN GP 1 ULC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Alberta, Canada</w:t>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VICI CAN GP 2 ULC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Alberta, Canada</w:t>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VICI CAN GP 3 ULC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Alberta, Canada</w:t>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VICI CAN GP 4 ULC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Alberta, Canada</w:t>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VICI CAN HoldCo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VICI CP Propco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VICI CR HoldCo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VICI Golf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VICI Greenfield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VICI Lendco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VICI Lendco UK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VICI Note Co.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VICI Properties 1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VICI Properties 2 GP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VICI Properties 2 L.P.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VICI Properties GP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VICI Properties Holdco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175260"/>
                <wp:effectExtent l="0" t="0" r="0" b="0"/>
                <wp:wrapNone/>
                <wp:docPr id="182" name="Frame1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790" w:type="dxa"/>
        <w:jc w:val="left"/>
        <w:tblInd w:w="0" w:type="dxa"/>
        <w:tblLayout w:type="fixed"/>
        <w:tblCellMar>
          <w:top w:w="28" w:type="dxa"/>
          <w:left w:w="28" w:type="dxa"/>
          <w:bottom w:w="28" w:type="dxa"/>
          <w:right w:w="28" w:type="dxa"/>
        </w:tblCellMar>
      </w:tblPr>
      <w:tblGrid>
        <w:gridCol w:w="906"/>
        <w:gridCol w:w="796"/>
        <w:gridCol w:w="802"/>
        <w:gridCol w:w="109"/>
        <w:gridCol w:w="109"/>
        <w:gridCol w:w="109"/>
        <w:gridCol w:w="280"/>
        <w:gridCol w:w="280"/>
        <w:gridCol w:w="399"/>
      </w:tblGrid>
      <w:tr>
        <w:trPr/>
        <w:tc>
          <w:tcPr>
            <w:tcW w:w="90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VICI Properties L.P.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VICI Properties OP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VICI Revolving Lendco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Waterview Propco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WWW Propco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YRL Associates, L.P.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York</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Exhibit 21.2</w:t>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175260"/>
                <wp:effectExtent l="0" t="0" r="0" b="0"/>
                <wp:wrapNone/>
                <wp:docPr id="183" name="Frame1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Subsidiaries of VICI Properties L.P.</w:t>
      </w:r>
    </w:p>
    <w:tbl>
      <w:tblPr>
        <w:tblW w:w="7542" w:type="dxa"/>
        <w:jc w:val="left"/>
        <w:tblInd w:w="0" w:type="dxa"/>
        <w:tblLayout w:type="fixed"/>
        <w:tblCellMar>
          <w:top w:w="28" w:type="dxa"/>
          <w:left w:w="28" w:type="dxa"/>
          <w:bottom w:w="28" w:type="dxa"/>
          <w:right w:w="28" w:type="dxa"/>
        </w:tblCellMar>
      </w:tblPr>
      <w:tblGrid>
        <w:gridCol w:w="1208"/>
        <w:gridCol w:w="1055"/>
        <w:gridCol w:w="1067"/>
        <w:gridCol w:w="109"/>
        <w:gridCol w:w="109"/>
        <w:gridCol w:w="109"/>
        <w:gridCol w:w="1138"/>
        <w:gridCol w:w="1138"/>
        <w:gridCol w:w="1609"/>
      </w:tblGrid>
      <w:tr>
        <w:trPr/>
        <w:tc>
          <w:tcPr>
            <w:tcW w:w="1208"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Name of Entity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State or Country of Incorporation or Organization</w:t>
            </w:r>
          </w:p>
        </w:tc>
      </w:tr>
      <w:tr>
        <w:trPr/>
        <w:tc>
          <w:tcPr>
            <w:tcW w:w="33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2474322 Alberta ULC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Alberta, Canada</w:t>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Biloxi Hammond,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Bluegrass Downs Property Owner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Caesars Atlantic City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Caesars Southern Indiana Propco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Cape G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Centaur Propco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Cincinnati Propco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Claudine Propco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Claudine Property Owner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Cleveland Propco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CPLV Property Owner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Expo Center Propco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Fitz Propco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Grand Biloxi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Greektown Propco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GSCR Propco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Harrah’s Atlantic City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Harrah’s Bossier City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Louisiana</w:t>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Harrah’s Council Bluffs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Harrah’s Joliet LandCo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Harrah’s Lake Tahoe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Harrah’s Metropolis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Harrah’s New Orleans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Harrah’s Reno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Harvey’s Lake Tahoe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Horseshoe Bossier City Prop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Louisiana</w:t>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Horseshoe Council Bluffs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Horseshoe Tunica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Lady Luck C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Laughlin Propco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Mandalay Propco,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Mandalay Grand Holdco Venture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Margaritaville Propco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MGM Grand Propco,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MGM Springfield reDevelopment,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Massachusetts</w:t>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MGP Finance Co-Issuer,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MGP JV Investco 1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MGP JV Investco 2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MGP JV Investco 2.5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MGP Lessor,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MGP Lessor II,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MGP Lessor Holdings,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MGP Yonkers Realty Sub,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York</w:t>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Mirage Propco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Miscellaneous Land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Miscellaneous Venetian Propco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Mountaineer CRR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175260"/>
                <wp:effectExtent l="0" t="0" r="0" b="0"/>
                <wp:wrapNone/>
                <wp:docPr id="184" name="Frame1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4947" w:type="dxa"/>
        <w:jc w:val="left"/>
        <w:tblInd w:w="0" w:type="dxa"/>
        <w:tblLayout w:type="fixed"/>
        <w:tblCellMar>
          <w:top w:w="28" w:type="dxa"/>
          <w:left w:w="28" w:type="dxa"/>
          <w:bottom w:w="28" w:type="dxa"/>
          <w:right w:w="28" w:type="dxa"/>
        </w:tblCellMar>
      </w:tblPr>
      <w:tblGrid>
        <w:gridCol w:w="1144"/>
        <w:gridCol w:w="1006"/>
        <w:gridCol w:w="1015"/>
        <w:gridCol w:w="109"/>
        <w:gridCol w:w="109"/>
        <w:gridCol w:w="109"/>
        <w:gridCol w:w="425"/>
        <w:gridCol w:w="425"/>
        <w:gridCol w:w="605"/>
      </w:tblGrid>
      <w:tr>
        <w:trPr/>
        <w:tc>
          <w:tcPr>
            <w:tcW w:w="1144"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New Harrah’s North Kansas City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New Horseshoe Hammond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Laughlin Owner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New Tunica Roadhouse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Palazzo Propco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Philadelphia Propco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Propco Gulfport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Propco TRS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Pure CAN 1 LP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Pure CAN 2 LP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Pure CAN 3 LP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Pure CAN 4 LP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Pure CAN GP 1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Pure CAN GP 2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Pure CAN GP 3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Pure CAN GP 4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Pure CAN Holdco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Pure CAN Holdings GP 1 ULC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Alberta, Canada</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Pure CAN Holdings GP 2 ULC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Alberta, Canada</w:t>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Pure CAN Holdings GP 3 ULC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Alberta, Canada</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Pure CAN Holdings GP 4 ULC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Alberta, Canada</w:t>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Riverview Properties 1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Rocky Gap Propco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Thistledown Propco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 Bowl Alexandria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 Bowl Appleton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 Bowl Auburn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 Bowl Brentwood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 Bowl Burke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 Bowl Columbia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 Bowl Commack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 Bowl Council Bluffs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 Bowl Crystal River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 Bowl Elkhorn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 Bowl Falls Church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 Bowl Findlay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 Bowl Gaithersburg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 Bowl Georgetown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 Bowl Jacksonville Mandarin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 Bowl Jacksonville Southridge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 Bowl Limerick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 Bowl Manassas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 Bowl Menasha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 Bowl Midlothian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 Bowl Milwaukee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 Bowl North Brunswick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 Bowl Norwalk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 Bowl Pleasant Hill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 Bowl Port St. Lucie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 Bowl Reading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175260"/>
                <wp:effectExtent l="0" t="0" r="0" b="0"/>
                <wp:wrapNone/>
                <wp:docPr id="185" name="Frame1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4557" w:type="dxa"/>
        <w:jc w:val="left"/>
        <w:tblInd w:w="0" w:type="dxa"/>
        <w:tblLayout w:type="fixed"/>
        <w:tblCellMar>
          <w:top w:w="28" w:type="dxa"/>
          <w:left w:w="28" w:type="dxa"/>
          <w:bottom w:w="28" w:type="dxa"/>
          <w:right w:w="28" w:type="dxa"/>
        </w:tblCellMar>
      </w:tblPr>
      <w:tblGrid>
        <w:gridCol w:w="1005"/>
        <w:gridCol w:w="883"/>
        <w:gridCol w:w="887"/>
        <w:gridCol w:w="109"/>
        <w:gridCol w:w="109"/>
        <w:gridCol w:w="109"/>
        <w:gridCol w:w="425"/>
        <w:gridCol w:w="425"/>
        <w:gridCol w:w="605"/>
      </w:tblGrid>
      <w:tr>
        <w:trPr/>
        <w:tc>
          <w:tcPr>
            <w:tcW w:w="1005"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 Bowl Roanoke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 Bowl Rocklin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 Bowl Rohnert Park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 Bowl San Antonio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 Bowl Sinking Spring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 Bowl Spring Hill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 Bowl St Paul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 Bowl Sterling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 Bowl Vacaville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 Bowl Wichita 13th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 Bowl Wichita Northridge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 Bowl Wichita Northrock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Vegas Development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Vegas Operating Property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Venetian Holdco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Venetian Propco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Venetian Venue Propco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VICI Baby REIT 1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VICI Baby REIT Sub I ULC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Alberta, Canada</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VICI Bowl Holdco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VICI CAN 1 LP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Alberta, Canada</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VICI CAN 2 LP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Alberta, Canada</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VICI CAN 3 LP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Alberta, Canada</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VICI CAN 4 LP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Alberta, Canada</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VICI CAN Agent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VICI CAN GP 1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VICI CAN GP 2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VICI CAN GP 3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VICI CAN GP 4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VICI CAN GP 1 ULC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Alberta, Canada</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VICI CAN GP 2 ULC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Alberta, Canada</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VICI CAN GP 3 ULC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Alberta, Canada</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VICI CAN GP 4 ULC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Alberta, Canada</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VICI CAN HoldCo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VICI CP Propco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VICI CR HoldCo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VICI Greenfield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VICI Lendco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VICI Lendco UK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VICI Note Co.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VICI Properties 1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VICI Properties 2 GP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VICI Properties 2 L.P.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VICI Revolving Lendco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Waterview Propco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WWW Propco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YRL Associates, L.P.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York</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175260"/>
                <wp:effectExtent l="0" t="0" r="0" b="0"/>
                <wp:wrapNone/>
                <wp:docPr id="186" name="Frame1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Exhibit 23.1</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CONSENT OF INDEPENDENT REGISTERED PUBLIC ACCOUNTING FIRM</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consent to the incorporation by reference in Registration Statement No. 333-264352 on Form S-3 and Registration Statement No. 333-220949 on Form S-8 of our reports dated February 22, 2024, relating to the financial statements of VICI Properties Inc. and the effectiveness of VICI Properties Inc.’s internal control over financial reporting appearing in this Annual Report on Form 10-K for the year ended December 31, 2023.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Deloitte &amp; Touche LLP</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New York, New York</w:t>
      </w:r>
    </w:p>
    <w:p>
      <w:pPr>
        <w:pStyle w:val="TextBody"/>
        <w:bidi w:val="0"/>
        <w:spacing w:lineRule="auto" w:line="288"/>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February 22, 2024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175260"/>
                <wp:effectExtent l="0" t="0" r="0" b="0"/>
                <wp:wrapNone/>
                <wp:docPr id="187" name="Frame1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Exhibit 23.2</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CONSENT OF INDEPENDENT REGISTERED PUBLIC ACCOUNTING FIRM</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consent to the incorporation by reference in Registration Statement No. 333-264352 on Form S-3 of our reports dated February 22, 2024, relating to the financial statements of VICI Properties L.P. and the effectiveness of VICI Properties L.P.’s internal control over financial reporting appearing in this Annual Report on Form 10-K for the year ended December 31, 2023.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Deloitte &amp; Touche LLP</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New York, New York</w:t>
      </w:r>
    </w:p>
    <w:p>
      <w:pPr>
        <w:pStyle w:val="TextBody"/>
        <w:bidi w:val="0"/>
        <w:spacing w:lineRule="auto" w:line="288"/>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February 22, 2024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Exhibit 31.1</w:t>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175260"/>
                <wp:effectExtent l="0" t="0" r="0" b="0"/>
                <wp:wrapNone/>
                <wp:docPr id="188" name="Frame1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180" w:after="283"/>
        <w:jc w:val="both"/>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 Edward B. Pitoniak, certify that: </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of VICI Properties Inc.;</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180" w:after="283"/>
        <w:jc w:val="left"/>
        <w:rPr/>
      </w:pPr>
      <w:r>
        <w:rPr/>
      </w:r>
    </w:p>
    <w:p>
      <w:pPr>
        <w:pStyle w:val="TextBody"/>
        <w:bidi w:val="0"/>
        <w:spacing w:lineRule="auto" w:line="288" w:before="180" w:after="283"/>
        <w:jc w:val="left"/>
        <w:rPr>
          <w:color w:val="000000"/>
        </w:rPr>
      </w:pPr>
      <w:r>
        <w:rPr>
          <w:color w:val="000000"/>
        </w:rPr>
        <w:t> </w:t>
      </w:r>
    </w:p>
    <w:tbl>
      <w:tblPr>
        <w:tblW w:w="4962" w:type="dxa"/>
        <w:jc w:val="center"/>
        <w:tblInd w:w="0" w:type="dxa"/>
        <w:tblLayout w:type="fixed"/>
        <w:tblCellMar>
          <w:top w:w="28" w:type="dxa"/>
          <w:left w:w="28" w:type="dxa"/>
          <w:bottom w:w="28" w:type="dxa"/>
          <w:right w:w="28" w:type="dxa"/>
        </w:tblCellMar>
      </w:tblPr>
      <w:tblGrid>
        <w:gridCol w:w="200"/>
        <w:gridCol w:w="177"/>
        <w:gridCol w:w="178"/>
        <w:gridCol w:w="529"/>
        <w:gridCol w:w="529"/>
        <w:gridCol w:w="531"/>
        <w:gridCol w:w="134"/>
        <w:gridCol w:w="134"/>
        <w:gridCol w:w="136"/>
        <w:gridCol w:w="706"/>
        <w:gridCol w:w="706"/>
        <w:gridCol w:w="1002"/>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22, 2024</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EDWARD B. PITONIAK</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Edward B. Pitoniak</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Chief Executive Officer</w:t>
            </w:r>
          </w:p>
        </w:tc>
      </w:tr>
    </w:tbl>
    <w:p>
      <w:pPr>
        <w:pStyle w:val="TextBody"/>
        <w:bidi w:val="0"/>
        <w:spacing w:before="180" w:after="283"/>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Exhibit 31.2</w:t>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289560"/>
                <wp:effectExtent l="0" t="0" r="0" b="0"/>
                <wp:wrapNone/>
                <wp:docPr id="189" name="Frame187"/>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before="18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jc w:val="both"/>
                        <w:rPr/>
                      </w:pPr>
                      <w:r>
                        <w:rPr/>
                      </w:r>
                    </w:p>
                  </w:txbxContent>
                </v:textbox>
                <w10:wrap type="none"/>
              </v:rect>
            </w:pict>
          </mc:Fallback>
        </mc:AlternateContent>
      </w:r>
    </w:p>
    <w:p>
      <w:pPr>
        <w:pStyle w:val="TextBody"/>
        <w:bidi w:val="0"/>
        <w:spacing w:before="180" w:after="283"/>
        <w:jc w:val="both"/>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 David Kieske, certify that: </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of VICI Properties Inc.;</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180" w:after="283"/>
        <w:jc w:val="left"/>
        <w:rPr/>
      </w:pPr>
      <w:r>
        <w:rPr/>
      </w:r>
    </w:p>
    <w:p>
      <w:pPr>
        <w:pStyle w:val="TextBody"/>
        <w:bidi w:val="0"/>
        <w:spacing w:lineRule="auto" w:line="288" w:before="180" w:after="283"/>
        <w:jc w:val="left"/>
        <w:rPr>
          <w:color w:val="000000"/>
        </w:rPr>
      </w:pPr>
      <w:r>
        <w:rPr>
          <w:color w:val="000000"/>
        </w:rPr>
        <w:t> </w:t>
      </w:r>
    </w:p>
    <w:tbl>
      <w:tblPr>
        <w:tblW w:w="4648" w:type="dxa"/>
        <w:jc w:val="center"/>
        <w:tblInd w:w="0" w:type="dxa"/>
        <w:tblLayout w:type="fixed"/>
        <w:tblCellMar>
          <w:top w:w="28" w:type="dxa"/>
          <w:left w:w="28" w:type="dxa"/>
          <w:bottom w:w="28" w:type="dxa"/>
          <w:right w:w="28" w:type="dxa"/>
        </w:tblCellMar>
      </w:tblPr>
      <w:tblGrid>
        <w:gridCol w:w="200"/>
        <w:gridCol w:w="177"/>
        <w:gridCol w:w="178"/>
        <w:gridCol w:w="529"/>
        <w:gridCol w:w="529"/>
        <w:gridCol w:w="531"/>
        <w:gridCol w:w="134"/>
        <w:gridCol w:w="134"/>
        <w:gridCol w:w="136"/>
        <w:gridCol w:w="615"/>
        <w:gridCol w:w="615"/>
        <w:gridCol w:w="870"/>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22, 2024</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1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DAVID A. KIESKE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David A. Kieske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Exhibit 31.3</w:t>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289560"/>
                <wp:effectExtent l="0" t="0" r="0" b="0"/>
                <wp:wrapNone/>
                <wp:docPr id="190" name="Frame188"/>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before="18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jc w:val="both"/>
                        <w:rPr/>
                      </w:pPr>
                      <w:r>
                        <w:rPr/>
                      </w:r>
                    </w:p>
                  </w:txbxContent>
                </v:textbox>
                <w10:wrap type="none"/>
              </v:rect>
            </w:pict>
          </mc:Fallback>
        </mc:AlternateContent>
      </w:r>
    </w:p>
    <w:p>
      <w:pPr>
        <w:pStyle w:val="TextBody"/>
        <w:bidi w:val="0"/>
        <w:spacing w:before="180" w:after="283"/>
        <w:jc w:val="both"/>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 Edward B. Pitoniak, certify that: </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of VICI Properties L.P.;</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180" w:after="283"/>
        <w:jc w:val="left"/>
        <w:rPr/>
      </w:pPr>
      <w:r>
        <w:rPr/>
      </w:r>
    </w:p>
    <w:p>
      <w:pPr>
        <w:pStyle w:val="TextBody"/>
        <w:bidi w:val="0"/>
        <w:spacing w:lineRule="auto" w:line="288" w:before="180" w:after="283"/>
        <w:jc w:val="left"/>
        <w:rPr>
          <w:color w:val="000000"/>
        </w:rPr>
      </w:pPr>
      <w:r>
        <w:rPr>
          <w:color w:val="000000"/>
        </w:rPr>
        <w:t> </w:t>
      </w:r>
    </w:p>
    <w:tbl>
      <w:tblPr>
        <w:tblW w:w="4962" w:type="dxa"/>
        <w:jc w:val="center"/>
        <w:tblInd w:w="0" w:type="dxa"/>
        <w:tblLayout w:type="fixed"/>
        <w:tblCellMar>
          <w:top w:w="28" w:type="dxa"/>
          <w:left w:w="28" w:type="dxa"/>
          <w:bottom w:w="28" w:type="dxa"/>
          <w:right w:w="28" w:type="dxa"/>
        </w:tblCellMar>
      </w:tblPr>
      <w:tblGrid>
        <w:gridCol w:w="200"/>
        <w:gridCol w:w="177"/>
        <w:gridCol w:w="178"/>
        <w:gridCol w:w="529"/>
        <w:gridCol w:w="529"/>
        <w:gridCol w:w="531"/>
        <w:gridCol w:w="134"/>
        <w:gridCol w:w="134"/>
        <w:gridCol w:w="136"/>
        <w:gridCol w:w="706"/>
        <w:gridCol w:w="706"/>
        <w:gridCol w:w="1002"/>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22, 2024</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EDWARD B. PITONIAK</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Edward B. Pitoniak</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Chief Executive Officer</w:t>
            </w:r>
          </w:p>
        </w:tc>
      </w:tr>
    </w:tbl>
    <w:p>
      <w:pPr>
        <w:pStyle w:val="TextBody"/>
        <w:bidi w:val="0"/>
        <w:spacing w:before="180" w:after="283"/>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Exhibit 31.4</w:t>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289560"/>
                <wp:effectExtent l="0" t="0" r="0" b="0"/>
                <wp:wrapNone/>
                <wp:docPr id="191" name="Frame189"/>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before="18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jc w:val="both"/>
                        <w:rPr/>
                      </w:pPr>
                      <w:r>
                        <w:rPr/>
                      </w:r>
                    </w:p>
                  </w:txbxContent>
                </v:textbox>
                <w10:wrap type="none"/>
              </v:rect>
            </w:pict>
          </mc:Fallback>
        </mc:AlternateContent>
      </w:r>
    </w:p>
    <w:p>
      <w:pPr>
        <w:pStyle w:val="TextBody"/>
        <w:bidi w:val="0"/>
        <w:spacing w:before="180" w:after="283"/>
        <w:jc w:val="both"/>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 David Kieske, certify that: </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of VICI Properties L.P.;</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180" w:after="283"/>
        <w:jc w:val="left"/>
        <w:rPr/>
      </w:pPr>
      <w:r>
        <w:rPr/>
      </w:r>
    </w:p>
    <w:p>
      <w:pPr>
        <w:pStyle w:val="TextBody"/>
        <w:bidi w:val="0"/>
        <w:spacing w:lineRule="auto" w:line="288" w:before="180" w:after="283"/>
        <w:jc w:val="left"/>
        <w:rPr>
          <w:color w:val="000000"/>
        </w:rPr>
      </w:pPr>
      <w:r>
        <w:rPr>
          <w:color w:val="000000"/>
        </w:rPr>
        <w:t> </w:t>
      </w:r>
    </w:p>
    <w:tbl>
      <w:tblPr>
        <w:tblW w:w="4648" w:type="dxa"/>
        <w:jc w:val="center"/>
        <w:tblInd w:w="0" w:type="dxa"/>
        <w:tblLayout w:type="fixed"/>
        <w:tblCellMar>
          <w:top w:w="28" w:type="dxa"/>
          <w:left w:w="28" w:type="dxa"/>
          <w:bottom w:w="28" w:type="dxa"/>
          <w:right w:w="28" w:type="dxa"/>
        </w:tblCellMar>
      </w:tblPr>
      <w:tblGrid>
        <w:gridCol w:w="200"/>
        <w:gridCol w:w="177"/>
        <w:gridCol w:w="178"/>
        <w:gridCol w:w="529"/>
        <w:gridCol w:w="529"/>
        <w:gridCol w:w="531"/>
        <w:gridCol w:w="134"/>
        <w:gridCol w:w="134"/>
        <w:gridCol w:w="136"/>
        <w:gridCol w:w="615"/>
        <w:gridCol w:w="615"/>
        <w:gridCol w:w="870"/>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22, 2024</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1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DAVID A. KIESKE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David A. Kieske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Exhibit 32.1</w:t>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289560"/>
                <wp:effectExtent l="0" t="0" r="0" b="0"/>
                <wp:wrapNone/>
                <wp:docPr id="192" name="Frame190"/>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before="18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jc w:val="both"/>
                        <w:rPr/>
                      </w:pPr>
                      <w:r>
                        <w:rPr/>
                      </w:r>
                    </w:p>
                  </w:txbxContent>
                </v:textbox>
                <w10:wrap type="none"/>
              </v:rect>
            </w:pict>
          </mc:Fallback>
        </mc:AlternateContent>
      </w:r>
    </w:p>
    <w:p>
      <w:pPr>
        <w:pStyle w:val="TextBody"/>
        <w:bidi w:val="0"/>
        <w:spacing w:before="180" w:after="283"/>
        <w:jc w:val="both"/>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Certification of Principal Executive Officer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18 U.S.C. § 1350, as created by Section 906 of the Sarbanes-Oxley Act of 2002, the undersigned officer of VICI Properties Inc. (the “Company”), hereby certifies, to such officer's knowledge, that: </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(i)the accompanying Annual Report on Form 10-K of the Company for the year ended December 31, 2023 (the “Report”) fully complies with the requirements of Section 13(a) or Section 15(d), as applicable, of the Securities Exchange Act of 1934, as amended; and </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(ii)the information contained in the Report fairly presents, in all material respects, the financial condition and results of operations of the Company. </w:t>
      </w:r>
    </w:p>
    <w:tbl>
      <w:tblPr>
        <w:tblW w:w="4962" w:type="dxa"/>
        <w:jc w:val="center"/>
        <w:tblInd w:w="0" w:type="dxa"/>
        <w:tblLayout w:type="fixed"/>
        <w:tblCellMar>
          <w:top w:w="28" w:type="dxa"/>
          <w:left w:w="28" w:type="dxa"/>
          <w:bottom w:w="28" w:type="dxa"/>
          <w:right w:w="28" w:type="dxa"/>
        </w:tblCellMar>
      </w:tblPr>
      <w:tblGrid>
        <w:gridCol w:w="200"/>
        <w:gridCol w:w="177"/>
        <w:gridCol w:w="178"/>
        <w:gridCol w:w="529"/>
        <w:gridCol w:w="529"/>
        <w:gridCol w:w="531"/>
        <w:gridCol w:w="134"/>
        <w:gridCol w:w="134"/>
        <w:gridCol w:w="136"/>
        <w:gridCol w:w="706"/>
        <w:gridCol w:w="706"/>
        <w:gridCol w:w="1002"/>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22, 2024</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EDWARD B. PITONIAK</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Edward B. Pitoniak</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Chief Executive Officer</w:t>
            </w:r>
          </w:p>
        </w:tc>
      </w:tr>
    </w:tbl>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 </w:t>
      </w:r>
    </w:p>
    <w:p>
      <w:pPr>
        <w:pStyle w:val="TextBody"/>
        <w:bidi w:val="0"/>
        <w:spacing w:before="180" w:after="283"/>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Exhibit 32.2</w:t>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289560"/>
                <wp:effectExtent l="0" t="0" r="0" b="0"/>
                <wp:wrapNone/>
                <wp:docPr id="193" name="Frame191"/>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before="18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jc w:val="both"/>
                        <w:rPr/>
                      </w:pPr>
                      <w:r>
                        <w:rPr/>
                      </w:r>
                    </w:p>
                  </w:txbxContent>
                </v:textbox>
                <w10:wrap type="none"/>
              </v:rect>
            </w:pict>
          </mc:Fallback>
        </mc:AlternateContent>
      </w:r>
    </w:p>
    <w:p>
      <w:pPr>
        <w:pStyle w:val="TextBody"/>
        <w:bidi w:val="0"/>
        <w:spacing w:before="180" w:after="283"/>
        <w:jc w:val="both"/>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Certification of Principal Financial Officer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18 U.S.C. § 1350, as created by Section 906 of the Sarbanes-Oxley Act of 2002, the undersigned officer of VICI Properties Inc. (the “Company”), hereby certifies, to such officer's knowledge, that: </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(i)the accompanying Annual Report on Form 10-K of the Company for the year ended December 31, 2023 (the “Report”) fully complies with the requirements of Section 13(a) or Section 15(d), as applicable, of the Securities Exchange Act of 1934, as amended; and</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(ii)the information contained in the Report fairly presents, in all material respects, the financial condition and results of operations of the Company. </w:t>
      </w:r>
    </w:p>
    <w:tbl>
      <w:tblPr>
        <w:tblW w:w="4648" w:type="dxa"/>
        <w:jc w:val="center"/>
        <w:tblInd w:w="0" w:type="dxa"/>
        <w:tblLayout w:type="fixed"/>
        <w:tblCellMar>
          <w:top w:w="28" w:type="dxa"/>
          <w:left w:w="28" w:type="dxa"/>
          <w:bottom w:w="28" w:type="dxa"/>
          <w:right w:w="28" w:type="dxa"/>
        </w:tblCellMar>
      </w:tblPr>
      <w:tblGrid>
        <w:gridCol w:w="200"/>
        <w:gridCol w:w="177"/>
        <w:gridCol w:w="178"/>
        <w:gridCol w:w="529"/>
        <w:gridCol w:w="529"/>
        <w:gridCol w:w="531"/>
        <w:gridCol w:w="134"/>
        <w:gridCol w:w="134"/>
        <w:gridCol w:w="136"/>
        <w:gridCol w:w="615"/>
        <w:gridCol w:w="615"/>
        <w:gridCol w:w="870"/>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22, 2024</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1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DAVID A. KIESKE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David A. Kieske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Chief Financial Officer</w:t>
            </w:r>
          </w:p>
        </w:tc>
      </w:tr>
    </w:tbl>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Exhibit 32.3</w:t>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289560"/>
                <wp:effectExtent l="0" t="0" r="0" b="0"/>
                <wp:wrapNone/>
                <wp:docPr id="194" name="Frame192"/>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before="18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jc w:val="both"/>
                        <w:rPr/>
                      </w:pPr>
                      <w:r>
                        <w:rPr/>
                      </w:r>
                    </w:p>
                  </w:txbxContent>
                </v:textbox>
                <w10:wrap type="none"/>
              </v:rect>
            </w:pict>
          </mc:Fallback>
        </mc:AlternateContent>
      </w:r>
    </w:p>
    <w:p>
      <w:pPr>
        <w:pStyle w:val="TextBody"/>
        <w:bidi w:val="0"/>
        <w:spacing w:before="180" w:after="283"/>
        <w:jc w:val="both"/>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Certification of Principal Executive Officer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18 U.S.C. § 1350, as created by Section 906 of the Sarbanes-Oxley Act of 2002, the undersigned officer of VICI Properties L.P. (the “Partnership”), hereby certifies, to such officer's knowledge, that: </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(i)the accompanying Annual Report on Form 10-K of the Partnership for the year ended December 31, 2023 (the “Report”) fully complies with the requirements of Section 13(a) or Section 15(d), as applicable, of the Securities Exchange Act of 1934, as amended; and </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(ii)the information contained in the Report fairly presents, in all material respects, the financial condition and results of operations of the Partnership. </w:t>
      </w:r>
    </w:p>
    <w:tbl>
      <w:tblPr>
        <w:tblW w:w="4962" w:type="dxa"/>
        <w:jc w:val="center"/>
        <w:tblInd w:w="0" w:type="dxa"/>
        <w:tblLayout w:type="fixed"/>
        <w:tblCellMar>
          <w:top w:w="28" w:type="dxa"/>
          <w:left w:w="28" w:type="dxa"/>
          <w:bottom w:w="28" w:type="dxa"/>
          <w:right w:w="28" w:type="dxa"/>
        </w:tblCellMar>
      </w:tblPr>
      <w:tblGrid>
        <w:gridCol w:w="200"/>
        <w:gridCol w:w="177"/>
        <w:gridCol w:w="178"/>
        <w:gridCol w:w="529"/>
        <w:gridCol w:w="529"/>
        <w:gridCol w:w="531"/>
        <w:gridCol w:w="134"/>
        <w:gridCol w:w="134"/>
        <w:gridCol w:w="136"/>
        <w:gridCol w:w="706"/>
        <w:gridCol w:w="706"/>
        <w:gridCol w:w="1002"/>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22, 2024</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EDWARD B. PITONIAK</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Edward B. Pitoniak</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Chief Executive Officer</w:t>
            </w:r>
          </w:p>
        </w:tc>
      </w:tr>
    </w:tbl>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foregoing certification is being furnished solely to accompany the Report pursuant to 18 U.S.C. § 1350, and is not being filed for purposes of Section 18 of the Securities Exchange Act of 1934, as amended, and is not to be incorporated by reference into any filing of the Partnership, whether made before or after the date hereof, regardless of any general incorporation language in such filing. </w:t>
      </w:r>
    </w:p>
    <w:p>
      <w:pPr>
        <w:pStyle w:val="TextBody"/>
        <w:bidi w:val="0"/>
        <w:spacing w:before="180" w:after="283"/>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Exhibit 32.4</w:t>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289560"/>
                <wp:effectExtent l="0" t="0" r="0" b="0"/>
                <wp:wrapNone/>
                <wp:docPr id="195" name="Frame193"/>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before="18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jc w:val="both"/>
                        <w:rPr/>
                      </w:pPr>
                      <w:r>
                        <w:rPr/>
                      </w:r>
                    </w:p>
                  </w:txbxContent>
                </v:textbox>
                <w10:wrap type="none"/>
              </v:rect>
            </w:pict>
          </mc:Fallback>
        </mc:AlternateContent>
      </w:r>
    </w:p>
    <w:p>
      <w:pPr>
        <w:pStyle w:val="TextBody"/>
        <w:bidi w:val="0"/>
        <w:spacing w:before="180" w:after="283"/>
        <w:jc w:val="both"/>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Certification of Principal Financial Officer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18 U.S.C. § 1350, as created by Section 906 of the Sarbanes-Oxley Act of 2002, the undersigned officer of VICI Properties L.P. (the “Partnership”), hereby certifies, to such officer's knowledge, that: </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(i)the accompanying Annual Report on Form 10-K of the Partnership for the year ended December 31, 2023 (the “Report”) fully complies with the requirements of Section 13(a) or Section 15(d), as applicable, of the Securities Exchange Act of 1934, as amended; and</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(ii)the information contained in the Report fairly presents, in all material respects, the financial condition and results of operations of the Partnership. </w:t>
      </w:r>
    </w:p>
    <w:tbl>
      <w:tblPr>
        <w:tblW w:w="4648" w:type="dxa"/>
        <w:jc w:val="center"/>
        <w:tblInd w:w="0" w:type="dxa"/>
        <w:tblLayout w:type="fixed"/>
        <w:tblCellMar>
          <w:top w:w="28" w:type="dxa"/>
          <w:left w:w="28" w:type="dxa"/>
          <w:bottom w:w="28" w:type="dxa"/>
          <w:right w:w="28" w:type="dxa"/>
        </w:tblCellMar>
      </w:tblPr>
      <w:tblGrid>
        <w:gridCol w:w="200"/>
        <w:gridCol w:w="177"/>
        <w:gridCol w:w="178"/>
        <w:gridCol w:w="529"/>
        <w:gridCol w:w="529"/>
        <w:gridCol w:w="531"/>
        <w:gridCol w:w="134"/>
        <w:gridCol w:w="134"/>
        <w:gridCol w:w="136"/>
        <w:gridCol w:w="615"/>
        <w:gridCol w:w="615"/>
        <w:gridCol w:w="870"/>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22, 2024</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1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DAVID A. KIESKE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David A. Kieske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Chief Financial Officer</w:t>
            </w:r>
          </w:p>
        </w:tc>
      </w:tr>
    </w:tbl>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foregoing certification is being furnished solely to accompany the Report pursuant to 18 U.S.C. § 1350, and is not being filed for purposes of Section 18 of the Securities Exchange Act of 1934, as amended, and is not to be incorporated by reference into any filing of the Partnership, whether made before or after the date hereof, regardless of any general incorporation language in such filing.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Calibri;sans-serif" w:hAnsi="Calibri;sans-serif"/>
          <w:b/>
          <w:color w:val="000000"/>
          <w:sz w:val="22"/>
        </w:rPr>
      </w:pPr>
      <w:r>
        <w:rPr>
          <w:rFonts w:ascii="Calibri;sans-serif" w:hAnsi="Calibri;sans-serif"/>
          <w:b/>
          <w:color w:val="000000"/>
          <w:sz w:val="22"/>
        </w:rPr>
        <w:t>Exhibit 97.1</w:t>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289560"/>
                <wp:effectExtent l="0" t="0" r="0" b="0"/>
                <wp:wrapNone/>
                <wp:docPr id="196" name="Frame194"/>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before="18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428.4pt;mso-position-horizontal:left;mso-position-horizontal-relative:text">
                <v:textbox>
                  <w:txbxContent>
                    <w:p>
                      <w:pPr>
                        <w:pStyle w:val="TextBody"/>
                        <w:bidi w:val="0"/>
                        <w:spacing w:before="180" w:after="283"/>
                        <w:jc w:val="both"/>
                        <w:rPr/>
                      </w:pPr>
                      <w:r>
                        <w:rPr/>
                      </w:r>
                    </w:p>
                  </w:txbxContent>
                </v:textbox>
                <w10:wrap type="none"/>
              </v:rect>
            </w:pict>
          </mc:Fallback>
        </mc:AlternateContent>
      </w:r>
    </w:p>
    <w:p>
      <w:pPr>
        <w:pStyle w:val="TextBody"/>
        <w:bidi w:val="0"/>
        <w:spacing w:lineRule="auto" w:line="288" w:before="0" w:after="0"/>
        <w:jc w:val="center"/>
        <w:rPr>
          <w:rFonts w:ascii="Calibri;sans-serif" w:hAnsi="Calibri;sans-serif"/>
          <w:b/>
          <w:color w:val="000000"/>
          <w:sz w:val="24"/>
        </w:rPr>
      </w:pPr>
      <w:r>
        <w:rPr>
          <w:rFonts w:ascii="Calibri;sans-serif" w:hAnsi="Calibri;sans-serif"/>
          <w:b/>
          <w:color w:val="000000"/>
          <w:sz w:val="24"/>
        </w:rPr>
        <w:t>VICI Properties Inc. - Incentive Compensation Clawback Policy</w:t>
      </w:r>
    </w:p>
    <w:p>
      <w:pPr>
        <w:pStyle w:val="TextBody"/>
        <w:bidi w:val="0"/>
        <w:spacing w:before="0" w:after="0"/>
        <w:jc w:val="left"/>
        <w:rPr/>
      </w:pPr>
      <w:r>
        <w:rPr/>
      </w:r>
    </w:p>
    <w:p>
      <w:pPr>
        <w:pStyle w:val="TextBody"/>
        <w:bidi w:val="0"/>
        <w:spacing w:lineRule="auto" w:line="288" w:before="0" w:after="0"/>
        <w:ind w:left="0" w:right="0" w:hanging="720"/>
        <w:jc w:val="left"/>
        <w:rPr>
          <w:rFonts w:ascii="Calibri;sans-serif" w:hAnsi="Calibri;sans-serif"/>
          <w:b/>
          <w:color w:val="000000"/>
          <w:sz w:val="22"/>
        </w:rPr>
      </w:pPr>
      <w:r>
        <w:rPr>
          <w:rFonts w:ascii="Calibri;sans-serif" w:hAnsi="Calibri;sans-serif"/>
          <w:b/>
          <w:color w:val="000000"/>
          <w:sz w:val="22"/>
        </w:rPr>
        <w:t>I.Introduction</w:t>
      </w:r>
    </w:p>
    <w:p>
      <w:pPr>
        <w:pStyle w:val="TextBody"/>
        <w:bidi w:val="0"/>
        <w:spacing w:lineRule="auto" w:line="288" w:before="240" w:after="283"/>
        <w:jc w:val="both"/>
        <w:rPr/>
      </w:pPr>
      <w:r>
        <w:rPr>
          <w:rFonts w:ascii="Calibri;sans-serif" w:hAnsi="Calibri;sans-serif"/>
          <w:b w:val="false"/>
          <w:color w:val="000000"/>
          <w:sz w:val="22"/>
        </w:rPr>
        <w:t>The Board of Directors (the “</w:t>
      </w:r>
      <w:r>
        <w:rPr>
          <w:rFonts w:ascii="Calibri;sans-serif" w:hAnsi="Calibri;sans-serif"/>
          <w:b/>
          <w:color w:val="000000"/>
          <w:sz w:val="22"/>
        </w:rPr>
        <w:t>Board</w:t>
      </w:r>
      <w:r>
        <w:rPr>
          <w:color w:val="000000"/>
        </w:rPr>
        <w:t>”</w:t>
      </w:r>
      <w:r>
        <w:rPr>
          <w:rFonts w:ascii="Calibri;sans-serif" w:hAnsi="Calibri;sans-serif"/>
          <w:b w:val="false"/>
          <w:color w:val="000000"/>
          <w:sz w:val="22"/>
        </w:rPr>
        <w:t>) of VICI Properties Inc. (the “</w:t>
      </w:r>
      <w:r>
        <w:rPr>
          <w:rFonts w:ascii="Calibri;sans-serif" w:hAnsi="Calibri;sans-serif"/>
          <w:b/>
          <w:color w:val="000000"/>
          <w:sz w:val="22"/>
        </w:rPr>
        <w:t>Company</w:t>
      </w:r>
      <w:r>
        <w:rPr>
          <w:color w:val="000000"/>
        </w:rPr>
        <w:t>”</w:t>
      </w:r>
      <w:r>
        <w:rPr>
          <w:rFonts w:ascii="Calibri;sans-serif" w:hAnsi="Calibri;sans-serif"/>
          <w:b w:val="false"/>
          <w:color w:val="000000"/>
          <w:sz w:val="22"/>
        </w:rPr>
        <w:t>) believes that it is in the best interests of the Company and its stockholders to create and maintain a culture that emphasizes accountability. The Board has therefore adopted this Incentive Compensation Clawback Policy (the “</w:t>
      </w:r>
      <w:r>
        <w:rPr>
          <w:rFonts w:ascii="Calibri;sans-serif" w:hAnsi="Calibri;sans-serif"/>
          <w:b/>
          <w:color w:val="000000"/>
          <w:sz w:val="22"/>
        </w:rPr>
        <w:t>Policy</w:t>
      </w:r>
      <w:r>
        <w:rPr>
          <w:color w:val="000000"/>
        </w:rPr>
        <w:t>”</w:t>
      </w:r>
      <w:r>
        <w:rPr>
          <w:rFonts w:ascii="Calibri;sans-serif" w:hAnsi="Calibri;sans-serif"/>
          <w:b w:val="false"/>
          <w:color w:val="000000"/>
          <w:sz w:val="22"/>
        </w:rPr>
        <w:t>), which will apply to all Incentive Compensation received during the Recoupment Period by a person (a) after beginning service as a Covered Executive, (b) who served as a Covered Executive at any time during the performance period for that Incentive Compensation, and (c) while the Company has a class of securities listed on the New York Stock Exchange (“</w:t>
      </w:r>
      <w:r>
        <w:rPr>
          <w:rFonts w:ascii="Calibri;sans-serif" w:hAnsi="Calibri;sans-serif"/>
          <w:b/>
          <w:color w:val="000000"/>
          <w:sz w:val="22"/>
        </w:rPr>
        <w:t>NYSE</w:t>
      </w:r>
      <w:r>
        <w:rPr>
          <w:color w:val="000000"/>
        </w:rPr>
        <w:t>”</w:t>
      </w:r>
      <w:r>
        <w:rPr>
          <w:rFonts w:ascii="Calibri;sans-serif" w:hAnsi="Calibri;sans-serif"/>
          <w:b w:val="false"/>
          <w:color w:val="000000"/>
          <w:sz w:val="22"/>
        </w:rPr>
        <w:t>) or another national securities exchange or a national securities association. Accordingly, this Policy may apply to a person that is no longer a Covered Executive at the time of recovery.</w:t>
      </w:r>
    </w:p>
    <w:p>
      <w:pPr>
        <w:pStyle w:val="TextBody"/>
        <w:bidi w:val="0"/>
        <w:spacing w:lineRule="auto" w:line="288" w:before="240" w:after="283"/>
        <w:jc w:val="both"/>
        <w:rPr>
          <w:rFonts w:ascii="Calibri;sans-serif" w:hAnsi="Calibri;sans-serif"/>
          <w:b w:val="false"/>
          <w:color w:val="000000"/>
          <w:sz w:val="22"/>
        </w:rPr>
      </w:pPr>
      <w:r>
        <w:rPr>
          <w:rFonts w:ascii="Calibri;sans-serif" w:hAnsi="Calibri;sans-serif"/>
          <w:b w:val="false"/>
          <w:color w:val="000000"/>
          <w:sz w:val="22"/>
        </w:rPr>
        <w:t>This Policy shall apply to any Incentive Compensation received on or after October 2, 2023. Incentive Compensation is deemed “received” for purposes of this Policy in the fiscal period during which the measure specified in the Incentive Compensation award is attained, even if the payment or issuance of such Incentive Compensation occurs after the end of that period. For example, if the performance target for an award is based on total stockholder return for the three-year period ended December 31, 2023, the award will be deemed to have been received in 2023 even if paid in 2024.</w:t>
      </w:r>
    </w:p>
    <w:p>
      <w:pPr>
        <w:pStyle w:val="TextBody"/>
        <w:bidi w:val="0"/>
        <w:spacing w:lineRule="auto" w:line="288" w:before="240" w:after="240"/>
        <w:jc w:val="both"/>
        <w:rPr/>
      </w:pPr>
      <w:r>
        <w:rPr>
          <w:rFonts w:ascii="Calibri;sans-serif" w:hAnsi="Calibri;sans-serif"/>
          <w:b w:val="false"/>
          <w:color w:val="000000"/>
          <w:sz w:val="22"/>
        </w:rPr>
        <w:t xml:space="preserve">Capitalized terms used in this Policy, but not otherwise defined herein, shall have the meanings ascribed thereto in </w:t>
      </w:r>
      <w:r>
        <w:rPr>
          <w:rFonts w:ascii="Calibri;sans-serif" w:hAnsi="Calibri;sans-serif"/>
          <w:b w:val="false"/>
          <w:color w:val="000000"/>
          <w:sz w:val="22"/>
          <w:u w:val="single"/>
        </w:rPr>
        <w:t>Annex A</w:t>
      </w:r>
      <w:r>
        <w:rPr>
          <w:rFonts w:ascii="Calibri;sans-serif" w:hAnsi="Calibri;sans-serif"/>
          <w:b w:val="false"/>
          <w:color w:val="000000"/>
          <w:sz w:val="22"/>
        </w:rPr>
        <w:t>.</w:t>
      </w:r>
    </w:p>
    <w:p>
      <w:pPr>
        <w:pStyle w:val="TextBody"/>
        <w:bidi w:val="0"/>
        <w:spacing w:lineRule="auto" w:line="288" w:before="240" w:after="240"/>
        <w:ind w:left="0" w:right="0" w:hanging="720"/>
        <w:jc w:val="both"/>
        <w:rPr>
          <w:rFonts w:ascii="Calibri;sans-serif" w:hAnsi="Calibri;sans-serif"/>
          <w:b/>
          <w:color w:val="000000"/>
          <w:sz w:val="22"/>
        </w:rPr>
      </w:pPr>
      <w:r>
        <w:rPr>
          <w:rFonts w:ascii="Calibri;sans-serif" w:hAnsi="Calibri;sans-serif"/>
          <w:b/>
          <w:color w:val="000000"/>
          <w:sz w:val="22"/>
        </w:rPr>
        <w:t>II.Administration</w:t>
      </w:r>
    </w:p>
    <w:p>
      <w:pPr>
        <w:pStyle w:val="TextBody"/>
        <w:bidi w:val="0"/>
        <w:spacing w:lineRule="auto" w:line="288" w:before="240" w:after="120"/>
        <w:jc w:val="both"/>
        <w:rPr/>
      </w:pPr>
      <w:r>
        <w:rPr>
          <w:rFonts w:ascii="Calibri;sans-serif" w:hAnsi="Calibri;sans-serif"/>
          <w:b w:val="false"/>
          <w:color w:val="000000"/>
          <w:sz w:val="22"/>
        </w:rPr>
        <w:t>This Policy is intended to comply with the listing requirements of the NYSE and related U.S. Securities and Exchange Commission (“</w:t>
      </w:r>
      <w:r>
        <w:rPr>
          <w:rFonts w:ascii="Calibri;sans-serif" w:hAnsi="Calibri;sans-serif"/>
          <w:b/>
          <w:color w:val="000000"/>
          <w:sz w:val="22"/>
        </w:rPr>
        <w:t>SEC</w:t>
      </w:r>
      <w:r>
        <w:rPr>
          <w:color w:val="000000"/>
        </w:rPr>
        <w:t>”</w:t>
      </w:r>
      <w:r>
        <w:rPr>
          <w:rFonts w:ascii="Calibri;sans-serif" w:hAnsi="Calibri;sans-serif"/>
          <w:b w:val="false"/>
          <w:color w:val="000000"/>
          <w:sz w:val="22"/>
        </w:rPr>
        <w:t xml:space="preserve">) rules and shall be interpreted in a manner consistent with those requirements. Unless otherwise directed by the Board, this Policy shall be administered by the Compensation Committee, which shall be responsible for interpreting the Policy, enforcing the Policy and for making all determinations necessary, appropriate or advisable for the administration of the Policy. The Compensation Committee's determinations under this Policy shall be final and binding on all persons and shall be given the maximum deference permitted by law. </w:t>
      </w:r>
    </w:p>
    <w:p>
      <w:pPr>
        <w:pStyle w:val="TextBody"/>
        <w:bidi w:val="0"/>
        <w:spacing w:lineRule="auto" w:line="288" w:before="120" w:after="240"/>
        <w:jc w:val="both"/>
        <w:rPr>
          <w:rFonts w:ascii="Calibri;sans-serif" w:hAnsi="Calibri;sans-serif"/>
          <w:b w:val="false"/>
          <w:color w:val="000000"/>
          <w:sz w:val="22"/>
        </w:rPr>
      </w:pPr>
      <w:r>
        <w:rPr>
          <w:rFonts w:ascii="Calibri;sans-serif" w:hAnsi="Calibri;sans-serif"/>
          <w:b w:val="false"/>
          <w:color w:val="000000"/>
          <w:sz w:val="22"/>
        </w:rPr>
        <w:t xml:space="preserve">The Compensation Committee may amend this Policy from time to time in its discretion and shall amend this Policy as it deems necessary, including as and when it determines that it is legally required by any federal securities laws, SEC rules or the rules of any national securities exchange on which the Company’s securities are listed. The Compensation Committee may terminate this Policy at any time. </w:t>
      </w:r>
    </w:p>
    <w:p>
      <w:pPr>
        <w:pStyle w:val="TextBody"/>
        <w:bidi w:val="0"/>
        <w:spacing w:lineRule="auto" w:line="288" w:before="120" w:after="240"/>
        <w:ind w:left="0" w:right="0" w:hanging="720"/>
        <w:jc w:val="both"/>
        <w:rPr>
          <w:rFonts w:ascii="Calibri;sans-serif" w:hAnsi="Calibri;sans-serif"/>
          <w:b/>
          <w:color w:val="000000"/>
          <w:sz w:val="22"/>
        </w:rPr>
      </w:pPr>
      <w:r>
        <w:rPr>
          <w:rFonts w:ascii="Calibri;sans-serif" w:hAnsi="Calibri;sans-serif"/>
          <w:b/>
          <w:color w:val="000000"/>
          <w:sz w:val="22"/>
        </w:rPr>
        <w:t>III.Mandatory Recovery of Incentive Compensation</w:t>
      </w:r>
    </w:p>
    <w:p>
      <w:pPr>
        <w:pStyle w:val="TextBody"/>
        <w:bidi w:val="0"/>
        <w:spacing w:lineRule="auto" w:line="288" w:before="240" w:after="120"/>
        <w:jc w:val="both"/>
        <w:rPr>
          <w:rFonts w:ascii="Calibri;sans-serif" w:hAnsi="Calibri;sans-serif"/>
          <w:b w:val="false"/>
          <w:color w:val="000000"/>
          <w:sz w:val="22"/>
        </w:rPr>
      </w:pPr>
      <w:r>
        <w:rPr>
          <w:rFonts w:ascii="Calibri;sans-serif" w:hAnsi="Calibri;sans-serif"/>
          <w:b w:val="false"/>
          <w:color w:val="000000"/>
          <w:sz w:val="22"/>
        </w:rPr>
        <w:t>Subject to the exceptions set forth below, following an Accounting Restatement, the Company shall recover reasonably promptly the Erroneously Awarded Compensation received by a Covered Executive during the Recoupment Period.</w:t>
      </w:r>
    </w:p>
    <w:p>
      <w:pPr>
        <w:pStyle w:val="TextBody"/>
        <w:bidi w:val="0"/>
        <w:spacing w:lineRule="auto" w:line="288" w:before="120" w:after="120"/>
        <w:jc w:val="both"/>
        <w:rPr>
          <w:rFonts w:ascii="Calibri;sans-serif" w:hAnsi="Calibri;sans-serif"/>
          <w:b w:val="false"/>
          <w:color w:val="000000"/>
          <w:sz w:val="22"/>
        </w:rPr>
      </w:pPr>
      <w:r>
        <w:rPr>
          <w:rFonts w:ascii="Calibri;sans-serif" w:hAnsi="Calibri;sans-serif"/>
          <w:b w:val="false"/>
          <w:color w:val="000000"/>
          <w:sz w:val="22"/>
        </w:rPr>
        <w:t xml:space="preserve">For Incentive Compensation based on the Company’s stock price or total shareholder return where the amount of Erroneously Awarded Compensation is not subject to mathematical recalculation directly from the information in an Accounting Restatement, the Compensation Committee shall determine the amount of Erroneously Awarded Compensation based on a reasonable estimate of the effect of the Accounting Restatement on the stock price or total shareholder return upon which the Incentive </w:t>
      </w:r>
    </w:p>
    <w:p>
      <w:pPr>
        <w:pStyle w:val="TextBody"/>
        <w:bidi w:val="0"/>
        <w:spacing w:before="0" w:after="0"/>
        <w:jc w:val="left"/>
        <w:rPr/>
      </w:pPr>
      <w:r>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175260"/>
                <wp:effectExtent l="0" t="0" r="0" b="0"/>
                <wp:wrapNone/>
                <wp:docPr id="197" name="Frame1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jc w:val="both"/>
        <w:rPr>
          <w:rFonts w:ascii="Calibri;sans-serif" w:hAnsi="Calibri;sans-serif"/>
          <w:b w:val="false"/>
          <w:color w:val="000000"/>
          <w:sz w:val="22"/>
        </w:rPr>
      </w:pPr>
      <w:r>
        <w:rPr>
          <w:rFonts w:ascii="Calibri;sans-serif" w:hAnsi="Calibri;sans-serif"/>
          <w:b w:val="false"/>
          <w:color w:val="000000"/>
          <w:sz w:val="22"/>
        </w:rPr>
        <w:t>Compensation was received, and shall maintain documentation of such determination and provide such documentation to the NYSE.</w:t>
      </w:r>
    </w:p>
    <w:p>
      <w:pPr>
        <w:pStyle w:val="TextBody"/>
        <w:bidi w:val="0"/>
        <w:spacing w:lineRule="auto" w:line="288" w:before="120" w:after="240"/>
        <w:jc w:val="both"/>
        <w:rPr>
          <w:rFonts w:ascii="Calibri;sans-serif" w:hAnsi="Calibri;sans-serif"/>
          <w:b w:val="false"/>
          <w:color w:val="000000"/>
          <w:sz w:val="22"/>
        </w:rPr>
      </w:pPr>
      <w:r>
        <w:rPr>
          <w:rFonts w:ascii="Calibri;sans-serif" w:hAnsi="Calibri;sans-serif"/>
          <w:b w:val="false"/>
          <w:color w:val="000000"/>
          <w:sz w:val="22"/>
        </w:rPr>
        <w:t>To the extent that a Covered Executive fails to repay all Erroneously Awarded Compensation to the Company when due, the Company shall take all actions reasonable and appropriate to recover such Erroneously Awarded Compensation from the applicable Covered Executive.</w:t>
      </w:r>
    </w:p>
    <w:p>
      <w:pPr>
        <w:pStyle w:val="TextBody"/>
        <w:bidi w:val="0"/>
        <w:spacing w:lineRule="auto" w:line="288" w:before="120" w:after="240"/>
        <w:ind w:left="0" w:right="0" w:hanging="720"/>
        <w:jc w:val="both"/>
        <w:rPr>
          <w:rFonts w:ascii="Calibri;sans-serif" w:hAnsi="Calibri;sans-serif"/>
          <w:b/>
          <w:color w:val="000000"/>
          <w:sz w:val="22"/>
        </w:rPr>
      </w:pPr>
      <w:r>
        <w:rPr>
          <w:rFonts w:ascii="Calibri;sans-serif" w:hAnsi="Calibri;sans-serif"/>
          <w:b/>
          <w:color w:val="000000"/>
          <w:sz w:val="22"/>
        </w:rPr>
        <w:t>IV.Exceptions to Mandatory Recovery of Incentive Compensation</w:t>
      </w:r>
    </w:p>
    <w:p>
      <w:pPr>
        <w:pStyle w:val="TextBody"/>
        <w:bidi w:val="0"/>
        <w:spacing w:lineRule="auto" w:line="288" w:before="240" w:after="120"/>
        <w:jc w:val="both"/>
        <w:rPr>
          <w:rFonts w:ascii="Calibri;sans-serif" w:hAnsi="Calibri;sans-serif"/>
          <w:b w:val="false"/>
          <w:color w:val="000000"/>
          <w:sz w:val="22"/>
        </w:rPr>
      </w:pPr>
      <w:r>
        <w:rPr>
          <w:rFonts w:ascii="Calibri;sans-serif" w:hAnsi="Calibri;sans-serif"/>
          <w:b w:val="false"/>
          <w:color w:val="000000"/>
          <w:sz w:val="22"/>
        </w:rPr>
        <w:t>The Company shall not be required to recover Erroneously Awarded Compensation pursuant to this Policy if (i) the Compensation Committee determines that such recovery would be impracticable and (ii) one of the following conditions is met:</w:t>
      </w:r>
    </w:p>
    <w:p>
      <w:pPr>
        <w:pStyle w:val="TextBody"/>
        <w:bidi w:val="0"/>
        <w:spacing w:lineRule="auto" w:line="288" w:before="120" w:after="120"/>
        <w:ind w:left="0" w:right="0" w:hanging="540"/>
        <w:jc w:val="both"/>
        <w:rPr>
          <w:rFonts w:ascii="Calibri;sans-serif" w:hAnsi="Calibri;sans-serif"/>
          <w:b w:val="false"/>
          <w:color w:val="000000"/>
          <w:sz w:val="22"/>
        </w:rPr>
      </w:pPr>
      <w:r>
        <w:rPr>
          <w:rFonts w:ascii="Calibri;sans-serif" w:hAnsi="Calibri;sans-serif"/>
          <w:b w:val="false"/>
          <w:color w:val="000000"/>
          <w:sz w:val="22"/>
        </w:rPr>
        <w:t>(i)    After the Company has made a reasonable and documented attempt to recover the Erroneously Awarded Compensation, the Compensation Committee determines that the direct expenses that would be paid to a third party to assist in enforcing the Policy would exceed the amount to be recovered, and the Company has provided such documentation to the NYSE;</w:t>
      </w:r>
    </w:p>
    <w:p>
      <w:pPr>
        <w:pStyle w:val="TextBody"/>
        <w:bidi w:val="0"/>
        <w:spacing w:lineRule="auto" w:line="288" w:before="120" w:after="120"/>
        <w:ind w:left="0" w:right="0" w:hanging="540"/>
        <w:jc w:val="both"/>
        <w:rPr>
          <w:rFonts w:ascii="Calibri;sans-serif" w:hAnsi="Calibri;sans-serif"/>
          <w:b w:val="false"/>
          <w:color w:val="000000"/>
          <w:sz w:val="22"/>
        </w:rPr>
      </w:pPr>
      <w:r>
        <w:rPr>
          <w:rFonts w:ascii="Calibri;sans-serif" w:hAnsi="Calibri;sans-serif"/>
          <w:b w:val="false"/>
          <w:color w:val="000000"/>
          <w:sz w:val="22"/>
        </w:rPr>
        <w:t>(ii)    Based on an opinion of home country counsel acceptable to the NYSE, the Compensation Committee determines that recovery would violate a home country law adopted prior to November 28, 2022 and a copy of such opinion is provided to the NYSE; and</w:t>
      </w:r>
    </w:p>
    <w:p>
      <w:pPr>
        <w:pStyle w:val="TextBody"/>
        <w:bidi w:val="0"/>
        <w:spacing w:lineRule="auto" w:line="288" w:before="120" w:after="240"/>
        <w:ind w:left="0" w:right="0" w:hanging="540"/>
        <w:jc w:val="both"/>
        <w:rPr>
          <w:rFonts w:ascii="Calibri;sans-serif" w:hAnsi="Calibri;sans-serif"/>
          <w:b w:val="false"/>
          <w:color w:val="000000"/>
          <w:sz w:val="22"/>
        </w:rPr>
      </w:pPr>
      <w:r>
        <w:rPr>
          <w:rFonts w:ascii="Calibri;sans-serif" w:hAnsi="Calibri;sans-serif"/>
          <w:b w:val="false"/>
          <w:color w:val="000000"/>
          <w:sz w:val="22"/>
        </w:rPr>
        <w:t>(iii)    The Compensation Committee determines that recovery would likely cause an otherwise tax-qualified retirement plan, under which benefits are broadly available to employees of the Company, to fail to meet the requirements of 26 U.S.C. 401(a)(13) or 26 U.S.C. 411(a) and regulations thereunder.</w:t>
      </w:r>
    </w:p>
    <w:p>
      <w:pPr>
        <w:pStyle w:val="TextBody"/>
        <w:bidi w:val="0"/>
        <w:spacing w:lineRule="auto" w:line="288" w:before="120" w:after="240"/>
        <w:ind w:left="0" w:right="0" w:hanging="720"/>
        <w:jc w:val="both"/>
        <w:rPr>
          <w:rFonts w:ascii="Calibri;sans-serif" w:hAnsi="Calibri;sans-serif"/>
          <w:b/>
          <w:color w:val="000000"/>
          <w:sz w:val="22"/>
        </w:rPr>
      </w:pPr>
      <w:r>
        <w:rPr>
          <w:rFonts w:ascii="Calibri;sans-serif" w:hAnsi="Calibri;sans-serif"/>
          <w:b/>
          <w:color w:val="000000"/>
          <w:sz w:val="22"/>
        </w:rPr>
        <w:t>V.No Indemnification or Advancement of Legal Fees</w:t>
      </w:r>
    </w:p>
    <w:p>
      <w:pPr>
        <w:pStyle w:val="TextBody"/>
        <w:bidi w:val="0"/>
        <w:spacing w:lineRule="auto" w:line="288" w:before="240" w:after="240"/>
        <w:jc w:val="both"/>
        <w:rPr>
          <w:rFonts w:ascii="Calibri;sans-serif" w:hAnsi="Calibri;sans-serif"/>
          <w:b w:val="false"/>
          <w:color w:val="000000"/>
          <w:sz w:val="22"/>
        </w:rPr>
      </w:pPr>
      <w:r>
        <w:rPr>
          <w:rFonts w:ascii="Calibri;sans-serif" w:hAnsi="Calibri;sans-serif"/>
          <w:b w:val="false"/>
          <w:color w:val="000000"/>
          <w:sz w:val="22"/>
        </w:rPr>
        <w:t>Notwithstanding any provision of the Company’s Charter, Bylaws, and any other agreement or document to the contrary, the Company shall not indemnify any Covered Executive against, provide advancement of expenses for or pay the premiums for any insurance policy, to cover (i) the loss of any Erroneously Awarded Compensation pursuant to this Policy, or (ii) any claims relating to the Company’s enforcement of its rights under this Policy.</w:t>
      </w:r>
    </w:p>
    <w:p>
      <w:pPr>
        <w:pStyle w:val="TextBody"/>
        <w:bidi w:val="0"/>
        <w:spacing w:lineRule="auto" w:line="288" w:before="240" w:after="240"/>
        <w:ind w:left="0" w:right="0" w:hanging="720"/>
        <w:jc w:val="both"/>
        <w:rPr>
          <w:rFonts w:ascii="Calibri;sans-serif" w:hAnsi="Calibri;sans-serif"/>
          <w:b/>
          <w:color w:val="000000"/>
          <w:sz w:val="22"/>
        </w:rPr>
      </w:pPr>
      <w:r>
        <w:rPr>
          <w:rFonts w:ascii="Calibri;sans-serif" w:hAnsi="Calibri;sans-serif"/>
          <w:b/>
          <w:color w:val="000000"/>
          <w:sz w:val="22"/>
        </w:rPr>
        <w:t>VI.Other Recovery Rights</w:t>
      </w:r>
    </w:p>
    <w:p>
      <w:pPr>
        <w:pStyle w:val="TextBody"/>
        <w:bidi w:val="0"/>
        <w:spacing w:lineRule="auto" w:line="288" w:before="240" w:after="240"/>
        <w:jc w:val="left"/>
        <w:rPr>
          <w:rFonts w:ascii="Calibri;sans-serif" w:hAnsi="Calibri;sans-serif"/>
          <w:b w:val="false"/>
          <w:color w:val="000000"/>
          <w:sz w:val="22"/>
        </w:rPr>
      </w:pPr>
      <w:r>
        <w:rPr>
          <w:rFonts w:ascii="Calibri;sans-serif" w:hAnsi="Calibri;sans-serif"/>
          <w:b w:val="false"/>
          <w:color w:val="000000"/>
          <w:sz w:val="22"/>
        </w:rPr>
        <w:t>The Compensation Committee intends that this Policy will be applied to the fullest extent of the law. The Compensation Committee may require that any employment agreement, equity award agreement or similar agreement entered into on or after the date hereof shall, as a condition to the grant of any benefit thereunder, require a Covered Executive to agree to abide by the terms of this Policy. Any right of recovery under this Policy is in addition to, and not in lieu of, any other remedies or rights of recovery that may be available to the Company pursuant to applicable law, rule or regulation, the terms of any similar policy in any employment agreement, equity award agreement, or similar agreement and any other legal remedies available to the Company.</w:t>
      </w:r>
    </w:p>
    <w:p>
      <w:pPr>
        <w:pStyle w:val="TextBody"/>
        <w:bidi w:val="0"/>
        <w:spacing w:before="0" w:after="0"/>
        <w:jc w:val="left"/>
        <w:rPr/>
      </w:pPr>
      <w:r>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346075"/>
                <wp:effectExtent l="0" t="0" r="0" b="0"/>
                <wp:wrapNone/>
                <wp:docPr id="198" name="Frame196"/>
                <a:graphic xmlns:a="http://schemas.openxmlformats.org/drawingml/2006/main">
                  <a:graphicData uri="http://schemas.microsoft.com/office/word/2010/wordprocessingShape">
                    <wps:wsp>
                      <wps:cNvSpPr txBox="1"/>
                      <wps:spPr>
                        <a:xfrm>
                          <a:off x="0" y="0"/>
                          <a:ext cx="6480175" cy="346075"/>
                        </a:xfrm>
                        <a:prstGeom prst="rect"/>
                        <a:solidFill>
                          <a:srgbClr val="FFFFFF"/>
                        </a:solidFill>
                      </wps:spPr>
                      <wps:txbx>
                        <w:txbxContent>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both"/>
        <w:rPr>
          <w:rFonts w:ascii="Calibri;sans-serif" w:hAnsi="Calibri;sans-serif"/>
          <w:b/>
          <w:color w:val="000000"/>
          <w:sz w:val="24"/>
        </w:rPr>
      </w:pPr>
      <w:r>
        <w:rPr>
          <w:rFonts w:ascii="Calibri;sans-serif" w:hAnsi="Calibri;sans-serif"/>
          <w:b/>
          <w:color w:val="000000"/>
          <w:sz w:val="24"/>
        </w:rPr>
        <w:t>Annex A – Defined Terms</w:t>
      </w:r>
    </w:p>
    <w:p>
      <w:pPr>
        <w:pStyle w:val="TextBody"/>
        <w:bidi w:val="0"/>
        <w:spacing w:lineRule="auto" w:line="288" w:before="240" w:after="240"/>
        <w:jc w:val="both"/>
        <w:rPr/>
      </w:pPr>
      <w:r>
        <w:rPr>
          <w:color w:val="000000"/>
        </w:rPr>
        <w:t>“</w:t>
      </w:r>
      <w:r>
        <w:rPr>
          <w:rFonts w:ascii="Calibri;sans-serif" w:hAnsi="Calibri;sans-serif"/>
          <w:b/>
          <w:color w:val="000000"/>
          <w:sz w:val="22"/>
        </w:rPr>
        <w:t>Accounting Restatement</w:t>
      </w:r>
      <w:r>
        <w:rPr>
          <w:color w:val="000000"/>
        </w:rPr>
        <w:t xml:space="preserve">” </w:t>
      </w:r>
      <w:r>
        <w:rPr>
          <w:rFonts w:ascii="Calibri;sans-serif" w:hAnsi="Calibri;sans-serif"/>
          <w:b w:val="false"/>
          <w:color w:val="000000"/>
          <w:sz w:val="22"/>
        </w:rPr>
        <w:t xml:space="preserve">means the Company is required to prepare an accounting restatement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a current period or left uncorrected in a current period. </w:t>
      </w:r>
    </w:p>
    <w:p>
      <w:pPr>
        <w:pStyle w:val="TextBody"/>
        <w:bidi w:val="0"/>
        <w:spacing w:lineRule="auto" w:line="288" w:before="120" w:after="240"/>
        <w:jc w:val="both"/>
        <w:rPr/>
      </w:pPr>
      <w:r>
        <w:rPr>
          <w:color w:val="000000"/>
        </w:rPr>
        <w:t>“</w:t>
      </w:r>
      <w:r>
        <w:rPr>
          <w:rFonts w:ascii="Calibri;sans-serif" w:hAnsi="Calibri;sans-serif"/>
          <w:b/>
          <w:color w:val="000000"/>
          <w:sz w:val="22"/>
        </w:rPr>
        <w:t>Compensation Committee</w:t>
      </w:r>
      <w:r>
        <w:rPr>
          <w:color w:val="000000"/>
        </w:rPr>
        <w:t xml:space="preserve">” </w:t>
      </w:r>
      <w:r>
        <w:rPr>
          <w:rFonts w:ascii="Calibri;sans-serif" w:hAnsi="Calibri;sans-serif"/>
          <w:b w:val="false"/>
          <w:color w:val="000000"/>
          <w:sz w:val="22"/>
        </w:rPr>
        <w:t xml:space="preserve">means the Compensation Committee of the Board. </w:t>
      </w:r>
    </w:p>
    <w:p>
      <w:pPr>
        <w:pStyle w:val="TextBody"/>
        <w:bidi w:val="0"/>
        <w:spacing w:lineRule="auto" w:line="288" w:before="120" w:after="240"/>
        <w:jc w:val="both"/>
        <w:rPr/>
      </w:pPr>
      <w:r>
        <w:rPr>
          <w:color w:val="000000"/>
        </w:rPr>
        <w:t>“</w:t>
      </w:r>
      <w:r>
        <w:rPr>
          <w:rFonts w:ascii="Calibri;sans-serif" w:hAnsi="Calibri;sans-serif"/>
          <w:b/>
          <w:color w:val="000000"/>
          <w:sz w:val="22"/>
        </w:rPr>
        <w:t>Covered Executive</w:t>
      </w:r>
      <w:r>
        <w:rPr>
          <w:color w:val="000000"/>
        </w:rPr>
        <w:t xml:space="preserve">” </w:t>
      </w:r>
      <w:r>
        <w:rPr>
          <w:rFonts w:ascii="Calibri;sans-serif" w:hAnsi="Calibri;sans-serif"/>
          <w:b w:val="false"/>
          <w:color w:val="000000"/>
          <w:sz w:val="22"/>
        </w:rPr>
        <w:t>means the Company’s chief executive officer, president, principal financial officer, principal accounting officer (or if there is no such accounting officer, the controller), any vice president of the Company in charge of a principal business unit, division, or function (such as sales, administration, or finance), any other officer who performs a policy-making function, or any other person who performs similar policymaking functions for the Company and any other employee who may from time to time be deemed to be subject to this Policy by the Board.</w:t>
      </w:r>
    </w:p>
    <w:p>
      <w:pPr>
        <w:pStyle w:val="TextBody"/>
        <w:bidi w:val="0"/>
        <w:spacing w:lineRule="auto" w:line="288" w:before="120" w:after="240"/>
        <w:jc w:val="both"/>
        <w:rPr/>
      </w:pPr>
      <w:r>
        <w:rPr>
          <w:color w:val="000000"/>
        </w:rPr>
        <w:t>“</w:t>
      </w:r>
      <w:r>
        <w:rPr>
          <w:rFonts w:ascii="Calibri;sans-serif" w:hAnsi="Calibri;sans-serif"/>
          <w:b/>
          <w:color w:val="000000"/>
          <w:sz w:val="22"/>
        </w:rPr>
        <w:t>Erroneously Awarded Compensation</w:t>
      </w:r>
      <w:r>
        <w:rPr>
          <w:color w:val="000000"/>
        </w:rPr>
        <w:t xml:space="preserve">” </w:t>
      </w:r>
      <w:r>
        <w:rPr>
          <w:rFonts w:ascii="Calibri;sans-serif" w:hAnsi="Calibri;sans-serif"/>
          <w:b w:val="false"/>
          <w:color w:val="000000"/>
          <w:sz w:val="22"/>
        </w:rPr>
        <w:t>means the amount of Incentive Compensation received during the Recoupment Period by a Covered Executive that exceeds the Incentive Compensation that would have been received by such Covered Executive taking into account the Accounting Restatement (calculated on a pre-tax basis).</w:t>
      </w:r>
    </w:p>
    <w:p>
      <w:pPr>
        <w:pStyle w:val="TextBody"/>
        <w:bidi w:val="0"/>
        <w:spacing w:lineRule="auto" w:line="288" w:before="120" w:after="240"/>
        <w:jc w:val="both"/>
        <w:rPr/>
      </w:pPr>
      <w:r>
        <w:rPr>
          <w:color w:val="000000"/>
        </w:rPr>
        <w:t>“</w:t>
      </w:r>
      <w:r>
        <w:rPr>
          <w:rFonts w:ascii="Calibri;sans-serif" w:hAnsi="Calibri;sans-serif"/>
          <w:b/>
          <w:color w:val="000000"/>
          <w:sz w:val="22"/>
        </w:rPr>
        <w:t>Exchange Act</w:t>
      </w:r>
      <w:r>
        <w:rPr>
          <w:color w:val="000000"/>
        </w:rPr>
        <w:t xml:space="preserve">” </w:t>
      </w:r>
      <w:r>
        <w:rPr>
          <w:rFonts w:ascii="Calibri;sans-serif" w:hAnsi="Calibri;sans-serif"/>
          <w:b w:val="false"/>
          <w:color w:val="000000"/>
          <w:sz w:val="22"/>
        </w:rPr>
        <w:t xml:space="preserve">means the Securities and Exchange Act of 1934, as amended. </w:t>
      </w:r>
    </w:p>
    <w:p>
      <w:pPr>
        <w:pStyle w:val="TextBody"/>
        <w:bidi w:val="0"/>
        <w:spacing w:lineRule="auto" w:line="288" w:before="120" w:after="240"/>
        <w:jc w:val="both"/>
        <w:rPr/>
      </w:pPr>
      <w:r>
        <w:rPr>
          <w:color w:val="000000"/>
        </w:rPr>
        <w:t>“</w:t>
      </w:r>
      <w:r>
        <w:rPr>
          <w:rFonts w:ascii="Calibri;sans-serif" w:hAnsi="Calibri;sans-serif"/>
          <w:b/>
          <w:color w:val="000000"/>
          <w:sz w:val="22"/>
        </w:rPr>
        <w:t>Financial Reporting Measure</w:t>
      </w:r>
      <w:r>
        <w:rPr>
          <w:color w:val="000000"/>
        </w:rPr>
        <w:t xml:space="preserve">” </w:t>
      </w:r>
      <w:r>
        <w:rPr>
          <w:rFonts w:ascii="Calibri;sans-serif" w:hAnsi="Calibri;sans-serif"/>
          <w:b w:val="false"/>
          <w:color w:val="000000"/>
          <w:sz w:val="22"/>
        </w:rPr>
        <w:t>means (i) measures that are determined and presented in accordance with the accounting principles used in preparing the Company’s financial statements (including funds from operations, adjusted funds from operations, revenues, net income, Adjusted EBITDA), and any measures that are derived wholly or in part from such measures and/or (ii) the Company’s stock price or total shareholder return.</w:t>
      </w:r>
    </w:p>
    <w:p>
      <w:pPr>
        <w:pStyle w:val="TextBody"/>
        <w:bidi w:val="0"/>
        <w:spacing w:lineRule="auto" w:line="288" w:before="120" w:after="240"/>
        <w:jc w:val="both"/>
        <w:rPr/>
      </w:pPr>
      <w:r>
        <w:rPr>
          <w:color w:val="000000"/>
        </w:rPr>
        <w:t>“</w:t>
      </w:r>
      <w:r>
        <w:rPr>
          <w:rFonts w:ascii="Calibri;sans-serif" w:hAnsi="Calibri;sans-serif"/>
          <w:b/>
          <w:color w:val="000000"/>
          <w:sz w:val="22"/>
        </w:rPr>
        <w:t>Incentive Compensation</w:t>
      </w:r>
      <w:r>
        <w:rPr>
          <w:color w:val="000000"/>
        </w:rPr>
        <w:t xml:space="preserve">” </w:t>
      </w:r>
      <w:r>
        <w:rPr>
          <w:rFonts w:ascii="Calibri;sans-serif" w:hAnsi="Calibri;sans-serif"/>
          <w:b w:val="false"/>
          <w:color w:val="000000"/>
          <w:sz w:val="22"/>
        </w:rPr>
        <w:t>means any compensation (including cash and equity compensation) from the Company that is granted, earned, or vested based in whole or in part on the achievement of a Financial Reporting Measure by the Company, including, but not limited to, any bonus, incentive arrangement or equity award, but excluding salary.</w:t>
      </w:r>
    </w:p>
    <w:p>
      <w:pPr>
        <w:pStyle w:val="TextBody"/>
        <w:bidi w:val="0"/>
        <w:spacing w:lineRule="auto" w:line="288" w:before="120" w:after="240"/>
        <w:jc w:val="both"/>
        <w:rPr/>
      </w:pPr>
      <w:r>
        <w:rPr>
          <w:color w:val="000000"/>
        </w:rPr>
        <w:t>“</w:t>
      </w:r>
      <w:r>
        <w:rPr>
          <w:rFonts w:ascii="Calibri;sans-serif" w:hAnsi="Calibri;sans-serif"/>
          <w:b/>
          <w:color w:val="000000"/>
          <w:sz w:val="22"/>
        </w:rPr>
        <w:t>Recoupment Period</w:t>
      </w:r>
      <w:r>
        <w:rPr>
          <w:color w:val="000000"/>
        </w:rPr>
        <w:t xml:space="preserve">” </w:t>
      </w:r>
      <w:r>
        <w:rPr>
          <w:rFonts w:ascii="Calibri;sans-serif" w:hAnsi="Calibri;sans-serif"/>
          <w:b w:val="false"/>
          <w:color w:val="000000"/>
          <w:sz w:val="22"/>
        </w:rPr>
        <w:t xml:space="preserve">means the three completed fiscal years of the Company immediately preceding the Trigger Date and any transition period (that results from a change in the Company’s fiscal year) of less than nine months within or immediately following those three completed fiscal years. </w:t>
      </w:r>
    </w:p>
    <w:p>
      <w:pPr>
        <w:pStyle w:val="TextBody"/>
        <w:bidi w:val="0"/>
        <w:spacing w:lineRule="auto" w:line="288" w:before="120" w:after="240"/>
        <w:jc w:val="both"/>
        <w:rPr/>
      </w:pPr>
      <w:r>
        <w:rPr>
          <w:color w:val="000000"/>
        </w:rPr>
        <w:t>“</w:t>
      </w:r>
      <w:r>
        <w:rPr>
          <w:rFonts w:ascii="Calibri;sans-serif" w:hAnsi="Calibri;sans-serif"/>
          <w:b/>
          <w:color w:val="000000"/>
          <w:sz w:val="22"/>
        </w:rPr>
        <w:t>Trigger Date</w:t>
      </w:r>
      <w:r>
        <w:rPr>
          <w:color w:val="000000"/>
        </w:rPr>
        <w:t xml:space="preserve">” </w:t>
      </w:r>
      <w:r>
        <w:rPr>
          <w:rFonts w:ascii="Calibri;sans-serif" w:hAnsi="Calibri;sans-serif"/>
          <w:b w:val="false"/>
          <w:color w:val="000000"/>
          <w:sz w:val="22"/>
        </w:rPr>
        <w:t>means the earlier to occur of: (i) the date the Board or the officer or officers of the Company authorized to take such action if Board action is not required, concludes, or reasonably should have concluded, that the Company is required to prepare an Accounting Restatement; or (ii) the date a court, regulator, or other legally authorized body directs the Company to prepare an Accounting Restatement.</w:t>
      </w:r>
    </w:p>
    <w:p>
      <w:pPr>
        <w:pStyle w:val="TextBody"/>
        <w:bidi w:val="0"/>
        <w:spacing w:before="0" w:after="283"/>
        <w:jc w:val="left"/>
        <w:rPr/>
      </w:pPr>
      <w:r>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346075"/>
                <wp:effectExtent l="0" t="0" r="0" b="0"/>
                <wp:wrapNone/>
                <wp:docPr id="199" name="Frame197"/>
                <a:graphic xmlns:a="http://schemas.openxmlformats.org/drawingml/2006/main">
                  <a:graphicData uri="http://schemas.microsoft.com/office/word/2010/wordprocessingShape">
                    <wps:wsp>
                      <wps:cNvSpPr txBox="1"/>
                      <wps:spPr>
                        <a:xfrm>
                          <a:off x="0" y="0"/>
                          <a:ext cx="6480175" cy="346075"/>
                        </a:xfrm>
                        <a:prstGeom prst="rect"/>
                        <a:solidFill>
                          <a:srgbClr val="FFFFFF"/>
                        </a:solidFill>
                      </wps:spPr>
                      <wps:txbx>
                        <w:txbxContent>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3</w:t>
                      </w:r>
                    </w:p>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Arial">
    <w:altName w:val="sans-serif"/>
    <w:charset w:val="01"/>
    <w:family w:val="auto"/>
    <w:pitch w:val="default"/>
  </w:font>
  <w:font w:name="Calibr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image" Target="media/image2.jpeg"/><Relationship Id="rId4" Type="http://schemas.openxmlformats.org/officeDocument/2006/relationships/hyperlink" Target="https://www.sec.gov/Archives/edgar/data/1705696/000170569623000035/vici-20221231.htm" TargetMode="External"/><Relationship Id="rId5" Type="http://schemas.openxmlformats.org/officeDocument/2006/relationships/hyperlink" Target="https://www.sec.gov/Archives/edgar/data/1705696/000170569623000035/vici-20221231.htm" TargetMode="External"/><Relationship Id="rId6" Type="http://schemas.openxmlformats.org/officeDocument/2006/relationships/hyperlink" Target="http://www.sec.gov/Archives/edgar/data/1705696/000119312517307477/d470550dex31.htm" TargetMode="External"/><Relationship Id="rId7" Type="http://schemas.openxmlformats.org/officeDocument/2006/relationships/hyperlink" Target="http://www.sec.gov/Archives/edgar/data/1705696/000119312517307477/d470550dex31.htm" TargetMode="External"/><Relationship Id="rId8" Type="http://schemas.openxmlformats.org/officeDocument/2006/relationships/hyperlink" Target="http://www.sec.gov/Archives/edgar/data/0001705696/000170569621000183/vici-articlesofamendmentse.htm" TargetMode="External"/><Relationship Id="rId9" Type="http://schemas.openxmlformats.org/officeDocument/2006/relationships/hyperlink" Target="http://www.sec.gov/Archives/edgar/data/0001705696/000170569621000183/vici-articlesofamendmentse.htm" TargetMode="External"/><Relationship Id="rId10" Type="http://schemas.openxmlformats.org/officeDocument/2006/relationships/hyperlink" Target="http://www.sec.gov/Archives/edgar/data/0001705696/000170569621000183/vici-articlesofamendmentse.htm" TargetMode="External"/><Relationship Id="rId11" Type="http://schemas.openxmlformats.org/officeDocument/2006/relationships/hyperlink" Target="http://www.sec.gov/Archives/edgar/data/0001705696/000170569621000183/vici-articlesofamendmentse.htm" TargetMode="External"/><Relationship Id="rId12" Type="http://schemas.openxmlformats.org/officeDocument/2006/relationships/hyperlink" Target="https://www.sec.gov/Archives/edgar/data/1705696/000170569623000035/exhibit34-viciarbylawsdece.htm" TargetMode="External"/><Relationship Id="rId13" Type="http://schemas.openxmlformats.org/officeDocument/2006/relationships/hyperlink" Target="https://www.sec.gov/Archives/edgar/data/1705696/000170569623000035/exhibit34-viciarbylawsdece.htm" TargetMode="External"/><Relationship Id="rId14" Type="http://schemas.openxmlformats.org/officeDocument/2006/relationships/hyperlink" Target="http://www.sec.gov/Archives/edgar/data/1705696/000170569619000172/vici-20192026noteofferingx.htm" TargetMode="External"/><Relationship Id="rId15" Type="http://schemas.openxmlformats.org/officeDocument/2006/relationships/hyperlink" Target="http://www.sec.gov/Archives/edgar/data/1705696/000170569619000172/vici-20192026noteofferingx.htm" TargetMode="External"/><Relationship Id="rId16" Type="http://schemas.openxmlformats.org/officeDocument/2006/relationships/hyperlink" Target="http://www.sec.gov/Archives/edgar/data/1705696/000170569619000172/vici-20192029noteofferingx.htm" TargetMode="External"/><Relationship Id="rId17" Type="http://schemas.openxmlformats.org/officeDocument/2006/relationships/hyperlink" Target="http://www.sec.gov/Archives/edgar/data/1705696/000170569619000172/vici-20192029noteofferingx.htm" TargetMode="External"/><Relationship Id="rId18" Type="http://schemas.openxmlformats.org/officeDocument/2006/relationships/hyperlink" Target="http://www.sec.gov/Archives/edgar/data/1705696/000170569620000023/notesoffering-2025inde.htm" TargetMode="External"/><Relationship Id="rId19" Type="http://schemas.openxmlformats.org/officeDocument/2006/relationships/hyperlink" Target="http://www.sec.gov/Archives/edgar/data/1705696/000170569620000023/notesoffering-2025inde.htm" TargetMode="External"/><Relationship Id="rId20" Type="http://schemas.openxmlformats.org/officeDocument/2006/relationships/hyperlink" Target="http://www.sec.gov/Archives/edgar/data/1705696/000170569620000023/notesoffering-2027inde.htm" TargetMode="External"/><Relationship Id="rId21" Type="http://schemas.openxmlformats.org/officeDocument/2006/relationships/hyperlink" Target="http://www.sec.gov/Archives/edgar/data/1705696/000170569620000023/notesoffering-2027inde.htm" TargetMode="External"/><Relationship Id="rId22" Type="http://schemas.openxmlformats.org/officeDocument/2006/relationships/hyperlink" Target="http://www.sec.gov/Archives/edgar/data/1705696/000170569620000023/notesoffering-2030inde.htm" TargetMode="External"/><Relationship Id="rId23" Type="http://schemas.openxmlformats.org/officeDocument/2006/relationships/hyperlink" Target="http://www.sec.gov/Archives/edgar/data/1705696/000170569620000023/notesoffering-2030inde.htm" TargetMode="External"/><Relationship Id="rId24" Type="http://schemas.openxmlformats.org/officeDocument/2006/relationships/hyperlink" Target="http://www.sec.gov/Archives/edgar/data/1705696/000119312522134159/d291163dex41.htm" TargetMode="External"/><Relationship Id="rId25" Type="http://schemas.openxmlformats.org/officeDocument/2006/relationships/hyperlink" Target="http://www.sec.gov/Archives/edgar/data/1705696/000119312522134159/d291163dex41.htm" TargetMode="External"/><Relationship Id="rId26" Type="http://schemas.openxmlformats.org/officeDocument/2006/relationships/hyperlink" Target="http://www.sec.gov/Archives/edgar/data/1705696/000119312522134159/d291163dex42.htm" TargetMode="External"/><Relationship Id="rId27" Type="http://schemas.openxmlformats.org/officeDocument/2006/relationships/hyperlink" Target="http://www.sec.gov/Archives/edgar/data/1705696/000119312522134159/d291163dex42.htm" TargetMode="External"/><Relationship Id="rId28" Type="http://schemas.openxmlformats.org/officeDocument/2006/relationships/hyperlink" Target="http://www.sec.gov/Archives/edgar/data/1705696/000119312522134159/d291163dex42.htm" TargetMode="External"/><Relationship Id="rId29" Type="http://schemas.openxmlformats.org/officeDocument/2006/relationships/hyperlink" Target="http://www.sec.gov/Archives/edgar/data/1705696/000119312522134159/d291163dex42.htm" TargetMode="External"/><Relationship Id="rId30" Type="http://schemas.openxmlformats.org/officeDocument/2006/relationships/hyperlink" Target="http://www.sec.gov/Archives/edgar/data/1705696/000119312522134159/d291163dex42.htm" TargetMode="External"/><Relationship Id="rId31" Type="http://schemas.openxmlformats.org/officeDocument/2006/relationships/hyperlink" Target="http://www.sec.gov/Archives/edgar/data/1705696/000119312522134159/d291163dex42.htm" TargetMode="External"/><Relationship Id="rId32" Type="http://schemas.openxmlformats.org/officeDocument/2006/relationships/hyperlink" Target="http://www.sec.gov/Archives/edgar/data/1705696/000119312522134159/d291163dex42.htm" TargetMode="External"/><Relationship Id="rId33" Type="http://schemas.openxmlformats.org/officeDocument/2006/relationships/hyperlink" Target="http://www.sec.gov/Archives/edgar/data/1705696/000119312522134159/d291163dex42.htm" TargetMode="External"/><Relationship Id="rId34" Type="http://schemas.openxmlformats.org/officeDocument/2006/relationships/hyperlink" Target="http://www.sec.gov/Archives/edgar/data/1705696/000119312522134159/d291163dex42.htm" TargetMode="External"/><Relationship Id="rId35" Type="http://schemas.openxmlformats.org/officeDocument/2006/relationships/hyperlink" Target="http://www.sec.gov/Archives/edgar/data/1705696/000119312522134159/d291163dex42.htm" TargetMode="External"/><Relationship Id="rId36" Type="http://schemas.openxmlformats.org/officeDocument/2006/relationships/hyperlink" Target="http://www.sec.gov/Archives/edgar/data/1705696/000119312522134159/d291163dex42.htm" TargetMode="External"/><Relationship Id="rId37" Type="http://schemas.openxmlformats.org/officeDocument/2006/relationships/hyperlink" Target="http://www.sec.gov/Archives/edgar/data/1705696/000119312522134159/d291163dex42.htm" TargetMode="External"/><Relationship Id="rId38" Type="http://schemas.openxmlformats.org/officeDocument/2006/relationships/hyperlink" Target="http://www.sec.gov/Archives/edgar/data/1705696/000119312522134159/d291163dex48.htm" TargetMode="External"/><Relationship Id="rId39" Type="http://schemas.openxmlformats.org/officeDocument/2006/relationships/hyperlink" Target="http://www.sec.gov/Archives/edgar/data/1705696/000119312522134159/d291163dex48.htm" TargetMode="External"/><Relationship Id="rId40" Type="http://schemas.openxmlformats.org/officeDocument/2006/relationships/hyperlink" Target="http://www.sec.gov/Archives/edgar/data/1705696/000119312522134159/d291163dex49.htm" TargetMode="External"/><Relationship Id="rId41" Type="http://schemas.openxmlformats.org/officeDocument/2006/relationships/hyperlink" Target="http://www.sec.gov/Archives/edgar/data/1705696/000119312522134159/d291163dex49.htm" TargetMode="External"/><Relationship Id="rId42" Type="http://schemas.openxmlformats.org/officeDocument/2006/relationships/hyperlink" Target="http://www.sec.gov/Archives/edgar/data/1705696/000119312522134159/d291163dex410.htm" TargetMode="External"/><Relationship Id="rId43" Type="http://schemas.openxmlformats.org/officeDocument/2006/relationships/hyperlink" Target="http://www.sec.gov/Archives/edgar/data/1705696/000119312522134159/d291163dex410.htm" TargetMode="External"/><Relationship Id="rId44" Type="http://schemas.openxmlformats.org/officeDocument/2006/relationships/hyperlink" Target="http://www.sec.gov/Archives/edgar/data/1705696/000119312522134159/d291163dex411.htm" TargetMode="External"/><Relationship Id="rId45" Type="http://schemas.openxmlformats.org/officeDocument/2006/relationships/hyperlink" Target="http://www.sec.gov/Archives/edgar/data/1705696/000119312522134159/d291163dex411.htm" TargetMode="External"/><Relationship Id="rId46" Type="http://schemas.openxmlformats.org/officeDocument/2006/relationships/hyperlink" Target="http://www.sec.gov/Archives/edgar/data/1705696/000119312522134159/d291163dex412.htm" TargetMode="External"/><Relationship Id="rId47" Type="http://schemas.openxmlformats.org/officeDocument/2006/relationships/hyperlink" Target="http://www.sec.gov/Archives/edgar/data/1705696/000119312522134159/d291163dex412.htm" TargetMode="External"/><Relationship Id="rId48" Type="http://schemas.openxmlformats.org/officeDocument/2006/relationships/hyperlink" Target="http://www.sec.gov/Archives/edgar/data/1705696/000119312522134159/d291163dex413.htm" TargetMode="External"/><Relationship Id="rId49" Type="http://schemas.openxmlformats.org/officeDocument/2006/relationships/hyperlink" Target="http://www.sec.gov/Archives/edgar/data/1705696/000119312522134159/d291163dex413.htm" TargetMode="External"/><Relationship Id="rId50" Type="http://schemas.openxmlformats.org/officeDocument/2006/relationships/hyperlink" Target="http://www.sec.gov/Archives/edgar/data/1705696/000119312522134159/d291163dex48.htm" TargetMode="External"/><Relationship Id="rId51" Type="http://schemas.openxmlformats.org/officeDocument/2006/relationships/hyperlink" Target="http://www.sec.gov/Archives/edgar/data/1705696/000119312522134159/d291163dex48.htm" TargetMode="External"/><Relationship Id="rId52" Type="http://schemas.openxmlformats.org/officeDocument/2006/relationships/hyperlink" Target="http://www.sec.gov/Archives/edgar/data/1705696/000119312522134159/d291163dex49.htm" TargetMode="External"/><Relationship Id="rId53" Type="http://schemas.openxmlformats.org/officeDocument/2006/relationships/hyperlink" Target="http://www.sec.gov/Archives/edgar/data/1705696/000119312522134159/d291163dex49.htm" TargetMode="External"/><Relationship Id="rId54" Type="http://schemas.openxmlformats.org/officeDocument/2006/relationships/hyperlink" Target="http://www.sec.gov/Archives/edgar/data/1705696/000119312522134159/d291163dex410.htm" TargetMode="External"/><Relationship Id="rId55" Type="http://schemas.openxmlformats.org/officeDocument/2006/relationships/hyperlink" Target="http://www.sec.gov/Archives/edgar/data/1705696/000119312522134159/d291163dex410.htm" TargetMode="External"/><Relationship Id="rId56" Type="http://schemas.openxmlformats.org/officeDocument/2006/relationships/hyperlink" Target="http://www.sec.gov/Archives/edgar/data/1705696/000119312522134159/d291163dex411.htm" TargetMode="External"/><Relationship Id="rId57" Type="http://schemas.openxmlformats.org/officeDocument/2006/relationships/hyperlink" Target="http://www.sec.gov/Archives/edgar/data/1705696/000119312522134159/d291163dex411.htm" TargetMode="External"/><Relationship Id="rId58" Type="http://schemas.openxmlformats.org/officeDocument/2006/relationships/hyperlink" Target="http://www.sec.gov/Archives/edgar/data/1705696/000119312522134159/d291163dex412.htm" TargetMode="External"/><Relationship Id="rId59" Type="http://schemas.openxmlformats.org/officeDocument/2006/relationships/hyperlink" Target="http://www.sec.gov/Archives/edgar/data/1705696/000119312522134159/d291163dex412.htm" TargetMode="External"/><Relationship Id="rId60" Type="http://schemas.openxmlformats.org/officeDocument/2006/relationships/hyperlink" Target="http://www.sec.gov/Archives/edgar/data/1705696/000119312522134159/d291163dex413.htm" TargetMode="External"/><Relationship Id="rId61" Type="http://schemas.openxmlformats.org/officeDocument/2006/relationships/hyperlink" Target="http://www.sec.gov/Archives/edgar/data/1705696/000119312522134159/d291163dex413.htm" TargetMode="External"/><Relationship Id="rId62" Type="http://schemas.openxmlformats.org/officeDocument/2006/relationships/hyperlink" Target="https://www.sec.gov/Archives/edgar/data/789570/000119312516549310/d177305dex41.htm" TargetMode="External"/><Relationship Id="rId63" Type="http://schemas.openxmlformats.org/officeDocument/2006/relationships/hyperlink" Target="https://www.sec.gov/Archives/edgar/data/789570/000119312516549310/d177305dex41.htm" TargetMode="External"/><Relationship Id="rId64" Type="http://schemas.openxmlformats.org/officeDocument/2006/relationships/hyperlink" Target="https://www.sec.gov/Archives/edgar/data/1656936/000119312521284267/d228774dex41.htm" TargetMode="External"/><Relationship Id="rId65" Type="http://schemas.openxmlformats.org/officeDocument/2006/relationships/hyperlink" Target="https://www.sec.gov/Archives/edgar/data/1656936/000119312521284267/d228774dex41.htm" TargetMode="External"/><Relationship Id="rId66" Type="http://schemas.openxmlformats.org/officeDocument/2006/relationships/hyperlink" Target="https://www.sec.gov/Archives/edgar/data/1656936/000119312520162252/d927045dex41.htm" TargetMode="External"/><Relationship Id="rId67" Type="http://schemas.openxmlformats.org/officeDocument/2006/relationships/hyperlink" Target="https://www.sec.gov/Archives/edgar/data/1656936/000119312520162252/d927045dex41.htm" TargetMode="External"/><Relationship Id="rId68" Type="http://schemas.openxmlformats.org/officeDocument/2006/relationships/hyperlink" Target="https://www.sec.gov/Archives/edgar/data/1656936/000119312521284267/d228774dex45.htm" TargetMode="External"/><Relationship Id="rId69" Type="http://schemas.openxmlformats.org/officeDocument/2006/relationships/hyperlink" Target="https://www.sec.gov/Archives/edgar/data/1656936/000119312521284267/d228774dex45.htm" TargetMode="External"/><Relationship Id="rId70" Type="http://schemas.openxmlformats.org/officeDocument/2006/relationships/hyperlink" Target="https://www.sec.gov/Archives/edgar/data/1656936/000119312516680168/d51988dex41.htm" TargetMode="External"/><Relationship Id="rId71" Type="http://schemas.openxmlformats.org/officeDocument/2006/relationships/hyperlink" Target="https://www.sec.gov/Archives/edgar/data/1656936/000119312516680168/d51988dex41.htm" TargetMode="External"/><Relationship Id="rId72" Type="http://schemas.openxmlformats.org/officeDocument/2006/relationships/hyperlink" Target="https://www.sec.gov/Archives/edgar/data/1656936/000119312521284267/d228774dex42.htm" TargetMode="External"/><Relationship Id="rId73" Type="http://schemas.openxmlformats.org/officeDocument/2006/relationships/hyperlink" Target="https://www.sec.gov/Archives/edgar/data/1656936/000119312521284267/d228774dex42.htm" TargetMode="External"/><Relationship Id="rId74" Type="http://schemas.openxmlformats.org/officeDocument/2006/relationships/hyperlink" Target="https://www.sec.gov/Archives/edgar/data/1656936/000119312519017149/d697852dex41.htm" TargetMode="External"/><Relationship Id="rId75" Type="http://schemas.openxmlformats.org/officeDocument/2006/relationships/hyperlink" Target="https://www.sec.gov/Archives/edgar/data/1656936/000119312519017149/d697852dex41.htm" TargetMode="External"/><Relationship Id="rId76" Type="http://schemas.openxmlformats.org/officeDocument/2006/relationships/hyperlink" Target="https://www.sec.gov/Archives/edgar/data/1656936/000119312521284267/d228774dex44.htm" TargetMode="External"/><Relationship Id="rId77" Type="http://schemas.openxmlformats.org/officeDocument/2006/relationships/hyperlink" Target="https://www.sec.gov/Archives/edgar/data/1656936/000119312521284267/d228774dex44.htm" TargetMode="External"/><Relationship Id="rId78" Type="http://schemas.openxmlformats.org/officeDocument/2006/relationships/hyperlink" Target="https://www.sec.gov/Archives/edgar/data/1656936/000119312517290490/d450326dex41.htm" TargetMode="External"/><Relationship Id="rId79" Type="http://schemas.openxmlformats.org/officeDocument/2006/relationships/hyperlink" Target="https://www.sec.gov/Archives/edgar/data/1656936/000119312517290490/d450326dex41.htm" TargetMode="External"/><Relationship Id="rId80" Type="http://schemas.openxmlformats.org/officeDocument/2006/relationships/hyperlink" Target="https://www.sec.gov/Archives/edgar/data/1656936/000119312521284267/d228774dex43.htm" TargetMode="External"/><Relationship Id="rId81" Type="http://schemas.openxmlformats.org/officeDocument/2006/relationships/hyperlink" Target="https://www.sec.gov/Archives/edgar/data/1656936/000119312521284267/d228774dex43.htm" TargetMode="External"/><Relationship Id="rId82" Type="http://schemas.openxmlformats.org/officeDocument/2006/relationships/hyperlink" Target="https://www.sec.gov/Archives/edgar/data/1656936/000119312520299440/d95985dex41.htm" TargetMode="External"/><Relationship Id="rId83" Type="http://schemas.openxmlformats.org/officeDocument/2006/relationships/hyperlink" Target="https://www.sec.gov/Archives/edgar/data/1656936/000119312520299440/d95985dex41.htm" TargetMode="External"/><Relationship Id="rId84" Type="http://schemas.openxmlformats.org/officeDocument/2006/relationships/hyperlink" Target="https://www.sec.gov/Archives/edgar/data/1656936/000119312521284267/d228774dex46.htm" TargetMode="External"/><Relationship Id="rId85" Type="http://schemas.openxmlformats.org/officeDocument/2006/relationships/hyperlink" Target="https://www.sec.gov/Archives/edgar/data/1656936/000119312521284267/d228774dex46.htm" TargetMode="External"/><Relationship Id="rId86" Type="http://schemas.openxmlformats.org/officeDocument/2006/relationships/hyperlink" Target="http://www.sec.gov/Archives/edgar/data/1705696/000170569620000143/exhibit101vegaslease-2.htm" TargetMode="External"/><Relationship Id="rId87" Type="http://schemas.openxmlformats.org/officeDocument/2006/relationships/hyperlink" Target="http://www.sec.gov/Archives/edgar/data/1705696/000170569620000143/exhibit101vegaslease-2.htm" TargetMode="External"/><Relationship Id="rId88" Type="http://schemas.openxmlformats.org/officeDocument/2006/relationships/hyperlink" Target="http://www.sec.gov/Archives/edgar/data/1705696/000170569620000181/exhibit1015-lasvegasle.htm" TargetMode="External"/><Relationship Id="rId89" Type="http://schemas.openxmlformats.org/officeDocument/2006/relationships/hyperlink" Target="http://www.sec.gov/Archives/edgar/data/1705696/000170569620000181/exhibit1015-lasvegasle.htm" TargetMode="External"/><Relationship Id="rId90" Type="http://schemas.openxmlformats.org/officeDocument/2006/relationships/hyperlink" Target="http://www.sec.gov/Archives/edgar/data/1705696/000170569621000030/lasvegaslease-fourthamendm.htm" TargetMode="External"/><Relationship Id="rId91" Type="http://schemas.openxmlformats.org/officeDocument/2006/relationships/hyperlink" Target="http://www.sec.gov/Archives/edgar/data/1705696/000170569621000030/lasvegaslease-fourthamendm.htm" TargetMode="External"/><Relationship Id="rId92" Type="http://schemas.openxmlformats.org/officeDocument/2006/relationships/hyperlink" Target="http://www.sec.gov/Archives/edgar/data/1705696/000170569621000224/exhibit104lasvegaslease-fi.htm" TargetMode="External"/><Relationship Id="rId93" Type="http://schemas.openxmlformats.org/officeDocument/2006/relationships/hyperlink" Target="http://www.sec.gov/Archives/edgar/data/1705696/000170569621000224/exhibit104lasvegaslease-fi.htm" TargetMode="External"/><Relationship Id="rId94" Type="http://schemas.openxmlformats.org/officeDocument/2006/relationships/hyperlink" Target="http://www.sec.gov/Archives/edgar/data/1705696/000170569622000046/exhibit105-amendmenttolasv.htm" TargetMode="External"/><Relationship Id="rId95" Type="http://schemas.openxmlformats.org/officeDocument/2006/relationships/hyperlink" Target="http://www.sec.gov/Archives/edgar/data/1705696/000170569622000046/exhibit105-amendmenttolasv.htm" TargetMode="External"/><Relationship Id="rId96" Type="http://schemas.openxmlformats.org/officeDocument/2006/relationships/hyperlink" Target="http://www.sec.gov/Archives/edgar/data/1705696/000170569620000143/exhibit102regionalleas.htm" TargetMode="External"/><Relationship Id="rId97" Type="http://schemas.openxmlformats.org/officeDocument/2006/relationships/hyperlink" Target="http://www.sec.gov/Archives/edgar/data/1705696/000170569620000143/exhibit102regionalleas.htm" TargetMode="External"/><Relationship Id="rId98" Type="http://schemas.openxmlformats.org/officeDocument/2006/relationships/hyperlink" Target="http://www.sec.gov/Archives/edgar/data/1705696/000170569620000181/exhibit1013-regionalle.htm" TargetMode="External"/><Relationship Id="rId99" Type="http://schemas.openxmlformats.org/officeDocument/2006/relationships/hyperlink" Target="http://www.sec.gov/Archives/edgar/data/1705696/000170569620000181/exhibit1013-regionalle.htm" TargetMode="External"/><Relationship Id="rId100" Type="http://schemas.openxmlformats.org/officeDocument/2006/relationships/hyperlink" Target="http://www.sec.gov/Archives/edgar/data/1705696/000170569621000030/regionallease-seventhamend.htm" TargetMode="External"/><Relationship Id="rId101" Type="http://schemas.openxmlformats.org/officeDocument/2006/relationships/hyperlink" Target="http://www.sec.gov/Archives/edgar/data/1705696/000170569621000030/regionallease-seventhamend.htm" TargetMode="External"/><Relationship Id="rId102" Type="http://schemas.openxmlformats.org/officeDocument/2006/relationships/hyperlink" Target="http://www.sec.gov/Archives/edgar/data/1705696/000170569621000224/exhibit105regionallease-ei.htm" TargetMode="External"/><Relationship Id="rId103" Type="http://schemas.openxmlformats.org/officeDocument/2006/relationships/hyperlink" Target="http://www.sec.gov/Archives/edgar/data/1705696/000170569621000224/exhibit105regionallease-ei.htm" TargetMode="External"/><Relationship Id="rId104" Type="http://schemas.openxmlformats.org/officeDocument/2006/relationships/hyperlink" Target="http://www.sec.gov/Archives/edgar/data/1705696/000170569622000046/exhibit1010regionallease-n.htm" TargetMode="External"/><Relationship Id="rId105" Type="http://schemas.openxmlformats.org/officeDocument/2006/relationships/hyperlink" Target="http://www.sec.gov/Archives/edgar/data/1705696/000170569622000046/exhibit1010regionallease-n.htm" TargetMode="External"/><Relationship Id="rId106" Type="http://schemas.openxmlformats.org/officeDocument/2006/relationships/hyperlink" Target="http://www.sec.gov/Archives/edgar/data/1705696/000170569622000046/exhibit1011regionallease-t.htm" TargetMode="External"/><Relationship Id="rId107" Type="http://schemas.openxmlformats.org/officeDocument/2006/relationships/hyperlink" Target="http://www.sec.gov/Archives/edgar/data/1705696/000170569622000046/exhibit1011regionallease-t.htm" TargetMode="External"/><Relationship Id="rId108" Type="http://schemas.openxmlformats.org/officeDocument/2006/relationships/hyperlink" Target="http://www.sec.gov/Archives/edgar/data/1705696/000170569622000130/caesarsregionalmasterleaseb.htm" TargetMode="External"/><Relationship Id="rId109" Type="http://schemas.openxmlformats.org/officeDocument/2006/relationships/hyperlink" Target="http://www.sec.gov/Archives/edgar/data/1705696/000170569622000130/caesarsregionalmasterleaseb.htm" TargetMode="External"/><Relationship Id="rId110" Type="http://schemas.openxmlformats.org/officeDocument/2006/relationships/hyperlink" Target="https://www.sec.gov/Archives/edgar/data/1705696/000170569623000072/caesarsregionalmasterlease.htm" TargetMode="External"/><Relationship Id="rId111" Type="http://schemas.openxmlformats.org/officeDocument/2006/relationships/hyperlink" Target="https://www.sec.gov/Archives/edgar/data/1705696/000170569623000072/caesarsregionalmasterlease.htm" TargetMode="External"/><Relationship Id="rId112" Type="http://schemas.openxmlformats.org/officeDocument/2006/relationships/hyperlink" Target="http://www.sec.gov/Archives/edgar/data/1705696/000170569620000143/exhibit103jolietlease-.htm" TargetMode="External"/><Relationship Id="rId113" Type="http://schemas.openxmlformats.org/officeDocument/2006/relationships/hyperlink" Target="http://www.sec.gov/Archives/edgar/data/1705696/000170569620000143/exhibit103jolietlease-.htm" TargetMode="External"/><Relationship Id="rId114" Type="http://schemas.openxmlformats.org/officeDocument/2006/relationships/hyperlink" Target="http://www.sec.gov/Archives/edgar/data/1705696/000170569620000181/exhibit1014-jolietleas.htm" TargetMode="External"/><Relationship Id="rId115" Type="http://schemas.openxmlformats.org/officeDocument/2006/relationships/hyperlink" Target="http://www.sec.gov/Archives/edgar/data/1705696/000170569620000181/exhibit1014-jolietleas.htm" TargetMode="External"/><Relationship Id="rId116" Type="http://schemas.openxmlformats.org/officeDocument/2006/relationships/hyperlink" Target="http://www.sec.gov/Archives/edgar/data/1705696/000170569621000030/jolietlease-fourthamendmen.htm" TargetMode="External"/><Relationship Id="rId117" Type="http://schemas.openxmlformats.org/officeDocument/2006/relationships/hyperlink" Target="http://www.sec.gov/Archives/edgar/data/1705696/000170569621000030/jolietlease-fourthamendmen.htm" TargetMode="External"/><Relationship Id="rId118" Type="http://schemas.openxmlformats.org/officeDocument/2006/relationships/hyperlink" Target="http://www.sec.gov/Archives/edgar/data/1705696/000170569621000224/exhibit106jolietlease-fift.htm" TargetMode="External"/><Relationship Id="rId119" Type="http://schemas.openxmlformats.org/officeDocument/2006/relationships/hyperlink" Target="http://www.sec.gov/Archives/edgar/data/1705696/000170569621000224/exhibit106jolietlease-fift.htm" TargetMode="External"/><Relationship Id="rId120" Type="http://schemas.openxmlformats.org/officeDocument/2006/relationships/hyperlink" Target="http://www.sec.gov/Archives/edgar/data/1705696/000170569622000046/exhibit1016-amendmenttojol.htm" TargetMode="External"/><Relationship Id="rId121" Type="http://schemas.openxmlformats.org/officeDocument/2006/relationships/hyperlink" Target="http://www.sec.gov/Archives/edgar/data/1705696/000170569622000046/exhibit1016-amendmenttojol.htm" TargetMode="External"/><Relationship Id="rId122" Type="http://schemas.openxmlformats.org/officeDocument/2006/relationships/hyperlink" Target="http://www.sec.gov/Archives/edgar/data/1705696/000170569620000181/exhibit1016-amendedand.htm" TargetMode="External"/><Relationship Id="rId123" Type="http://schemas.openxmlformats.org/officeDocument/2006/relationships/hyperlink" Target="http://www.sec.gov/Archives/edgar/data/1705696/000170569620000181/exhibit1016-amendedand.htm" TargetMode="External"/><Relationship Id="rId124" Type="http://schemas.openxmlformats.org/officeDocument/2006/relationships/hyperlink" Target="http://www.sec.gov/Archives/edgar/data/1705696/000170569620000143/exhibit104.htm" TargetMode="External"/><Relationship Id="rId125" Type="http://schemas.openxmlformats.org/officeDocument/2006/relationships/hyperlink" Target="http://www.sec.gov/Archives/edgar/data/1705696/000170569620000143/exhibit104.htm" TargetMode="External"/><Relationship Id="rId126" Type="http://schemas.openxmlformats.org/officeDocument/2006/relationships/hyperlink" Target="http://www.sec.gov/Archives/edgar/data/1705696/000170569620000143/exhibit105.htm" TargetMode="External"/><Relationship Id="rId127" Type="http://schemas.openxmlformats.org/officeDocument/2006/relationships/hyperlink" Target="http://www.sec.gov/Archives/edgar/data/1705696/000170569620000143/exhibit105.htm" TargetMode="External"/><Relationship Id="rId128" Type="http://schemas.openxmlformats.org/officeDocument/2006/relationships/hyperlink" Target="http://www.sec.gov/Archives/edgar/data/1705696/000170569620000143/exhibit106.htm" TargetMode="External"/><Relationship Id="rId129" Type="http://schemas.openxmlformats.org/officeDocument/2006/relationships/hyperlink" Target="http://www.sec.gov/Archives/edgar/data/1705696/000170569620000143/exhibit106.htm" TargetMode="External"/><Relationship Id="rId130" Type="http://schemas.openxmlformats.org/officeDocument/2006/relationships/hyperlink" Target="http://www.sec.gov/Archives/edgar/data/1705696/000119312522134159/d291163dex101.htm" TargetMode="External"/><Relationship Id="rId131" Type="http://schemas.openxmlformats.org/officeDocument/2006/relationships/hyperlink" Target="http://www.sec.gov/Archives/edgar/data/1705696/000119312522134159/d291163dex101.htm" TargetMode="External"/><Relationship Id="rId132" Type="http://schemas.openxmlformats.org/officeDocument/2006/relationships/hyperlink" Target="http://www.sec.gov/Archives/edgar/data/1705696/000170569622000133/compiledfirstamendmenttoar.htm" TargetMode="External"/><Relationship Id="rId133" Type="http://schemas.openxmlformats.org/officeDocument/2006/relationships/hyperlink" Target="http://www.sec.gov/Archives/edgar/data/1705696/000170569622000133/compiledfirstamendmenttoar.htm" TargetMode="External"/><Relationship Id="rId134" Type="http://schemas.openxmlformats.org/officeDocument/2006/relationships/hyperlink" Target="https://www.sec.gov/Archives/edgar/data/1705696/000170569623000035/secondamendmenttoarmasterl.htm" TargetMode="External"/><Relationship Id="rId135" Type="http://schemas.openxmlformats.org/officeDocument/2006/relationships/hyperlink" Target="https://www.sec.gov/Archives/edgar/data/1705696/000170569623000035/secondamendmenttoarmasterl.htm" TargetMode="External"/><Relationship Id="rId136" Type="http://schemas.openxmlformats.org/officeDocument/2006/relationships/hyperlink" Target="http://www.sec.gov/Archives/edgar/data/1705696/000119312522134159/d291163dex102.htm" TargetMode="External"/><Relationship Id="rId137" Type="http://schemas.openxmlformats.org/officeDocument/2006/relationships/hyperlink" Target="http://www.sec.gov/Archives/edgar/data/1705696/000119312522134159/d291163dex102.htm" TargetMode="External"/><Relationship Id="rId138" Type="http://schemas.openxmlformats.org/officeDocument/2006/relationships/hyperlink" Target="http://www.sec.gov/Archives/edgar/data/1705696/000119312522134159/d291163dex103.htm" TargetMode="External"/><Relationship Id="rId139" Type="http://schemas.openxmlformats.org/officeDocument/2006/relationships/hyperlink" Target="http://www.sec.gov/Archives/edgar/data/1705696/000119312522134159/d291163dex103.htm" TargetMode="External"/><Relationship Id="rId140" Type="http://schemas.openxmlformats.org/officeDocument/2006/relationships/hyperlink" Target="https://www.sec.gov/Archives/edgar/data/1705696/000170569623000035/mgmgrand_mandalaybayleasef.htm" TargetMode="External"/><Relationship Id="rId141" Type="http://schemas.openxmlformats.org/officeDocument/2006/relationships/hyperlink" Target="https://www.sec.gov/Archives/edgar/data/1705696/000170569623000035/mgmgrand_mandalaybayleasef.htm" TargetMode="External"/><Relationship Id="rId142" Type="http://schemas.openxmlformats.org/officeDocument/2006/relationships/hyperlink" Target="https://www.sec.gov/Archives/edgar/data/1705696/000170569623000035/mgm_guarantyxmgmgrandxmand.htm" TargetMode="External"/><Relationship Id="rId143" Type="http://schemas.openxmlformats.org/officeDocument/2006/relationships/hyperlink" Target="https://www.sec.gov/Archives/edgar/data/1705696/000170569623000035/mgm_guarantyxmgmgrandxmand.htm" TargetMode="External"/><Relationship Id="rId144" Type="http://schemas.openxmlformats.org/officeDocument/2006/relationships/hyperlink" Target="https://www.sec.gov/Archives/edgar/data/1705696/000170569623000035/mgmgrand_mandalaybayloanxa.htm" TargetMode="External"/><Relationship Id="rId145" Type="http://schemas.openxmlformats.org/officeDocument/2006/relationships/hyperlink" Target="https://www.sec.gov/Archives/edgar/data/1705696/000170569623000035/mgmgrand_mandalaybayloanxa.htm" TargetMode="External"/><Relationship Id="rId146" Type="http://schemas.openxmlformats.org/officeDocument/2006/relationships/hyperlink" Target="https://www.sec.gov/Archives/edgar/data/1705696/000170569623000035/first_amendmentxtoxloanxag.htm" TargetMode="External"/><Relationship Id="rId147" Type="http://schemas.openxmlformats.org/officeDocument/2006/relationships/hyperlink" Target="https://www.sec.gov/Archives/edgar/data/1705696/000170569623000035/first_amendmentxtoxloanxag.htm" TargetMode="External"/><Relationship Id="rId148" Type="http://schemas.openxmlformats.org/officeDocument/2006/relationships/hyperlink" Target="https://www.sec.gov/Archives/edgar/data/1705696/000170569623000035/second_amendmentxtoxloanxa.htm" TargetMode="External"/><Relationship Id="rId149" Type="http://schemas.openxmlformats.org/officeDocument/2006/relationships/hyperlink" Target="https://www.sec.gov/Archives/edgar/data/1705696/000170569623000035/second_amendmentxtoxloanxa.htm" TargetMode="External"/><Relationship Id="rId150" Type="http://schemas.openxmlformats.org/officeDocument/2006/relationships/hyperlink" Target="https://www.sec.gov/Archives/edgar/data/1705696/000170569623000035/third_amendmentxtoxloanxag.htm" TargetMode="External"/><Relationship Id="rId151" Type="http://schemas.openxmlformats.org/officeDocument/2006/relationships/hyperlink" Target="https://www.sec.gov/Archives/edgar/data/1705696/000170569623000035/third_amendmentxtoxloanxag.htm" TargetMode="External"/><Relationship Id="rId152" Type="http://schemas.openxmlformats.org/officeDocument/2006/relationships/hyperlink" Target="http://www.sec.gov/Archives/edgar/data/0001705696/000170569622000019/vici-creditagreementconfor.htm" TargetMode="External"/><Relationship Id="rId153" Type="http://schemas.openxmlformats.org/officeDocument/2006/relationships/hyperlink" Target="http://www.sec.gov/Archives/edgar/data/0001705696/000170569622000019/vici-creditagreementconfor.htm" TargetMode="External"/><Relationship Id="rId154" Type="http://schemas.openxmlformats.org/officeDocument/2006/relationships/hyperlink" Target="http://www.sec.gov/Archives/edgar/data/1705696/000170569622000111/exhibit101firstamendmentto.htm" TargetMode="External"/><Relationship Id="rId155" Type="http://schemas.openxmlformats.org/officeDocument/2006/relationships/hyperlink" Target="http://www.sec.gov/Archives/edgar/data/1705696/000170569622000111/exhibit101firstamendmentto.htm" TargetMode="External"/><Relationship Id="rId156" Type="http://schemas.openxmlformats.org/officeDocument/2006/relationships/hyperlink" Target="https://www.sec.gov/Archives/edgar/data/1705696/000170569623000113/creditfacilitysecondamendm.htm" TargetMode="External"/><Relationship Id="rId157" Type="http://schemas.openxmlformats.org/officeDocument/2006/relationships/hyperlink" Target="https://www.sec.gov/Archives/edgar/data/1705696/000170569623000113/creditfacilitysecondamendm.htm" TargetMode="External"/><Relationship Id="rId158" Type="http://schemas.openxmlformats.org/officeDocument/2006/relationships/hyperlink" Target="http://www.sec.gov/Archives/edgar/data/1705696/000119312522134159/d291163dex105.htm" TargetMode="External"/><Relationship Id="rId159" Type="http://schemas.openxmlformats.org/officeDocument/2006/relationships/hyperlink" Target="http://www.sec.gov/Archives/edgar/data/1705696/000119312522134159/d291163dex105.htm" TargetMode="External"/><Relationship Id="rId160" Type="http://schemas.openxmlformats.org/officeDocument/2006/relationships/hyperlink" Target="http://www.sec.gov/Archives/edgar/data/1705696/000119312522134159/d291163dex104.htm" TargetMode="External"/><Relationship Id="rId161" Type="http://schemas.openxmlformats.org/officeDocument/2006/relationships/hyperlink" Target="http://www.sec.gov/Archives/edgar/data/1705696/000119312522134159/d291163dex104.htm" TargetMode="External"/><Relationship Id="rId162" Type="http://schemas.openxmlformats.org/officeDocument/2006/relationships/hyperlink" Target="http://www.sec.gov/Archives/edgar/data/1705696/000119312517297902/d392523dex1020.htm" TargetMode="External"/><Relationship Id="rId163" Type="http://schemas.openxmlformats.org/officeDocument/2006/relationships/hyperlink" Target="http://www.sec.gov/Archives/edgar/data/1705696/000119312517297902/d392523dex1020.htm" TargetMode="External"/><Relationship Id="rId164" Type="http://schemas.openxmlformats.org/officeDocument/2006/relationships/hyperlink" Target="http://www.sec.gov/Archives/edgar/data/1705696/000119312519256140/d808587dex101.htm" TargetMode="External"/><Relationship Id="rId165" Type="http://schemas.openxmlformats.org/officeDocument/2006/relationships/hyperlink" Target="http://www.sec.gov/Archives/edgar/data/1705696/000119312519256140/d808587dex101.htm" TargetMode="External"/><Relationship Id="rId166" Type="http://schemas.openxmlformats.org/officeDocument/2006/relationships/hyperlink" Target="http://www.sec.gov/Archives/edgar/data/1705696/000119312519256140/d808587dex102.htm" TargetMode="External"/><Relationship Id="rId167" Type="http://schemas.openxmlformats.org/officeDocument/2006/relationships/hyperlink" Target="http://www.sec.gov/Archives/edgar/data/1705696/000119312519256140/d808587dex102.htm" TargetMode="External"/><Relationship Id="rId168" Type="http://schemas.openxmlformats.org/officeDocument/2006/relationships/hyperlink" Target="http://www.sec.gov/Archives/edgar/data/1705696/000119312519256140/d808587dex103.htm" TargetMode="External"/><Relationship Id="rId169" Type="http://schemas.openxmlformats.org/officeDocument/2006/relationships/hyperlink" Target="http://www.sec.gov/Archives/edgar/data/1705696/000119312519256140/d808587dex103.htm" TargetMode="External"/><Relationship Id="rId170" Type="http://schemas.openxmlformats.org/officeDocument/2006/relationships/hyperlink" Target="http://www.sec.gov/Archives/edgar/data/1705696/000119312519256140/d808587dex104.htm" TargetMode="External"/><Relationship Id="rId171" Type="http://schemas.openxmlformats.org/officeDocument/2006/relationships/hyperlink" Target="http://www.sec.gov/Archives/edgar/data/1705696/000119312519256140/d808587dex104.htm" TargetMode="External"/><Relationship Id="rId172" Type="http://schemas.openxmlformats.org/officeDocument/2006/relationships/hyperlink" Target="http://www.sec.gov/Archives/edgar/data/1705696/000119312517307477/d470550dex1028.htm" TargetMode="External"/><Relationship Id="rId173" Type="http://schemas.openxmlformats.org/officeDocument/2006/relationships/hyperlink" Target="http://www.sec.gov/Archives/edgar/data/1705696/000119312517307477/d470550dex1028.htm" TargetMode="External"/><Relationship Id="rId174" Type="http://schemas.openxmlformats.org/officeDocument/2006/relationships/hyperlink" Target="http://www.sec.gov/Archives/edgar/data/1705696/000170569619000064/exhibit1052amendmentno.htm" TargetMode="External"/><Relationship Id="rId175" Type="http://schemas.openxmlformats.org/officeDocument/2006/relationships/hyperlink" Target="http://www.sec.gov/Archives/edgar/data/1705696/000170569619000064/exhibit1052amendmentno.htm" TargetMode="External"/><Relationship Id="rId176" Type="http://schemas.openxmlformats.org/officeDocument/2006/relationships/hyperlink" Target="http://www.sec.gov/Archives/edgar/data/1705696/000170569618000015/vici10kexhibit1039.htm" TargetMode="External"/><Relationship Id="rId177" Type="http://schemas.openxmlformats.org/officeDocument/2006/relationships/hyperlink" Target="http://www.sec.gov/Archives/edgar/data/1705696/000170569618000015/vici10kexhibit1039.htm" TargetMode="External"/><Relationship Id="rId178" Type="http://schemas.openxmlformats.org/officeDocument/2006/relationships/fontTable" Target="fontTable.xml"/><Relationship Id="rId17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85</Pages>
  <Words>111298</Words>
  <Characters>602987</Characters>
  <CharactersWithSpaces>709425</CharactersWithSpaces>
  <Paragraphs>7713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