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10-K </w:t>
      </w:r>
    </w:p>
    <w:tbl>
      <w:tblPr>
        <w:tblW w:w="9556" w:type="dxa"/>
        <w:jc w:val="left"/>
        <w:tblInd w:w="0" w:type="dxa"/>
        <w:tblLayout w:type="fixed"/>
        <w:tblCellMar>
          <w:top w:w="28" w:type="dxa"/>
          <w:left w:w="28" w:type="dxa"/>
          <w:bottom w:w="28" w:type="dxa"/>
          <w:right w:w="28" w:type="dxa"/>
        </w:tblCellMar>
      </w:tblPr>
      <w:tblGrid>
        <w:gridCol w:w="185"/>
        <w:gridCol w:w="162"/>
        <w:gridCol w:w="164"/>
        <w:gridCol w:w="2644"/>
        <w:gridCol w:w="2644"/>
        <w:gridCol w:w="375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95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(Mark One)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pPr>
      <w:r>
        <w:rPr>
          <w:rFonts w:ascii="Times New Roman;serif" w:hAnsi="Times New Roman;serif"/>
          <w:b/>
          <w:color w:val="000000"/>
          <w:sz w:val="18"/>
        </w:rPr>
        <w:t>or</w:t>
      </w:r>
      <w:r>
        <w:rPr>
          <w:color w:val="000000"/>
        </w:rPr>
        <w:t> </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________ to 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000-55791 (VICI Properties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333-264352-01 (VICI Properties 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VICI Properties Inc.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w:t>
      </w:r>
    </w:p>
    <w:p>
      <w:pPr>
        <w:pStyle w:val="TextBody"/>
        <w:bidi w:val="0"/>
        <w:spacing w:lineRule="auto" w:line="240" w:before="0" w:after="0"/>
        <w:jc w:val="both"/>
        <w:rPr>
          <w:color w:val="000000"/>
        </w:rPr>
      </w:pPr>
      <w:r>
        <w:rPr>
          <w:color w:val="000000"/>
        </w:rPr>
        <w:t> </w:t>
      </w:r>
    </w:p>
    <w:tbl>
      <w:tblPr>
        <w:tblW w:w="9028" w:type="dxa"/>
        <w:jc w:val="center"/>
        <w:tblInd w:w="0" w:type="dxa"/>
        <w:tblLayout w:type="fixed"/>
        <w:tblCellMar>
          <w:top w:w="28" w:type="dxa"/>
          <w:left w:w="28" w:type="dxa"/>
          <w:bottom w:w="28" w:type="dxa"/>
          <w:right w:w="28" w:type="dxa"/>
        </w:tblCellMar>
      </w:tblPr>
      <w:tblGrid>
        <w:gridCol w:w="1648"/>
        <w:gridCol w:w="1450"/>
        <w:gridCol w:w="1462"/>
        <w:gridCol w:w="574"/>
        <w:gridCol w:w="574"/>
        <w:gridCol w:w="576"/>
        <w:gridCol w:w="799"/>
        <w:gridCol w:w="799"/>
        <w:gridCol w:w="1146"/>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Maryland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535 Madison Avenue, New York, New York 10022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12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w:t>
      </w:r>
    </w:p>
    <w:tbl>
      <w:tblPr>
        <w:tblW w:w="6985"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74"/>
        <w:gridCol w:w="974"/>
        <w:gridCol w:w="1381"/>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Yes  </w:t>
            </w:r>
            <w:r>
              <w:rPr>
                <w:color w:val="000000"/>
              </w:rPr>
              <w:t>☒    </w:t>
            </w:r>
            <w:r>
              <w:rPr>
                <w:rFonts w:ascii="Times New Roman;serif" w:hAnsi="Times New Roman;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Yes </w:t>
            </w:r>
            <w:r>
              <w:rPr>
                <w:color w:val="000000"/>
              </w:rPr>
              <w:t>☒    </w:t>
            </w:r>
            <w:r>
              <w:rPr>
                <w:rFonts w:ascii="Times New Roman;serif" w:hAnsi="Times New Roman;serif"/>
                <w:b w:val="false"/>
                <w:color w:val="000000"/>
                <w:sz w:val="16"/>
              </w:rPr>
              <w:t>No  </w:t>
            </w:r>
            <w:r>
              <w:rPr>
                <w:color w:val="000000"/>
              </w:rPr>
              <w:t xml:space="preserve">☐ </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w:t>
      </w:r>
    </w:p>
    <w:tbl>
      <w:tblPr>
        <w:tblW w:w="6925" w:type="dxa"/>
        <w:jc w:val="left"/>
        <w:tblInd w:w="0" w:type="dxa"/>
        <w:tblLayout w:type="fixed"/>
        <w:tblCellMar>
          <w:top w:w="28" w:type="dxa"/>
          <w:left w:w="28" w:type="dxa"/>
          <w:bottom w:w="28" w:type="dxa"/>
          <w:right w:w="28" w:type="dxa"/>
        </w:tblCellMar>
      </w:tblPr>
      <w:tblGrid>
        <w:gridCol w:w="1184"/>
        <w:gridCol w:w="1041"/>
        <w:gridCol w:w="1044"/>
        <w:gridCol w:w="109"/>
        <w:gridCol w:w="109"/>
        <w:gridCol w:w="109"/>
        <w:gridCol w:w="974"/>
        <w:gridCol w:w="974"/>
        <w:gridCol w:w="1381"/>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Yes  </w:t>
            </w:r>
            <w:r>
              <w:rPr>
                <w:color w:val="000000"/>
              </w:rPr>
              <w:t>☐    </w:t>
            </w:r>
            <w:r>
              <w:rPr>
                <w:rFonts w:ascii="Times New Roman;serif" w:hAnsi="Times New Roman;serif"/>
                <w:b w:val="false"/>
                <w:color w:val="000000"/>
                <w:sz w:val="16"/>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Yes  </w:t>
            </w:r>
            <w:r>
              <w:rPr>
                <w:color w:val="000000"/>
              </w:rPr>
              <w:t>☐    </w:t>
            </w:r>
            <w:r>
              <w:rPr>
                <w:rFonts w:ascii="Times New Roman;serif" w:hAnsi="Times New Roman;serif"/>
                <w:b w:val="false"/>
                <w:color w:val="000000"/>
                <w:sz w:val="16"/>
              </w:rPr>
              <w:t>No  </w:t>
            </w:r>
            <w:r>
              <w:rPr>
                <w:color w:val="000000"/>
              </w:rPr>
              <w:t>☒ </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6926"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58"/>
        <w:gridCol w:w="958"/>
        <w:gridCol w:w="13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Yes  </w:t>
            </w:r>
            <w:r>
              <w:rPr>
                <w:color w:val="000000"/>
              </w:rPr>
              <w:t>☒    </w:t>
            </w:r>
            <w:r>
              <w:rPr>
                <w:rFonts w:ascii="Times New Roman;serif" w:hAnsi="Times New Roman;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Yes </w:t>
            </w:r>
            <w:r>
              <w:rPr>
                <w:color w:val="000000"/>
              </w:rPr>
              <w:t>☒    </w:t>
            </w:r>
            <w:r>
              <w:rPr>
                <w:rFonts w:ascii="Times New Roman;serif" w:hAnsi="Times New Roman;serif"/>
                <w:b w:val="false"/>
                <w:color w:val="000000"/>
                <w:sz w:val="16"/>
              </w:rPr>
              <w:t>No  </w:t>
            </w: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tbl>
      <w:tblPr>
        <w:tblW w:w="6971"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71"/>
        <w:gridCol w:w="971"/>
        <w:gridCol w:w="1373"/>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Yes  </w:t>
            </w:r>
            <w:r>
              <w:rPr>
                <w:color w:val="000000"/>
              </w:rPr>
              <w:t>☒    </w:t>
            </w:r>
            <w:r>
              <w:rPr>
                <w:rFonts w:ascii="Times New Roman;serif" w:hAnsi="Times New Roman;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Yes  </w:t>
            </w:r>
            <w:r>
              <w:rPr>
                <w:color w:val="000000"/>
              </w:rPr>
              <w:t>☒    </w:t>
            </w:r>
            <w:r>
              <w:rPr>
                <w:rFonts w:ascii="Times New Roman;serif" w:hAnsi="Times New Roman;serif"/>
                <w:b w:val="false"/>
                <w:color w:val="000000"/>
                <w:sz w:val="16"/>
              </w:rPr>
              <w:t>No  </w:t>
            </w: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35" w:type="dxa"/>
        <w:jc w:val="center"/>
        <w:tblInd w:w="0" w:type="dxa"/>
        <w:tblLayout w:type="fixed"/>
        <w:tblCellMar>
          <w:top w:w="28" w:type="dxa"/>
          <w:left w:w="28" w:type="dxa"/>
          <w:bottom w:w="28" w:type="dxa"/>
          <w:right w:w="28" w:type="dxa"/>
        </w:tblCellMar>
      </w:tblPr>
      <w:tblGrid>
        <w:gridCol w:w="603"/>
        <w:gridCol w:w="530"/>
        <w:gridCol w:w="532"/>
        <w:gridCol w:w="124"/>
        <w:gridCol w:w="124"/>
        <w:gridCol w:w="124"/>
        <w:gridCol w:w="673"/>
        <w:gridCol w:w="673"/>
        <w:gridCol w:w="678"/>
        <w:gridCol w:w="124"/>
        <w:gridCol w:w="124"/>
        <w:gridCol w:w="124"/>
        <w:gridCol w:w="109"/>
        <w:gridCol w:w="109"/>
        <w:gridCol w:w="109"/>
        <w:gridCol w:w="549"/>
        <w:gridCol w:w="549"/>
        <w:gridCol w:w="551"/>
        <w:gridCol w:w="125"/>
        <w:gridCol w:w="125"/>
        <w:gridCol w:w="125"/>
        <w:gridCol w:w="673"/>
        <w:gridCol w:w="673"/>
        <w:gridCol w:w="678"/>
        <w:gridCol w:w="125"/>
        <w:gridCol w:w="125"/>
        <w:gridCol w:w="17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3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Properties L.P.</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w:t>
            </w: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tbl>
      <w:tblPr>
        <w:tblW w:w="4735"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644"/>
        <w:gridCol w:w="644"/>
        <w:gridCol w:w="9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VICI Properties Inc.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VICI Properties L.P.  ☒ </w:t>
            </w:r>
          </w:p>
        </w:tc>
      </w:tr>
    </w:tbl>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w:t>
            </w:r>
            <w:r>
              <w:rPr>
                <w:color w:val="000000"/>
              </w:rPr>
              <w:t>☐</w:t>
            </w:r>
          </w:p>
        </w:tc>
      </w:tr>
    </w:tbl>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w:t>
            </w:r>
            <w:r>
              <w:rPr>
                <w:color w:val="000000"/>
              </w:rPr>
              <w:t>☐</w:t>
            </w:r>
          </w:p>
        </w:tc>
      </w:tr>
    </w:tbl>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shell company (as defined in Rule 12b-2 of the Act). </w:t>
      </w:r>
    </w:p>
    <w:tbl>
      <w:tblPr>
        <w:tblW w:w="6746" w:type="dxa"/>
        <w:jc w:val="left"/>
        <w:tblInd w:w="0" w:type="dxa"/>
        <w:tblLayout w:type="fixed"/>
        <w:tblCellMar>
          <w:top w:w="28" w:type="dxa"/>
          <w:left w:w="28" w:type="dxa"/>
          <w:bottom w:w="28" w:type="dxa"/>
          <w:right w:w="28" w:type="dxa"/>
        </w:tblCellMar>
      </w:tblPr>
      <w:tblGrid>
        <w:gridCol w:w="1164"/>
        <w:gridCol w:w="1022"/>
        <w:gridCol w:w="1024"/>
        <w:gridCol w:w="109"/>
        <w:gridCol w:w="109"/>
        <w:gridCol w:w="109"/>
        <w:gridCol w:w="939"/>
        <w:gridCol w:w="939"/>
        <w:gridCol w:w="1331"/>
      </w:tblGrid>
      <w:tr>
        <w:trPr/>
        <w:tc>
          <w:tcPr>
            <w:tcW w:w="116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Inc.  Yes  </w:t>
            </w:r>
            <w:r>
              <w:rPr>
                <w:color w:val="000000"/>
              </w:rPr>
              <w:t>☐    </w:t>
            </w:r>
            <w:r>
              <w:rPr>
                <w:rFonts w:ascii="Times New Roman;serif" w:hAnsi="Times New Roman;serif"/>
                <w:b w:val="false"/>
                <w:color w:val="000000"/>
                <w:sz w:val="16"/>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erif" w:hAnsi="Times New Roman;serif"/>
                <w:b w:val="false"/>
                <w:color w:val="000000"/>
                <w:sz w:val="16"/>
              </w:rPr>
              <w:t>VICI Properties L.P. Yes  </w:t>
            </w:r>
            <w:r>
              <w:rPr>
                <w:color w:val="000000"/>
              </w:rPr>
              <w:t>☐    </w:t>
            </w:r>
            <w:r>
              <w:rPr>
                <w:rFonts w:ascii="Times New Roman;serif" w:hAnsi="Times New Roman;serif"/>
                <w:b w:val="false"/>
                <w:color w:val="000000"/>
                <w:sz w:val="16"/>
              </w:rPr>
              <w:t>No  ☒</w:t>
            </w:r>
          </w:p>
        </w:tc>
      </w:tr>
    </w:tbl>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VICI Properties Inc.’s most recently completed second fiscal quarter), the aggregate market value of the common stock held by non-affiliates of VICI Properties Inc. was approximately $34.4 billion, based on the closing price of the common stock as reported on the NYSE on that date. VICI Properties L.P. had no publicly traded voting equity as of June 30, 2025.</w:t>
      </w:r>
    </w:p>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February 24, 2026, VICI Properties Inc. had 1,068,737,299 shares of common stock, $0.01 par value per share, outstanding. VICI Properties L.P. has no common stock outstanding.</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DOCUMENTS INCORPORATED BY REFERENCE </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Portions of the VICI Properties Inc.’s definitive proxy statement relating to the 2026 Annual Meeting of Stockholders, to be filed with the Securities and Exchange Commission within 120 days after the end of the calendar year to which this report relates, are incorporated by reference into Part III, Items 10-14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combines the annual reports on Form 10-K for the year ended December 31, 2025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highlight the differences between VICI and VICI LP, the separate sections in this report for VICI and VICI LP are described below and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is a real estate investment trust (“REIT”) that is the sole owner of VICI Properties GP LLC, the sole general partner of VICI LP. As of December 31, 2025, VICI owns 100% of the limited liability company interests of VICI Properties HoldCo LLC (“HoldCo”), which in turn owns approximately 98.9% of the limited liability company interest of VICI OP (such interests, “VICI OP Units”), our operating partnership, which in turn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details VICI’s organizational structure as of December 31, 2025.</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combining the annual reports on Form 10-K of VICI and VICI LP into this single report: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it is important to understand the few differences between VICI and VICI LP in the context of how VICI and VICI LP operate as a consolidated company. VICI is a REIT whose only material asset is its indirect investment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consolidates VICI LP for financial reporting purposes, and VICI does not have material assets other than its indirect investment in VICI LP. Therefore, while there are some areas of difference between the Consolidated Financial Statements of VICI and those of VICI LP, the assets and liabilities of VICI and VICI LP are materially the same on their respective financial statements. As of December 31, 2025, the primary areas of difference between the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Part II, Item 5. Market for the Company’s Common Equity, Related Stockholder Matters and Issuer Purchases of Equity Securities;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separate Part II, Item 9A. Controls and Procedures sections;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Exhibits 31 and 32 certifications for each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3"/>
        <w:gridCol w:w="214"/>
        <w:gridCol w:w="219"/>
        <w:gridCol w:w="2993"/>
        <w:gridCol w:w="2979"/>
        <w:gridCol w:w="2984"/>
        <w:gridCol w:w="167"/>
        <w:gridCol w:w="167"/>
        <w:gridCol w:w="239"/>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2"/>
                <w:u w:val="single"/>
              </w:rPr>
              <w:t>TABLE OF CONTENTS</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3">
              <w:r>
                <w:rPr>
                  <w:rStyle w:val="InternetLink"/>
                  <w:rFonts w:ascii="Times New Roman;serif" w:hAnsi="Times New Roman;serif"/>
                  <w:b w:val="false"/>
                  <w:strike w:val="false"/>
                  <w:dstrike w:val="false"/>
                  <w:color w:val="0000FF"/>
                  <w:sz w:val="20"/>
                  <w:u w:val="none"/>
                  <w:effect w:val="none"/>
                </w:rPr>
                <w:t>Part 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6">
              <w:r>
                <w:rPr>
                  <w:rStyle w:val="InternetLink"/>
                  <w:rFonts w:ascii="Times New Roman;serif" w:hAnsi="Times New Roman;serif"/>
                  <w:b w:val="false"/>
                  <w:color w:val="0000FF"/>
                  <w:sz w:val="20"/>
                  <w:u w:val="single"/>
                </w:rPr>
                <w:t>Item 1 – 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6">
              <w:r>
                <w:rPr>
                  <w:rStyle w:val="InternetLink"/>
                  <w:rFonts w:ascii="Times New Roman;serif" w:hAnsi="Times New Roman;serif"/>
                  <w:b w:val="false"/>
                  <w:color w:val="0000FF"/>
                  <w:sz w:val="20"/>
                  <w:u w:val="single"/>
                </w:rPr>
                <w:t>2</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22">
              <w:r>
                <w:rPr>
                  <w:rStyle w:val="InternetLink"/>
                  <w:rFonts w:ascii="Times New Roman;serif" w:hAnsi="Times New Roman;serif"/>
                  <w:b w:val="false"/>
                  <w:color w:val="0000FF"/>
                  <w:sz w:val="20"/>
                  <w:u w:val="single"/>
                </w:rPr>
                <w:t>Item 1A – 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22">
              <w:r>
                <w:rPr>
                  <w:rStyle w:val="InternetLink"/>
                  <w:rFonts w:ascii="Times New Roman;serif" w:hAnsi="Times New Roman;serif"/>
                  <w:b w:val="false"/>
                  <w:color w:val="0000FF"/>
                  <w:sz w:val="20"/>
                  <w:u w:val="single"/>
                </w:rPr>
                <w:t>18</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25">
              <w:r>
                <w:rPr>
                  <w:rStyle w:val="InternetLink"/>
                  <w:rFonts w:ascii="Times New Roman;serif" w:hAnsi="Times New Roman;serif"/>
                  <w:b w:val="false"/>
                  <w:color w:val="0000FF"/>
                  <w:sz w:val="20"/>
                  <w:u w:val="single"/>
                </w:rPr>
                <w:t>Item 1B –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25">
              <w:r>
                <w:rPr>
                  <w:rStyle w:val="InternetLink"/>
                  <w:rFonts w:ascii="Times New Roman;serif" w:hAnsi="Times New Roman;serif"/>
                  <w:b w:val="false"/>
                  <w:color w:val="0000FF"/>
                  <w:sz w:val="20"/>
                  <w:u w:val="single"/>
                </w:rPr>
                <w:t>36</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28">
              <w:r>
                <w:rPr>
                  <w:rStyle w:val="InternetLink"/>
                  <w:rFonts w:ascii="Times New Roman;serif" w:hAnsi="Times New Roman;serif"/>
                  <w:b w:val="false"/>
                  <w:color w:val="0000FF"/>
                  <w:sz w:val="20"/>
                  <w:u w:val="single"/>
                </w:rPr>
                <w:t>Item 1C – Cybersecurity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28">
              <w:r>
                <w:rPr>
                  <w:rStyle w:val="InternetLink"/>
                  <w:rFonts w:ascii="Times New Roman;serif" w:hAnsi="Times New Roman;serif"/>
                  <w:b w:val="false"/>
                  <w:color w:val="0000FF"/>
                  <w:sz w:val="20"/>
                  <w:u w:val="single"/>
                </w:rPr>
                <w:t>36</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31">
              <w:r>
                <w:rPr>
                  <w:rStyle w:val="InternetLink"/>
                  <w:rFonts w:ascii="Times New Roman;serif" w:hAnsi="Times New Roman;serif"/>
                  <w:b w:val="false"/>
                  <w:color w:val="0000FF"/>
                  <w:sz w:val="20"/>
                  <w:u w:val="single"/>
                </w:rPr>
                <w:t>Item 2 – 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31">
              <w:r>
                <w:rPr>
                  <w:rStyle w:val="InternetLink"/>
                  <w:rFonts w:ascii="Times New Roman;serif" w:hAnsi="Times New Roman;serif"/>
                  <w:b w:val="false"/>
                  <w:color w:val="0000FF"/>
                  <w:sz w:val="20"/>
                  <w:u w:val="single"/>
                </w:rPr>
                <w:t>37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34">
              <w:r>
                <w:rPr>
                  <w:rStyle w:val="InternetLink"/>
                  <w:rFonts w:ascii="Times New Roman;serif" w:hAnsi="Times New Roman;serif"/>
                  <w:b w:val="false"/>
                  <w:color w:val="0000FF"/>
                  <w:sz w:val="20"/>
                  <w:u w:val="single"/>
                </w:rPr>
                <w:t>Item 3 – 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34">
              <w:r>
                <w:rPr>
                  <w:rStyle w:val="InternetLink"/>
                  <w:rFonts w:ascii="Times New Roman;serif" w:hAnsi="Times New Roman;serif"/>
                  <w:b w:val="false"/>
                  <w:color w:val="0000FF"/>
                  <w:sz w:val="20"/>
                  <w:u w:val="single"/>
                </w:rPr>
                <w:t>37</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37">
              <w:r>
                <w:rPr>
                  <w:rStyle w:val="InternetLink"/>
                  <w:rFonts w:ascii="Times New Roman;serif" w:hAnsi="Times New Roman;serif"/>
                  <w:b w:val="false"/>
                  <w:color w:val="0000FF"/>
                  <w:sz w:val="20"/>
                  <w:u w:val="single"/>
                </w:rPr>
                <w:t>Item 4 – 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37">
              <w:r>
                <w:rPr>
                  <w:rStyle w:val="InternetLink"/>
                  <w:rFonts w:ascii="Times New Roman;serif" w:hAnsi="Times New Roman;serif"/>
                  <w:b w:val="false"/>
                  <w:color w:val="0000FF"/>
                  <w:sz w:val="20"/>
                  <w:u w:val="single"/>
                </w:rPr>
                <w:t>37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40">
              <w:r>
                <w:rPr>
                  <w:rStyle w:val="InternetLink"/>
                  <w:rFonts w:ascii="Times New Roman;serif" w:hAnsi="Times New Roman;serif"/>
                  <w:b w:val="false"/>
                  <w:strike w:val="false"/>
                  <w:dstrike w:val="false"/>
                  <w:color w:val="0000FF"/>
                  <w:sz w:val="20"/>
                  <w:u w:val="none"/>
                  <w:effect w:val="none"/>
                </w:rPr>
                <w:t>Part II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43">
              <w:r>
                <w:rPr>
                  <w:rStyle w:val="InternetLink"/>
                  <w:rFonts w:ascii="Times New Roman;serif" w:hAnsi="Times New Roman;serif"/>
                  <w:b w:val="false"/>
                  <w:color w:val="0000FF"/>
                  <w:sz w:val="20"/>
                  <w:u w:val="single"/>
                </w:rPr>
                <w:t>Item 5 – Market for the Registrant’s Common Equity, Related Stockholder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43">
              <w:r>
                <w:rPr>
                  <w:rStyle w:val="InternetLink"/>
                  <w:rFonts w:ascii="Times New Roman;serif" w:hAnsi="Times New Roman;serif"/>
                  <w:b w:val="false"/>
                  <w:color w:val="0000FF"/>
                  <w:sz w:val="20"/>
                  <w:u w:val="single"/>
                </w:rPr>
                <w:t>38</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46">
              <w:r>
                <w:rPr>
                  <w:rStyle w:val="InternetLink"/>
                  <w:rFonts w:ascii="Times New Roman;serif" w:hAnsi="Times New Roman;serif"/>
                  <w:b w:val="false"/>
                  <w:color w:val="0000FF"/>
                  <w:sz w:val="20"/>
                  <w:u w:val="single"/>
                </w:rPr>
                <w:t>Item 6 – [Reserved]</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46">
              <w:r>
                <w:rPr>
                  <w:rStyle w:val="InternetLink"/>
                  <w:rFonts w:ascii="Times New Roman;serif" w:hAnsi="Times New Roman;serif"/>
                  <w:b w:val="false"/>
                  <w:color w:val="0000FF"/>
                  <w:sz w:val="20"/>
                  <w:u w:val="single"/>
                </w:rPr>
                <w:t>40</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49">
              <w:r>
                <w:rPr>
                  <w:rStyle w:val="InternetLink"/>
                  <w:rFonts w:ascii="Times New Roman;serif" w:hAnsi="Times New Roman;serif"/>
                  <w:b w:val="false"/>
                  <w:color w:val="0000FF"/>
                  <w:sz w:val="20"/>
                  <w:u w:val="single"/>
                </w:rPr>
                <w:t>Item 7 – 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49">
              <w:r>
                <w:rPr>
                  <w:rStyle w:val="InternetLink"/>
                  <w:rFonts w:ascii="Times New Roman;serif" w:hAnsi="Times New Roman;serif"/>
                  <w:b w:val="false"/>
                  <w:color w:val="0000FF"/>
                  <w:sz w:val="20"/>
                  <w:u w:val="single"/>
                </w:rPr>
                <w:t>40</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58">
              <w:r>
                <w:rPr>
                  <w:rStyle w:val="InternetLink"/>
                  <w:rFonts w:ascii="Times New Roman;serif" w:hAnsi="Times New Roman;serif"/>
                  <w:b w:val="false"/>
                  <w:color w:val="0000FF"/>
                  <w:sz w:val="20"/>
                  <w:u w:val="single"/>
                </w:rPr>
                <w:t>Item 7A – 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58">
              <w:r>
                <w:rPr>
                  <w:rStyle w:val="InternetLink"/>
                  <w:rFonts w:ascii="Times New Roman;serif" w:hAnsi="Times New Roman;serif"/>
                  <w:b w:val="false"/>
                  <w:color w:val="0000FF"/>
                  <w:sz w:val="20"/>
                  <w:u w:val="single"/>
                </w:rPr>
                <w:t>56</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61">
              <w:r>
                <w:rPr>
                  <w:rStyle w:val="InternetLink"/>
                  <w:rFonts w:ascii="Times New Roman;serif" w:hAnsi="Times New Roman;serif"/>
                  <w:b w:val="false"/>
                  <w:color w:val="0000FF"/>
                  <w:sz w:val="20"/>
                  <w:u w:val="single"/>
                </w:rPr>
                <w:t>Item 8 – Financial Statements and Supplementary Data</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61">
              <w:r>
                <w:rPr>
                  <w:rStyle w:val="InternetLink"/>
                  <w:rFonts w:ascii="Times New Roman;serif" w:hAnsi="Times New Roman;serif"/>
                  <w:b w:val="false"/>
                  <w:color w:val="0000FF"/>
                  <w:sz w:val="20"/>
                  <w:u w:val="single"/>
                </w:rPr>
                <w:t>57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64">
              <w:r>
                <w:rPr>
                  <w:rStyle w:val="InternetLink"/>
                  <w:rFonts w:ascii="Times New Roman;serif" w:hAnsi="Times New Roman;serif"/>
                  <w:b w:val="false"/>
                  <w:color w:val="0000FF"/>
                  <w:sz w:val="20"/>
                  <w:u w:val="single"/>
                </w:rPr>
                <w:t>Item 9 – Changes in and Disagreements with Accountants on Accounting and Financial Disclosure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64">
              <w:r>
                <w:rPr>
                  <w:rStyle w:val="InternetLink"/>
                  <w:rFonts w:ascii="Times New Roman;serif" w:hAnsi="Times New Roman;serif"/>
                  <w:b w:val="false"/>
                  <w:color w:val="0000FF"/>
                  <w:sz w:val="20"/>
                  <w:u w:val="single"/>
                </w:rPr>
                <w:t>57</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67">
              <w:r>
                <w:rPr>
                  <w:rStyle w:val="InternetLink"/>
                  <w:rFonts w:ascii="Times New Roman;serif" w:hAnsi="Times New Roman;serif"/>
                  <w:b w:val="false"/>
                  <w:color w:val="0000FF"/>
                  <w:sz w:val="20"/>
                  <w:u w:val="single"/>
                </w:rPr>
                <w:t>Item 9A – 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67">
              <w:r>
                <w:rPr>
                  <w:rStyle w:val="InternetLink"/>
                  <w:rFonts w:ascii="Times New Roman;serif" w:hAnsi="Times New Roman;serif"/>
                  <w:b w:val="false"/>
                  <w:color w:val="0000FF"/>
                  <w:sz w:val="20"/>
                  <w:u w:val="single"/>
                </w:rPr>
                <w:t>57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70">
              <w:r>
                <w:rPr>
                  <w:rStyle w:val="InternetLink"/>
                  <w:rFonts w:ascii="Times New Roman;serif" w:hAnsi="Times New Roman;serif"/>
                  <w:b w:val="false"/>
                  <w:color w:val="0000FF"/>
                  <w:sz w:val="20"/>
                  <w:u w:val="single"/>
                </w:rPr>
                <w:t>Item 9B –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70">
              <w:r>
                <w:rPr>
                  <w:rStyle w:val="InternetLink"/>
                  <w:rFonts w:ascii="Times New Roman;serif" w:hAnsi="Times New Roman;serif"/>
                  <w:b w:val="false"/>
                  <w:color w:val="0000FF"/>
                  <w:sz w:val="20"/>
                  <w:u w:val="single"/>
                </w:rPr>
                <w:t>59</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73">
              <w:r>
                <w:rPr>
                  <w:rStyle w:val="InternetLink"/>
                  <w:rFonts w:ascii="Times New Roman;serif" w:hAnsi="Times New Roman;serif"/>
                  <w:b w:val="false"/>
                  <w:color w:val="0000FF"/>
                  <w:sz w:val="20"/>
                  <w:u w:val="single"/>
                </w:rPr>
                <w:t>Item 9C – 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73">
              <w:r>
                <w:rPr>
                  <w:rStyle w:val="InternetLink"/>
                  <w:rFonts w:ascii="Times New Roman;serif" w:hAnsi="Times New Roman;serif"/>
                  <w:b w:val="false"/>
                  <w:color w:val="0000FF"/>
                  <w:sz w:val="20"/>
                  <w:u w:val="single"/>
                </w:rPr>
                <w:t>60</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76">
              <w:r>
                <w:rPr>
                  <w:rStyle w:val="InternetLink"/>
                  <w:rFonts w:ascii="Times New Roman;serif" w:hAnsi="Times New Roman;serif"/>
                  <w:b w:val="false"/>
                  <w:strike w:val="false"/>
                  <w:dstrike w:val="false"/>
                  <w:color w:val="0000FF"/>
                  <w:sz w:val="20"/>
                  <w:u w:val="none"/>
                  <w:effect w:val="none"/>
                </w:rPr>
                <w:t>Part III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79">
              <w:r>
                <w:rPr>
                  <w:rStyle w:val="InternetLink"/>
                  <w:rFonts w:ascii="Times New Roman;serif" w:hAnsi="Times New Roman;serif"/>
                  <w:b w:val="false"/>
                  <w:color w:val="0000FF"/>
                  <w:sz w:val="20"/>
                  <w:u w:val="single"/>
                </w:rPr>
                <w:t>Item 10 – 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79">
              <w:r>
                <w:rPr>
                  <w:rStyle w:val="InternetLink"/>
                  <w:rFonts w:ascii="Times New Roman;serif" w:hAnsi="Times New Roman;serif"/>
                  <w:b w:val="false"/>
                  <w:color w:val="0000FF"/>
                  <w:sz w:val="20"/>
                  <w:u w:val="single"/>
                </w:rPr>
                <w:t>61</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82">
              <w:r>
                <w:rPr>
                  <w:rStyle w:val="InternetLink"/>
                  <w:rFonts w:ascii="Times New Roman;serif" w:hAnsi="Times New Roman;serif"/>
                  <w:b w:val="false"/>
                  <w:color w:val="0000FF"/>
                  <w:sz w:val="20"/>
                  <w:u w:val="single"/>
                </w:rPr>
                <w:t>Item 11 – 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82">
              <w:r>
                <w:rPr>
                  <w:rStyle w:val="InternetLink"/>
                  <w:rFonts w:ascii="Times New Roman;serif" w:hAnsi="Times New Roman;serif"/>
                  <w:b w:val="false"/>
                  <w:color w:val="0000FF"/>
                  <w:sz w:val="20"/>
                  <w:u w:val="single"/>
                </w:rPr>
                <w:t>61</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85">
              <w:r>
                <w:rPr>
                  <w:rStyle w:val="InternetLink"/>
                  <w:rFonts w:ascii="Times New Roman;serif" w:hAnsi="Times New Roman;serif"/>
                  <w:b w:val="false"/>
                  <w:color w:val="0000FF"/>
                  <w:sz w:val="20"/>
                  <w:u w:val="single"/>
                </w:rPr>
                <w:t>Item 12 – Security Ownership of Certain Beneficial Owners and Management and Related Stockholder Matters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85">
              <w:r>
                <w:rPr>
                  <w:rStyle w:val="InternetLink"/>
                  <w:rFonts w:ascii="Times New Roman;serif" w:hAnsi="Times New Roman;serif"/>
                  <w:b w:val="false"/>
                  <w:color w:val="0000FF"/>
                  <w:sz w:val="20"/>
                  <w:u w:val="single"/>
                </w:rPr>
                <w:t>61</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88">
              <w:r>
                <w:rPr>
                  <w:rStyle w:val="InternetLink"/>
                  <w:rFonts w:ascii="Times New Roman;serif" w:hAnsi="Times New Roman;serif"/>
                  <w:b w:val="false"/>
                  <w:color w:val="0000FF"/>
                  <w:sz w:val="20"/>
                  <w:u w:val="single"/>
                </w:rPr>
                <w:t>Item 13 – Certain Relationships and Related Transactions, and Director Independence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88">
              <w:r>
                <w:rPr>
                  <w:rStyle w:val="InternetLink"/>
                  <w:rFonts w:ascii="Times New Roman;serif" w:hAnsi="Times New Roman;serif"/>
                  <w:b w:val="false"/>
                  <w:color w:val="0000FF"/>
                  <w:sz w:val="20"/>
                  <w:u w:val="single"/>
                </w:rPr>
                <w:t>61</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91">
              <w:r>
                <w:rPr>
                  <w:rStyle w:val="InternetLink"/>
                  <w:rFonts w:ascii="Times New Roman;serif" w:hAnsi="Times New Roman;serif"/>
                  <w:b w:val="false"/>
                  <w:color w:val="0000FF"/>
                  <w:sz w:val="20"/>
                  <w:u w:val="single"/>
                </w:rPr>
                <w:t>Item 14 – Principal Accountant Fees and Services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91">
              <w:r>
                <w:rPr>
                  <w:rStyle w:val="InternetLink"/>
                  <w:rFonts w:ascii="Times New Roman;serif" w:hAnsi="Times New Roman;serif"/>
                  <w:b w:val="false"/>
                  <w:color w:val="0000FF"/>
                  <w:sz w:val="20"/>
                  <w:u w:val="single"/>
                </w:rPr>
                <w:t>61</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94">
              <w:r>
                <w:rPr>
                  <w:rStyle w:val="InternetLink"/>
                  <w:rFonts w:ascii="Times New Roman;serif" w:hAnsi="Times New Roman;serif"/>
                  <w:b w:val="false"/>
                  <w:strike w:val="false"/>
                  <w:dstrike w:val="false"/>
                  <w:color w:val="0000FF"/>
                  <w:sz w:val="20"/>
                  <w:u w:val="none"/>
                  <w:effect w:val="none"/>
                </w:rPr>
                <w:t>Part IV</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hyperlink w:anchor="i368d3c19aa9d44c4a3d1ba3257c0bdcf_97">
              <w:r>
                <w:rPr>
                  <w:rStyle w:val="InternetLink"/>
                  <w:rFonts w:ascii="Times New Roman;serif" w:hAnsi="Times New Roman;serif"/>
                  <w:b w:val="false"/>
                  <w:color w:val="0000FF"/>
                  <w:sz w:val="20"/>
                  <w:u w:val="single"/>
                </w:rPr>
                <w:t>Item 15 – Exhibits and Financial Statement Schedules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97">
              <w:r>
                <w:rPr>
                  <w:rStyle w:val="InternetLink"/>
                  <w:rFonts w:ascii="Times New Roman;serif" w:hAnsi="Times New Roman;serif"/>
                  <w:b w:val="false"/>
                  <w:color w:val="0000FF"/>
                  <w:sz w:val="20"/>
                  <w:u w:val="single"/>
                </w:rPr>
                <w:t>62</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hyperlink w:anchor="i368d3c19aa9d44c4a3d1ba3257c0bdcf_103">
              <w:r>
                <w:rPr>
                  <w:rStyle w:val="InternetLink"/>
                  <w:rFonts w:ascii="Times New Roman;serif" w:hAnsi="Times New Roman;serif"/>
                  <w:b w:val="false"/>
                  <w:color w:val="0000FF"/>
                  <w:sz w:val="20"/>
                  <w:u w:val="single"/>
                </w:rPr>
                <w:t>Item 16 – 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03">
              <w:r>
                <w:rPr>
                  <w:rStyle w:val="InternetLink"/>
                  <w:rFonts w:ascii="Times New Roman;serif" w:hAnsi="Times New Roman;serif"/>
                  <w:b w:val="false"/>
                  <w:color w:val="0000FF"/>
                  <w:sz w:val="20"/>
                  <w:u w:val="single"/>
                </w:rPr>
                <w:t>68</w:t>
              </w:r>
            </w:hyperlink>
          </w:p>
        </w:tc>
      </w:tr>
      <w:tr>
        <w:trPr/>
        <w:tc>
          <w:tcPr>
            <w:tcW w:w="963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06">
              <w:r>
                <w:rPr>
                  <w:rStyle w:val="InternetLink"/>
                  <w:rFonts w:ascii="Times New Roman;serif" w:hAnsi="Times New Roman;serif"/>
                  <w:b w:val="false"/>
                  <w:color w:val="0000FF"/>
                  <w:sz w:val="20"/>
                  <w:u w:val="single"/>
                </w:rPr>
                <w:t>Signatures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06">
              <w:r>
                <w:rPr>
                  <w:rStyle w:val="InternetLink"/>
                  <w:rFonts w:ascii="Times New Roman;serif" w:hAnsi="Times New Roman;serif"/>
                  <w:b w:val="false"/>
                  <w:color w:val="0000FF"/>
                  <w:sz w:val="20"/>
                  <w:u w:val="single"/>
                </w:rPr>
                <w:t>69</w:t>
              </w:r>
            </w:hyperlink>
          </w:p>
        </w:tc>
      </w:tr>
      <w:tr>
        <w:trPr/>
        <w:tc>
          <w:tcPr>
            <w:tcW w:w="963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09">
              <w:r>
                <w:rPr>
                  <w:rStyle w:val="InternetLink"/>
                  <w:rFonts w:ascii="Times New Roman;serif" w:hAnsi="Times New Roman;serif"/>
                  <w:b w:val="false"/>
                  <w:color w:val="0000FF"/>
                  <w:sz w:val="20"/>
                  <w:u w:val="single"/>
                </w:rPr>
                <w:t>Index to Consolidated Financial Statements and Schedule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09">
              <w:r>
                <w:rPr>
                  <w:rStyle w:val="InternetLink"/>
                  <w:rFonts w:ascii="Times New Roman;serif" w:hAnsi="Times New Roman;serif"/>
                  <w:b w:val="false"/>
                  <w:color w:val="0000FF"/>
                  <w:sz w:val="20"/>
                  <w:u w:val="single"/>
                </w:rPr>
                <w:t>F - 1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5" name="Frame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this Annual Report on Form 10-K,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180" w:after="283"/>
        <w:jc w:val="both"/>
        <w:rPr>
          <w:rFonts w:ascii="Times New Roman;serif" w:hAnsi="Times New Roman;serif"/>
          <w:b/>
          <w:color w:val="000000"/>
          <w:sz w:val="24"/>
        </w:rPr>
      </w:pPr>
      <w:r>
        <w:rPr>
          <w:rFonts w:ascii="Times New Roman;serif" w:hAnsi="Times New Roman;serif"/>
          <w:b/>
          <w:color w:val="000000"/>
          <w:sz w:val="24"/>
        </w:rPr>
        <w:t>Summary of Risk Factors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Risks Related to Our Business and Operations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Financial difficulties experienced by any of our tenants, borrowers or guarantors, including their potential bankruptcy or insolvency, could result in defaults under, or requests to modify or terminate, their lease agreements, related guarantees or loan agreements, or otherwise have a material adverse effect on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dependent on the gaming industry and may be susceptible to risks associated with it, including heightened competition, regulatory developments, changes in consumer behavior and discretionary spending, and the overall macroeconomic environment and outlook.</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Because a concentrated portion of our revenues are generated from the Las Vegas Strip, we are subject to greater risks than a company that is more geographically diversified.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pursuit of acquisitions of, and investments in, experiential assets and other strategic opportunities are in a highly competitive industry and may be unsuccessful or fail to meet our expectations, and we may not identify all potential costs and liabilities in connection with such acquisitions or investments.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lending activities carry distinct risks compared to our acquisition and leasing of real estate, including with respect to development and construction loans for non-stabilized properties, which carry additional risks, including cost overruns, completion delays, operational underperformance, and other issues that could have a material adverse effect on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and our tenants face extensive regulation from gaming and other regulatory authorities, and our charter provides that any of our shares held by investors who are found to be unsuitable by state gaming regulatory authorities are subject to redemption, which may delay or prohibit a change in control.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Required regulatory approvals can delay or prohibit transfers of our gaming properties or the consummation of transactions, which could result in periods in which we are unable to receive rent related to, or otherwise realize the benefits of, such transactions.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subject to additional risks from our investments located outside the United States or on tribal land.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ability to sell, dispose of and use our properties may be limited by the contractual terms of our lease agreements, tax protection agreements or other agreements with our tenants, or otherwise impacted by matters relating to our real estate ownership.</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exposed to risks related to certain of our properties that are subject to ground and use lease arrangements.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elect not to, or not be able to, purchase properties pursuant to our rights under certain agreements, including put-call, call right, right of first refusal, right of first offer and similar agreements, including if we are unable to obtain financing on attractive terms, or at all.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business is subject to risks associated with the potential sale or divestiture of properties or assets in the event we elect to pursue such sale or divestiture after an evaluation of our portfolio of businesses, including loss of revenue and lower-than-expected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properties and the properties securing our loans are subject to risks from natural disasters and other adverse or extreme weather conditions, including the physical effects of climate change.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business is subject to risks associated with environmental compliance, including as a result of climate change laws and regulations and the transition to a lower carbon economy, and potential costs and liabilities associated with such compliance may materially impair the value of certain real estate properties owned by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or our tenants may experience uninsured or underinsured losses, which could result in a significant loss of the capital we have invested in a property, decrease anticipated future revenues or cause us to incur unanticipated expenses.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Terrorist attacks or other acts of violence may affect our properties or our tenants’ businesses and operations at such properties.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loss of the services of key personnel could have a material adverse effect on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face risks associated with cybersecurity incidents and other significant disruptions of our information technology (IT) networks and related systems or those IT networks and systems of third parties.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Properties within our portfolio are, and properties that we may acquire in the future are likely to be, operated and promoted under certain trademarks and brand names that we do not own.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market price and trading volume of shares of our common stock may be volatile.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Risks Related to Our Indebtedness and Financing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Uncertainty in the macroeconomic environment, including heightened interest rates and uncertainty regarding future interest rates, have and may continue to negatively affect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Disruption in the equity and debt capital markets may adversely affect our ability to access external funding for our growth and ongoing debt service requirements and adverse changes in our credit ratings may affect our borrowing terms and capacity.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 breach or default of covenants in our debt agreements could materially and adversely affect our business, financial condition, liquidity, results of operations and prospects.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have engaged and may engage in hedging or other derivative transactions that may limit gains or result in losses.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Risks Related to Our Status as a REIT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incur adverse tax consequences if we have failed or fail to qualify as a REIT for U.S. federal income tax purposes.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Complying with REIT requirements may cause us to liquidate or forgo otherwise attractive opportunities and limit our expansion opportunities, or otherwise adversely affect our ability to execute our business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VICI OP fails to qualify as a partnership for U.S. federal income tax purposes, we would fail to qualify as a REIT and suffer other adverse tax consequences.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Even if we qualify as a REIT, we may face other tax liabilities that reduce our cash flow.</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Risks Related to Our Organizational Structure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VICI is a holding company with no direct operations and relies on distributions received from VICI OP to make distributions to its stockholders.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Certain provisions in our charter and bylaws, as well as certain provisions of Maryland law, may delay, defer or prevent an acquisition of our common stock or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25" w:type="dxa"/>
        <w:jc w:val="left"/>
        <w:tblInd w:w="0" w:type="dxa"/>
        <w:tblLayout w:type="fixed"/>
        <w:tblCellMar>
          <w:top w:w="28" w:type="dxa"/>
          <w:left w:w="28" w:type="dxa"/>
          <w:bottom w:w="28" w:type="dxa"/>
          <w:right w:w="28" w:type="dxa"/>
        </w:tblCellMar>
      </w:tblPr>
      <w:tblGrid>
        <w:gridCol w:w="363"/>
        <w:gridCol w:w="320"/>
        <w:gridCol w:w="321"/>
        <w:gridCol w:w="299"/>
        <w:gridCol w:w="299"/>
        <w:gridCol w:w="42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Business</w:t>
            </w:r>
          </w:p>
        </w:tc>
      </w:tr>
    </w:tbl>
    <w:p>
      <w:pPr>
        <w:pStyle w:val="TextBody"/>
        <w:bidi w:val="0"/>
        <w:spacing w:lineRule="auto" w:line="288" w:before="180" w:after="283"/>
        <w:jc w:val="both"/>
        <w:rPr/>
      </w:pPr>
      <w:r>
        <w:rPr>
          <w:rFonts w:ascii="Times New Roman;serif" w:hAnsi="Times New Roman;serif"/>
          <w:b w:val="false"/>
          <w:color w:val="000000"/>
          <w:sz w:val="20"/>
        </w:rPr>
        <w:t xml:space="preserve">We are a Maryland corporation that is primarily engaged in the business of owning and acquiring gaming, hospitality, wellness, entertainment and leisure destinations, subject to long-term triple net leases. As of December 31, 2025,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erif" w:hAnsi="Times New Roman;serif"/>
          <w:b w:val="false"/>
          <w:color w:val="000000"/>
          <w:sz w:val="20"/>
          <w:shd w:fill="FFFFFF" w:val="clear"/>
        </w:rPr>
        <w:t xml:space="preserve">127 </w:t>
      </w:r>
      <w:r>
        <w:rPr>
          <w:rFonts w:ascii="Times New Roman;serif" w:hAnsi="Times New Roman;serif"/>
          <w:b w:val="false"/>
          <w:color w:val="000000"/>
          <w:sz w:val="20"/>
        </w:rPr>
        <w:t xml:space="preserve">million square feet, our well-maintained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are curren</w:t>
      </w:r>
      <w:r>
        <w:rPr>
          <w:rFonts w:ascii="Times New Roman;serif" w:hAnsi="Times New Roman;serif"/>
          <w:b w:val="false"/>
          <w:color w:val="000000"/>
          <w:sz w:val="20"/>
          <w:shd w:fill="FFFFFF" w:val="clear"/>
        </w:rPr>
        <w:t xml:space="preserve">tly located across urban, destination and drive-to markets in twenty-six states and Canada, contain approximately 60,300 hotel rooms and feature over 500 restaurants, bars, nightclubs and sportsbooks.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our properties are 100% leased with a weighted average lease term, including extension options, of approximately </w:t>
      </w:r>
      <w:r>
        <w:rPr>
          <w:rFonts w:ascii="Times New Roman;serif" w:hAnsi="Times New Roman;serif"/>
          <w:b w:val="false"/>
          <w:color w:val="000000"/>
          <w:sz w:val="20"/>
        </w:rPr>
        <w:t>39.6 years</w:t>
      </w:r>
      <w:r>
        <w:rPr>
          <w:rFonts w:ascii="Times New Roman;serif" w:hAnsi="Times New Roman;serif"/>
          <w:b w:val="false"/>
          <w:color w:val="000000"/>
          <w:sz w:val="20"/>
          <w:shd w:fill="FFFFFF" w:val="clear"/>
        </w:rPr>
        <w:t>.</w:t>
      </w:r>
    </w:p>
    <w:p>
      <w:pPr>
        <w:pStyle w:val="TextBody"/>
        <w:bidi w:val="0"/>
        <w:spacing w:lineRule="auto" w:line="288" w:before="180" w:after="283"/>
        <w:jc w:val="both"/>
        <w:rPr/>
      </w:pPr>
      <w:r>
        <w:rPr>
          <w:rFonts w:ascii="Times New Roman;serif" w:hAnsi="Times New Roman;serif"/>
          <w:b w:val="false"/>
          <w:color w:val="000000"/>
          <w:sz w:val="20"/>
        </w:rPr>
        <w:t xml:space="preserve">We also have a growing array of real estate and financing partnerships with leading developers and operators in other experiential sectors, including Cabot, Cain, Canyon Ranch, Chelsea Piers, Great Wolf Resorts, Homefield, Kalahari Resorts and Lucky Strike Entertainment. This portfolio includes certain real estate debt investments which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policies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w:t>
      </w:r>
      <w:r>
        <w:rPr>
          <w:rFonts w:ascii="Times New Roman;serif" w:hAnsi="Times New Roman;serif"/>
          <w:b w:val="false"/>
          <w:color w:val="000000"/>
          <w:sz w:val="20"/>
          <w:shd w:fill="FFFFFF" w:val="clear"/>
        </w:rPr>
        <w:t xml:space="preserve">to Caesars Entertainment, Inc. (together with, as the context requires, its subsidiaries, “Caesars”), </w:t>
      </w:r>
      <w:r>
        <w:rPr>
          <w:rFonts w:ascii="Times New Roman;serif" w:hAnsi="Times New Roman;serif"/>
          <w:b w:val="false"/>
          <w:color w:val="000000"/>
          <w:sz w:val="20"/>
        </w:rPr>
        <w:t xml:space="preserve">which we may look to monetize as appropriate. 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 LLC (“VICI Golf”).</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Investment Highlights and Portfolio Characteristics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shd w:fill="FFFFFF" w:val="clear"/>
        </w:rPr>
        <w:t>Demonstrated track record of growth</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We have announced approximately $39.1 billion of domestic and international investments across gaming and other experiential assets since our formation in October 2017.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shd w:fill="FFFFFF" w:val="clear"/>
        </w:rPr>
        <w:t>Significant scale and stable cash flows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We are one of the largest triple net lease REITs with over $4.0 billion in revenues in 2025 and 100% rent collection since formation (including through COVID).</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rPr>
        <w:t>Mission critical complex real estate</w:t>
      </w:r>
      <w:r>
        <w:rPr>
          <w:rFonts w:ascii="Times New Roman;serif" w:hAnsi="Times New Roman;serif"/>
          <w:b w:val="false"/>
          <w:color w:val="000000"/>
          <w:sz w:val="20"/>
        </w:rPr>
        <w:t>. The significant complexity and high replacement cost of our assets, combined with the gaming regulatory environment in which certain properties operate, create high barriers to entry that contribute to our current 100% occupancy rate.</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Non-commodity experiential real estate</w:t>
      </w:r>
      <w:r>
        <w:rPr>
          <w:rFonts w:ascii="Times New Roman;serif" w:hAnsi="Times New Roman;serif"/>
          <w:b/>
          <w:color w:val="000000"/>
          <w:sz w:val="20"/>
        </w:rPr>
        <w:t xml:space="preserve">. </w:t>
      </w:r>
      <w:r>
        <w:rPr>
          <w:rFonts w:ascii="Times New Roman;serif" w:hAnsi="Times New Roman;serif"/>
          <w:b w:val="false"/>
          <w:color w:val="000000"/>
          <w:sz w:val="20"/>
        </w:rPr>
        <w:t>Our triple-net lease model for non-commodity experiential assets allows for operators to unlock their real estate value while providing us with susta</w:t>
      </w:r>
      <w:r>
        <w:rPr>
          <w:rFonts w:ascii="Times New Roman;serif" w:hAnsi="Times New Roman;serif"/>
          <w:b w:val="false"/>
          <w:color w:val="000000"/>
          <w:sz w:val="20"/>
          <w:shd w:fill="FFFFFF" w:val="clear"/>
        </w:rPr>
        <w:t>ined and sustainable rental growth.</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shd w:fill="FFFFFF" w:val="clear"/>
        </w:rPr>
        <w:t>Contractual escalation with inflation protection</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As of December 31, 2025, 42% of our full-year 2025 rent and 90% of our rent over the long-term feature CPI-linked escalation (subject to applic</w:t>
      </w:r>
      <w:r>
        <w:rPr>
          <w:rFonts w:ascii="Times New Roman;serif" w:hAnsi="Times New Roman;serif"/>
          <w:b w:val="false"/>
          <w:color w:val="000000"/>
          <w:sz w:val="20"/>
        </w:rPr>
        <w:t>able caps).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shd w:fill="FFFFFF" w:val="clear"/>
        </w:rPr>
        <w:t>Tenant transparency.</w:t>
      </w:r>
      <w:r>
        <w:rPr>
          <w:color w:val="000000"/>
          <w:shd w:fill="FFFFFF" w:val="clear"/>
        </w:rPr>
        <w:t xml:space="preserve"> </w:t>
      </w:r>
      <w:r>
        <w:rPr>
          <w:rFonts w:ascii="Times New Roman;serif" w:hAnsi="Times New Roman;serif"/>
          <w:b w:val="false"/>
          <w:color w:val="000000"/>
          <w:sz w:val="20"/>
          <w:shd w:fill="FFFFFF" w:val="clear"/>
        </w:rPr>
        <w:t>As of December 31, 2025, 79% of our rent is derived from SEC reporting operators providing transparency into tenant performance and credit quality.</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shd w:fill="FFFFFF" w:val="clear"/>
        </w:rPr>
        <w:t>Investment-grade balance sheet</w:t>
      </w:r>
      <w:r>
        <w:rPr>
          <w:rFonts w:ascii="Times New Roman;serif" w:hAnsi="Times New Roman;serif"/>
          <w:b/>
          <w:color w:val="000000"/>
          <w:sz w:val="20"/>
          <w:shd w:fill="FFFFFF" w:val="clear"/>
        </w:rPr>
        <w:t xml:space="preserve">. </w:t>
      </w:r>
      <w:r>
        <w:rPr>
          <w:rFonts w:ascii="Times New Roman;serif" w:hAnsi="Times New Roman;serif"/>
          <w:b w:val="false"/>
          <w:color w:val="000000"/>
          <w:sz w:val="20"/>
          <w:shd w:fill="FFFFFF" w:val="clear"/>
        </w:rPr>
        <w:t>We have investment-grade ratings from all three major credit rating agencies, which broadens our access across capital markets and supports a stronger cost of capital.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shd w:fill="FFFFFF" w:val="clear"/>
        </w:rPr>
        <w:t>S&amp;P 500 constituent</w:t>
      </w:r>
      <w:r>
        <w:rPr>
          <w:rFonts w:ascii="Times New Roman;serif" w:hAnsi="Times New Roman;serif"/>
          <w:b/>
          <w:color w:val="000000"/>
          <w:sz w:val="20"/>
          <w:shd w:fill="FFFFFF" w:val="clear"/>
        </w:rPr>
        <w:t xml:space="preserve">. </w:t>
      </w:r>
      <w:r>
        <w:rPr>
          <w:rFonts w:ascii="Times New Roman;serif" w:hAnsi="Times New Roman;serif"/>
          <w:b w:val="false"/>
          <w:color w:val="000000"/>
          <w:sz w:val="20"/>
          <w:shd w:fill="FFFFFF" w:val="clear"/>
        </w:rPr>
        <w:t>We were added to the S&amp;P 500 Index in June 2022, representing the shortest time from IPO to S&amp;P 500 Index inclusion for any REIT.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Framework for Exploring Experiential Real Estate Sectors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seek to investigate, validate and potentially invest in sectors that feature these fundamental characteristics: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Low cyclicality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Sectors that demonstrate relatively lower cyclicality than other consumer discretionary sectors, with a balance between drive-to and fly-to destinations, enabling customer activation during economic downturns.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Compelling place-based experiences</w:t>
      </w:r>
      <w:r>
        <w:rPr>
          <w:rFonts w:ascii="Times New Roman;serif" w:hAnsi="Times New Roman;serif"/>
          <w:b w:val="false"/>
          <w:color w:val="000000"/>
          <w:sz w:val="20"/>
        </w:rPr>
        <w:t xml:space="preserve">: Sectors that offer experiences that generate in-person demand and destination-based consumer loyalty.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Experiential durability and longevity</w:t>
      </w:r>
      <w:r>
        <w:rPr>
          <w:rFonts w:ascii="Times New Roman;serif" w:hAnsi="Times New Roman;serif"/>
          <w:b w:val="false"/>
          <w:color w:val="000000"/>
          <w:sz w:val="20"/>
        </w:rPr>
        <w:t>: Sectors with innovative operators who generate enduring and diverse experiences appealing to multiple demographics.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Favorable supply / demand balance</w:t>
      </w:r>
      <w:r>
        <w:rPr>
          <w:rFonts w:ascii="Times New Roman;serif" w:hAnsi="Times New Roman;serif"/>
          <w:b w:val="false"/>
          <w:color w:val="000000"/>
          <w:sz w:val="20"/>
        </w:rPr>
        <w:t>: Sectors for which supply growth is difficult and/or costly to achieve, whether due to regulatory considerations, initial entry costs or other barriers to entry.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Economic dynamism</w:t>
      </w:r>
      <w:r>
        <w:rPr>
          <w:rFonts w:ascii="Times New Roman;serif" w:hAnsi="Times New Roman;serif"/>
          <w:b w:val="false"/>
          <w:color w:val="000000"/>
          <w:sz w:val="20"/>
        </w:rPr>
        <w:t>: Sectors with operators that demonstrate a “cash-register-rich” experiential operating model driving multiple revenue streams and a strong mix of demand generators.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Properties and Lease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experiential portfolio features world-renowned assets on the Las Vegas Strip and market-leading urban, destination and regional properties with significant scale. Our properties are leased to leading operators that seek to drive loyalty and value with guests through superior services, experiences and products and continuous innovation. </w:t>
      </w:r>
    </w:p>
    <w:p>
      <w:pPr>
        <w:pStyle w:val="TextBody"/>
        <w:bidi w:val="0"/>
        <w:spacing w:lineRule="auto" w:line="288" w:before="180" w:after="283"/>
        <w:jc w:val="both"/>
        <w:rPr/>
      </w:pPr>
      <w:r>
        <w:rPr>
          <w:rFonts w:ascii="Times New Roman;serif" w:hAnsi="Times New Roman;serif"/>
          <w:b w:val="false"/>
          <w:color w:val="000000"/>
          <w:sz w:val="20"/>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Our lease agreements are generally long term in nature with initial terms ranging from 15 to 32 years and are generally structured with several tenant renewal options extending the term of the lease for another 5 to 30 years. All of our lease agreements provide for annual base rent escalations, which may be fixed or variable over the life of the lease. Among our leases, 15 of 17 are subject to a CPI-linked escalation for some period over the life of the lease (subject to applicable caps). The rent escalation provisions range from providing for a flat annual increase of 1% to 2% to an annual increase of 1% in the earlier years and the greater of 2% or CPI in the later years, which may be subject to a maximum CPI-based cap with respect to each annual rent increase. For an overview of the provisions of certain of our lease agreements, including the related capital expenditure requirements, refer to </w:t>
      </w:r>
      <w:hyperlink w:anchor="i368d3c19aa9d44c4a3d1ba3257c0bdcf_157">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lease agreements between us and our respective tenants and guarantors, including pending transactions (each, as may be amended from time to time, and each individually, as defined in the column titled “Lease Agreement”), and the properties under each our respective lease agreements, as of the date of this Annual Report. </w:t>
      </w:r>
    </w:p>
    <w:tbl>
      <w:tblPr>
        <w:tblW w:w="10205" w:type="dxa"/>
        <w:jc w:val="left"/>
        <w:tblInd w:w="0" w:type="dxa"/>
        <w:tblLayout w:type="fixed"/>
        <w:tblCellMar>
          <w:top w:w="28" w:type="dxa"/>
          <w:left w:w="28" w:type="dxa"/>
          <w:bottom w:w="28" w:type="dxa"/>
          <w:right w:w="28" w:type="dxa"/>
        </w:tblCellMar>
      </w:tblPr>
      <w:tblGrid>
        <w:gridCol w:w="496"/>
        <w:gridCol w:w="435"/>
        <w:gridCol w:w="437"/>
        <w:gridCol w:w="109"/>
        <w:gridCol w:w="109"/>
        <w:gridCol w:w="109"/>
        <w:gridCol w:w="742"/>
        <w:gridCol w:w="653"/>
        <w:gridCol w:w="656"/>
        <w:gridCol w:w="109"/>
        <w:gridCol w:w="109"/>
        <w:gridCol w:w="109"/>
        <w:gridCol w:w="663"/>
        <w:gridCol w:w="663"/>
        <w:gridCol w:w="670"/>
        <w:gridCol w:w="109"/>
        <w:gridCol w:w="109"/>
        <w:gridCol w:w="109"/>
        <w:gridCol w:w="470"/>
        <w:gridCol w:w="470"/>
        <w:gridCol w:w="471"/>
        <w:gridCol w:w="109"/>
        <w:gridCol w:w="109"/>
        <w:gridCol w:w="109"/>
        <w:gridCol w:w="109"/>
        <w:gridCol w:w="109"/>
        <w:gridCol w:w="109"/>
        <w:gridCol w:w="109"/>
        <w:gridCol w:w="109"/>
        <w:gridCol w:w="109"/>
        <w:gridCol w:w="412"/>
        <w:gridCol w:w="412"/>
        <w:gridCol w:w="593"/>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Lease Agreement </w:t>
            </w:r>
            <w:r>
              <w:rPr>
                <w:rFonts w:ascii="Times New Roman;serif" w:hAnsi="Times New Roman;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Tenant/Guarantor </w:t>
            </w:r>
            <w:r>
              <w:rPr>
                <w:rFonts w:ascii="Times New Roman;serif" w:hAnsi="Times New Roman;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Initial Expiration</w:t>
            </w:r>
            <w:r>
              <w:rPr>
                <w:color w:val="000000"/>
              </w:rPr>
              <w:t xml:space="preserve"> </w:t>
            </w:r>
            <w:r>
              <w:rPr>
                <w:rFonts w:ascii="Times New Roman;serif" w:hAnsi="Times New Roman;serif"/>
                <w:b/>
                <w:i/>
                <w:color w:val="000000"/>
                <w:sz w:val="12"/>
              </w:rPr>
              <w:t>(3)</w:t>
            </w:r>
          </w:p>
        </w:tc>
      </w:tr>
      <w:tr>
        <w:trPr/>
        <w:tc>
          <w:tcPr>
            <w:tcW w:w="8243"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Gaming Portfolio</w:t>
            </w:r>
          </w:p>
        </w:tc>
        <w:tc>
          <w:tcPr>
            <w:tcW w:w="1962" w:type="dxa"/>
            <w:gridSpan w:val="8"/>
            <w:tcBorders/>
          </w:tcPr>
          <w:p>
            <w:pPr>
              <w:pStyle w:val="TableContents"/>
              <w:bidi w:val="0"/>
              <w:spacing w:before="0" w:after="283"/>
              <w:jc w:val="left"/>
              <w:rPr>
                <w:sz w:val="4"/>
                <w:szCs w:val="4"/>
              </w:rPr>
            </w:pPr>
            <w:r>
              <w:rPr>
                <w:sz w:val="4"/>
                <w:szCs w:val="4"/>
              </w:rPr>
            </w:r>
          </w:p>
        </w:tc>
      </w:tr>
      <w:tr>
        <w:trPr/>
        <w:tc>
          <w:tcPr>
            <w:tcW w:w="37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Caesars Joliet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Caesars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July 31, 2035</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Joliet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Joliet,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Caesars Las Vegas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Caesars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July 31, 2035</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Palace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Caesars Regional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Caesars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July 31, 2035</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Caesars New Orleans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Orleans,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Caesars Republic Lake Tahoe </w:t>
            </w:r>
            <w:r>
              <w:rPr>
                <w:rFonts w:ascii="Times New Roman;serif" w:hAnsi="Times New Roman;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Stateline,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Atlantic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Gulf Coast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Stateline,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Laughlin,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Metropolis </w:t>
            </w:r>
            <w:r>
              <w:rPr>
                <w:rFonts w:ascii="Times New Roman;serif" w:hAnsi="Times New Roman;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Metropolis,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North Kansas City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Kansas City,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733"/>
        <w:gridCol w:w="735"/>
        <w:gridCol w:w="109"/>
        <w:gridCol w:w="109"/>
        <w:gridCol w:w="109"/>
        <w:gridCol w:w="663"/>
        <w:gridCol w:w="663"/>
        <w:gridCol w:w="524"/>
        <w:gridCol w:w="109"/>
        <w:gridCol w:w="109"/>
        <w:gridCol w:w="109"/>
        <w:gridCol w:w="1073"/>
        <w:gridCol w:w="732"/>
        <w:gridCol w:w="735"/>
        <w:gridCol w:w="109"/>
        <w:gridCol w:w="109"/>
        <w:gridCol w:w="109"/>
        <w:gridCol w:w="109"/>
        <w:gridCol w:w="109"/>
        <w:gridCol w:w="109"/>
        <w:gridCol w:w="109"/>
        <w:gridCol w:w="109"/>
        <w:gridCol w:w="109"/>
        <w:gridCol w:w="360"/>
        <w:gridCol w:w="360"/>
        <w:gridCol w:w="5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Chester,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Horseshoe Bossier City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Horseshoe Hammond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Hammond,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Tunica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Robinsonville,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Century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Century Casinos,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September 30, 2038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Casino &amp; Hotel Edmonton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Edmonton,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Casino Cape Girardeau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Cape Girardeau,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Casino Caruthersville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Caruthersville,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Casino St.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Downs Racetrack and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Calgary,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Century Mile Racetrack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 Casino Resort &amp; Racetrack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Cumberland,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Rocky Gap Casino Resort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Flintstone,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18"/>
              </w:rPr>
            </w:pPr>
            <w:r>
              <w:rPr>
                <w:rFonts w:ascii="Times New Roman;serif" w:hAnsi="Times New Roman;serif"/>
                <w:b/>
                <w:i/>
                <w:color w:val="000000"/>
                <w:sz w:val="18"/>
              </w:rPr>
              <w:t>CNE Gold Strike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pPr>
            <w:r>
              <w:rPr>
                <w:rFonts w:ascii="Times New Roman;serif" w:hAnsi="Times New Roman;serif"/>
                <w:b/>
                <w:i/>
                <w:color w:val="000000"/>
                <w:sz w:val="18"/>
              </w:rPr>
              <w:t xml:space="preserve">Cherokee Nation Businesses, L.L.C. (“CNB”) </w:t>
            </w:r>
            <w:r>
              <w:rPr>
                <w:rFonts w:ascii="Times New Roman;serif" w:hAnsi="Times New Roman;serif"/>
                <w:b/>
                <w:i/>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April 30, 2048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Strike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Robinsonville,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EBCI Southern Indiana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Eastern Band of Cherokee Indians (“EBCI”)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August 31, 2036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Southern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Elizabeth,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18"/>
              </w:rPr>
            </w:pPr>
            <w:r>
              <w:rPr>
                <w:rFonts w:ascii="Times New Roman;serif" w:hAnsi="Times New Roman;serif"/>
                <w:b/>
                <w:i/>
                <w:color w:val="000000"/>
                <w:sz w:val="18"/>
              </w:rPr>
              <w:t>Foundation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Foundation Gaming &amp;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December 31, 2037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Robinsonville,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Vicksburg,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18"/>
              </w:rPr>
            </w:pPr>
            <w:r>
              <w:rPr>
                <w:rFonts w:ascii="Times New Roman;serif" w:hAnsi="Times New Roman;serif"/>
                <w:b/>
                <w:i/>
                <w:color w:val="000000"/>
                <w:sz w:val="18"/>
              </w:rPr>
              <w:t>Hard Rock Cincinnati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Seminole Hard Rock International (“Hard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December 31, 2047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Cincinnati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Cincinnati,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Hard Rock Mirage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Hard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December 31, 2047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Mirage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JACK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JACK Ohio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January 31, 2040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Cleveland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Cleveland,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Thistledown Racino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Randall,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MGM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MGM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April 30, 2047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Beau Rivage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Borgata </w:t>
            </w:r>
            <w:r>
              <w:rPr>
                <w:rFonts w:ascii="Times New Roman;serif" w:hAnsi="Times New Roman;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Empire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Yonkers,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Excalibur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 Detroit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Detroit, 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MGM National Harbor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Prince George’s County,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MGM Northfield Park</w:t>
            </w:r>
            <w:r>
              <w:rPr>
                <w:color w:val="000000"/>
              </w:rPr>
              <w:t xml:space="preserve"> </w:t>
            </w:r>
            <w:r>
              <w:rPr>
                <w:rFonts w:ascii="Times New Roman;serif" w:hAnsi="Times New Roman;serif"/>
                <w:b w:val="false"/>
                <w:i/>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Northfield,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Springfield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Springfield,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 New York/The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 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18"/>
              </w:rPr>
            </w:pPr>
            <w:r>
              <w:rPr>
                <w:rFonts w:ascii="Times New Roman;serif" w:hAnsi="Times New Roman;serif"/>
                <w:b/>
                <w:i/>
                <w:color w:val="000000"/>
                <w:sz w:val="18"/>
              </w:rPr>
              <w:t>MGM Grand/Mandalay Bay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MGM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February 28, 2050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Mandalay Bay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i/>
                <w:color w:val="000000"/>
                <w:sz w:val="18"/>
              </w:rPr>
              <w:t xml:space="preserve">PENN Master Lease </w:t>
            </w:r>
            <w:r>
              <w:rPr>
                <w:rFonts w:ascii="Times New Roman;serif" w:hAnsi="Times New Roman;serif"/>
                <w:b/>
                <w:i/>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i/>
                <w:color w:val="000000"/>
                <w:sz w:val="18"/>
              </w:rPr>
            </w:pPr>
            <w:r>
              <w:rPr>
                <w:rFonts w:ascii="Times New Roman;serif" w:hAnsi="Times New Roman;serif"/>
                <w:b/>
                <w:i/>
                <w:color w:val="000000"/>
                <w:sz w:val="18"/>
              </w:rPr>
              <w:t>PENN Entertainment, Inc. (“PENN”)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May 23, 2034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Hollywood Casino at Greektown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Detroit, 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Resort Casino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
        <w:gridCol w:w="146"/>
        <w:gridCol w:w="146"/>
        <w:gridCol w:w="146"/>
        <w:gridCol w:w="146"/>
        <w:gridCol w:w="146"/>
        <w:gridCol w:w="839"/>
        <w:gridCol w:w="614"/>
        <w:gridCol w:w="609"/>
        <w:gridCol w:w="109"/>
        <w:gridCol w:w="109"/>
        <w:gridCol w:w="109"/>
        <w:gridCol w:w="549"/>
        <w:gridCol w:w="528"/>
        <w:gridCol w:w="482"/>
        <w:gridCol w:w="109"/>
        <w:gridCol w:w="109"/>
        <w:gridCol w:w="109"/>
        <w:gridCol w:w="956"/>
        <w:gridCol w:w="857"/>
        <w:gridCol w:w="859"/>
        <w:gridCol w:w="109"/>
        <w:gridCol w:w="109"/>
        <w:gridCol w:w="109"/>
        <w:gridCol w:w="109"/>
        <w:gridCol w:w="109"/>
        <w:gridCol w:w="109"/>
        <w:gridCol w:w="109"/>
        <w:gridCol w:w="109"/>
        <w:gridCol w:w="109"/>
        <w:gridCol w:w="437"/>
        <w:gridCol w:w="388"/>
        <w:gridCol w:w="557"/>
      </w:tblGrid>
      <w:tr>
        <w:trPr/>
        <w:tc>
          <w:tcPr>
            <w:tcW w:w="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957"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18"/>
              </w:rPr>
            </w:pPr>
            <w:r>
              <w:rPr>
                <w:rFonts w:ascii="Times New Roman;serif" w:hAnsi="Times New Roman;serif"/>
                <w:b/>
                <w:i/>
                <w:color w:val="000000"/>
                <w:sz w:val="18"/>
              </w:rPr>
              <w:t>PURE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pPr>
            <w:r>
              <w:rPr>
                <w:rFonts w:ascii="Times New Roman;serif" w:hAnsi="Times New Roman;serif"/>
                <w:b/>
                <w:i/>
                <w:color w:val="000000"/>
                <w:sz w:val="18"/>
              </w:rPr>
              <w:t xml:space="preserve">Indigenous Gaming Partners Inc. (“IGP”) </w:t>
            </w:r>
            <w:r>
              <w:rPr>
                <w:rFonts w:ascii="Times New Roman;serif" w:hAnsi="Times New Roman;serif"/>
                <w:b/>
                <w:i/>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January 31, 2048</w:t>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Casino Calgary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Calgary,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Casino Edmonton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Edmonton,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Casino Lethbridge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Lethbridge,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Casino Yellowhead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Edmonton,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Venetian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Funds managed by Apollo Global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February 29, 2052</w:t>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Gaming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8" w:type="dxa"/>
            <w:gridSpan w:val="2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Experiential Portfolio</w:t>
            </w:r>
          </w:p>
        </w:tc>
        <w:tc>
          <w:tcPr>
            <w:tcW w:w="1927" w:type="dxa"/>
            <w:gridSpan w:val="8"/>
            <w:tcBorders/>
          </w:tcPr>
          <w:p>
            <w:pPr>
              <w:pStyle w:val="TableContents"/>
              <w:bidi w:val="0"/>
              <w:spacing w:before="0" w:after="283"/>
              <w:jc w:val="left"/>
              <w:rPr>
                <w:sz w:val="4"/>
                <w:szCs w:val="4"/>
              </w:rPr>
            </w:pPr>
            <w:r>
              <w:rPr>
                <w:sz w:val="4"/>
                <w:szCs w:val="4"/>
              </w:rPr>
            </w:r>
          </w:p>
        </w:tc>
      </w:tr>
      <w:tr>
        <w:trPr/>
        <w:tc>
          <w:tcPr>
            <w:tcW w:w="2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Lucky Strike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Lucky Strike Entertainment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October 18, 2048</w:t>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Bowling Entertainment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U.S. Cities (38)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Chelsea Piers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Chelsea Piers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18"/>
              </w:rPr>
              <w:t xml:space="preserve">December 31, 2055 </w:t>
            </w:r>
            <w:r>
              <w:rPr>
                <w:rFonts w:ascii="Times New Roman;serif" w:hAnsi="Times New Roman;serif"/>
                <w:b/>
                <w:i/>
                <w:color w:val="000000"/>
                <w:sz w:val="12"/>
              </w:rPr>
              <w:t>(10)</w:t>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Chelsea Piers </w:t>
            </w:r>
            <w:r>
              <w:rPr>
                <w:rFonts w:ascii="Times New Roman;serif" w:hAnsi="Times New Roman;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Experiential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8"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Pending Acquisitions</w:t>
            </w:r>
          </w:p>
        </w:tc>
        <w:tc>
          <w:tcPr>
            <w:tcW w:w="1927" w:type="dxa"/>
            <w:gridSpan w:val="8"/>
            <w:tcBorders/>
          </w:tcPr>
          <w:p>
            <w:pPr>
              <w:pStyle w:val="TableContents"/>
              <w:bidi w:val="0"/>
              <w:spacing w:before="0" w:after="283"/>
              <w:jc w:val="left"/>
              <w:rPr>
                <w:sz w:val="4"/>
                <w:szCs w:val="4"/>
              </w:rPr>
            </w:pPr>
            <w:r>
              <w:rPr>
                <w:sz w:val="4"/>
                <w:szCs w:val="4"/>
              </w:rPr>
            </w:r>
          </w:p>
        </w:tc>
      </w:tr>
      <w:tr>
        <w:trPr/>
        <w:tc>
          <w:tcPr>
            <w:tcW w:w="295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Golden Master Lease </w:t>
            </w:r>
            <w:r>
              <w:rPr>
                <w:rFonts w:ascii="Times New Roman;serif" w:hAnsi="Times New Roman;serif"/>
                <w:b/>
                <w:i/>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 xml:space="preserve">Golden </w:t>
            </w:r>
          </w:p>
          <w:p>
            <w:pPr>
              <w:pStyle w:val="TableContents"/>
              <w:bidi w:val="0"/>
              <w:spacing w:lineRule="auto" w:line="240" w:before="0" w:after="0"/>
              <w:jc w:val="center"/>
              <w:rPr/>
            </w:pPr>
            <w:r>
              <w:rPr>
                <w:rFonts w:ascii="Times New Roman;serif" w:hAnsi="Times New Roman;serif"/>
                <w:b/>
                <w:i/>
                <w:color w:val="000000"/>
                <w:sz w:val="20"/>
              </w:rPr>
              <w:t xml:space="preserve">Tenant/Guarantor </w:t>
            </w:r>
            <w:r>
              <w:rPr>
                <w:rFonts w:ascii="Times New Roman;serif" w:hAnsi="Times New Roman;serif"/>
                <w:b/>
                <w:i/>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 xml:space="preserve">30 years </w:t>
            </w:r>
            <w:r>
              <w:rPr>
                <w:rFonts w:ascii="Times New Roman;serif" w:hAnsi="Times New Roman;serif"/>
                <w:b/>
                <w:i/>
                <w:color w:val="000000"/>
                <w:sz w:val="13"/>
              </w:rPr>
              <w:t>(12)</w:t>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Aquarius Casino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Laughlin,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 Charlie’s Boulder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 Charlie’s Decatur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Edgewater Casino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Laughlin,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Lakeside RV Park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Pahrump,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Pahrump Nugget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Pahrump,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Reflects the lease agreement currently in effect between us and the applicable tenant.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tenants under our lease agreements are subsidiaries and/or affiliates of the guarantors set forth in this table.</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Represents the expiration date assuming no tenant renewal option is exercised.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Owned by Harrah’s Joliet Landco LLC, a joint venture of which a wholly owned subsidiary of VICI LP is the 80% owner and the managing member.</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(5) The core property, or a portion thereof, is leased by us pursuant to a ground lease. Rent due under any such ground lease is paid directly by our tenant to the primary landlord pursuant to their respective lease agreement.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(6) CNB is the parent entity of CNE Holdings, LLC also known as Cherokee Nation Entertainment.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(7) Upon closing of MGM’s pending sale of the operations of MGM Northfield Park to an affiliate of funds managed by Clairvest Group Inc. (“Clairvest”), we have agreed to enter into a new triple-net lease agreement with an affiliate of Clairvest with respect to the real property of Northfield Park. The transaction is subject to customary closing conditions and regulatory approvals and is expected to be completed in the first half of 2026.</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(8) On December 4, 2025, we combined the existing individual leases with respect to the Hollywood Casino at Greektown and Margaritaville Resort Casino into one master lease with PENN.</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(9) IGP is a gaming partnership established by five institutional Nova Scotia-based First Nations (Glooscap First Nation, Millbrook First Nation, Annapolis Valley First Nation, We’koqma’q L’nue’kati, and Paqtnkek Mi’kmaw Nation) to acquire gaming assets in North America.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(10) Subject to a mandatory 10-year tenant extension to the extent all conditions under the applicable ground lease are met.</w:t>
      </w:r>
    </w:p>
    <w:p>
      <w:pPr>
        <w:pStyle w:val="TextBody"/>
        <w:bidi w:val="0"/>
        <w:spacing w:lineRule="auto" w:line="288" w:before="0" w:after="0"/>
        <w:jc w:val="both"/>
        <w:rPr/>
      </w:pPr>
      <w:r>
        <w:rPr>
          <w:rFonts w:ascii="Times New Roman;serif" w:hAnsi="Times New Roman;serif"/>
          <w:b w:val="false"/>
          <w:i/>
          <w:color w:val="000000"/>
          <w:sz w:val="16"/>
        </w:rPr>
        <w:t xml:space="preserve">(11) On November 6, 2025, we announced that we entered into an agreement to acquire 100% of the land, real property and improvements of seven casino properties (the “Golden Portfolio”) from Golden Entertainment, Inc. (“Golden”) and to enter into the Golden Master Lease with a newly formed entity that will be owned and controlled by Blake L. Sartini, current chairman and chief executive officer of Golden, which entity will acquire the operating business of Golden in connection with the closing of the transaction (“Golden OpCo”). The obligations of the tenant under the Golden Master Lease will be guaranteed by a holding company that is owned and controlled by Mr. Sartini and owns all of the gaming and operating assets of Golden. The transaction is subject to the approval of the Golden stockholders, as well as customary closing conditions and regulatory approvals. See </w:t>
      </w:r>
      <w:hyperlink w:anchor="i368d3c19aa9d44c4a3d1ba3257c0bdcf_22">
        <w:r>
          <w:rPr>
            <w:rStyle w:val="InternetLink"/>
            <w:rFonts w:ascii="Times New Roman;serif" w:hAnsi="Times New Roman;serif"/>
            <w:b w:val="false"/>
            <w:i/>
            <w:color w:val="0000FF"/>
            <w:sz w:val="16"/>
            <w:u w:val="single"/>
          </w:rPr>
          <w:t>Item 1A "Risk Factors - Risks Related to Our Business and Operations"</w:t>
        </w:r>
      </w:hyperlink>
      <w:r>
        <w:rPr>
          <w:rFonts w:ascii="Times New Roman;serif" w:hAnsi="Times New Roman;serif"/>
          <w:b w:val="false"/>
          <w:i/>
          <w:color w:val="000000"/>
          <w:sz w:val="16"/>
        </w:rPr>
        <w: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(12) Represents the initial term, assuming the four five-year tenant renewal options are not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Real Estate Debt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our investments in real estate debt as of December 31, 2025: </w:t>
      </w:r>
    </w:p>
    <w:tbl>
      <w:tblPr>
        <w:tblW w:w="10205" w:type="dxa"/>
        <w:jc w:val="left"/>
        <w:tblInd w:w="0" w:type="dxa"/>
        <w:tblLayout w:type="fixed"/>
        <w:tblCellMar>
          <w:top w:w="28" w:type="dxa"/>
          <w:left w:w="28" w:type="dxa"/>
          <w:bottom w:w="28" w:type="dxa"/>
          <w:right w:w="28" w:type="dxa"/>
        </w:tblCellMar>
      </w:tblPr>
      <w:tblGrid>
        <w:gridCol w:w="840"/>
        <w:gridCol w:w="657"/>
        <w:gridCol w:w="656"/>
        <w:gridCol w:w="109"/>
        <w:gridCol w:w="109"/>
        <w:gridCol w:w="109"/>
        <w:gridCol w:w="222"/>
        <w:gridCol w:w="1030"/>
        <w:gridCol w:w="115"/>
        <w:gridCol w:w="109"/>
        <w:gridCol w:w="109"/>
        <w:gridCol w:w="109"/>
        <w:gridCol w:w="357"/>
        <w:gridCol w:w="1398"/>
        <w:gridCol w:w="185"/>
        <w:gridCol w:w="109"/>
        <w:gridCol w:w="109"/>
        <w:gridCol w:w="109"/>
        <w:gridCol w:w="469"/>
        <w:gridCol w:w="401"/>
        <w:gridCol w:w="1004"/>
        <w:gridCol w:w="109"/>
        <w:gridCol w:w="109"/>
        <w:gridCol w:w="109"/>
        <w:gridCol w:w="455"/>
        <w:gridCol w:w="455"/>
        <w:gridCol w:w="653"/>
      </w:tblGrid>
      <w:tr>
        <w:trPr/>
        <w:tc>
          <w:tcPr>
            <w:tcW w:w="84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(3)</w:t>
            </w:r>
          </w:p>
        </w:tc>
      </w:tr>
      <w:tr>
        <w:trPr/>
        <w:tc>
          <w:tcPr>
            <w:tcW w:w="2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Our future funding commitments are subject to our borrowers' compliance with the financial covenants and other applicable provisions of each respective loan agreement.</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The weighted average interest rate is based on current outstanding principal balance and SOFR, as applicable for floating rate loans, as of December 31, 2025.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Assumes all extension options are exercised; however, our loans may be repaid, subject to certain conditions, prior to such date.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Embedded Growth Pipeline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several put-call, call right, right of first refusal (“ROFR”) and right of first offer (“ROFO”) agreements, as well as other strategic arrangements, which we believe provide opportunities for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Put-Call Agreements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Caesars Forum Put-Call. </w:t>
      </w:r>
      <w:r>
        <w:rPr>
          <w:rFonts w:ascii="Times New Roman;serif" w:hAnsi="Times New Roman;serif"/>
          <w:b w:val="false"/>
          <w:color w:val="000000"/>
          <w:sz w:val="20"/>
        </w:rPr>
        <w:t>We have a put-call agreement with Caesars with respect to the Caesars Forum Convention Center, which provides for a call right in our favor, which, if exercised, would result in the sale by Caesars to us and simultaneous leaseback by us to Caesars of the Caesars Forum Convention Center, exercisable by us from September 18, 2025 until December 31, 2028. The put right in favor of Caesars, which was exercisable between January 1, 2024 and December 31, 2024, was not exercised by Caesars and terminated as of December 31,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Call Right Agreements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Canyon Ranch Austin Call Right. </w:t>
      </w:r>
      <w:r>
        <w:rPr>
          <w:rFonts w:ascii="Times New Roman;serif" w:hAnsi="Times New Roman;serif"/>
          <w:b w:val="false"/>
          <w:color w:val="000000"/>
          <w:sz w:val="20"/>
        </w:rPr>
        <w:t xml:space="preserve">We entered into a call right agreement with Canyon Ranch pursuant to which we will have the right to acquire the real estate assets of Canyon Ranch Austin for up to 24 months following stabilization (with the Canyon Ranch Austin Loan balance being settled in connection with the exercise of such call right), which transaction will be structured as a sale leaseback (with the simultaneous entry into a triple-net lease with Canyon Ranch that will have an initial term of 25 years, with eight 5-year tenant renewal options).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Canyon Ranch Lenox and Canyon Ranch Tucson Call Right. </w:t>
      </w:r>
      <w:r>
        <w:rPr>
          <w:rFonts w:ascii="Times New Roman;serif" w:hAnsi="Times New Roman;serif"/>
          <w:b w:val="false"/>
          <w:color w:val="000000"/>
          <w:sz w:val="20"/>
        </w:rPr>
        <w:t>We entered into a call right agreement with Canyon Ranch pursuant to which we will have the right to acquire the real estate assets of each of Canyon Ranch Tucson in Tucson, Arizona and Canyon Ranch Lenox in Lenox, Massachusetts, at pre-negotiated terms in a sale-leaseback transaction, subject to certain conditions. If the call right(s) are exercised, Canyon Ranch would continue to operate the applicable wellness resort(s) subject to a long-term triple-net master lease with VICI.</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Homefield Kansas City Call Right. </w:t>
      </w:r>
      <w:r>
        <w:rPr>
          <w:rFonts w:ascii="Times New Roman;serif" w:hAnsi="Times New Roman;serif"/>
          <w:b w:val="false"/>
          <w:color w:val="000000"/>
          <w:sz w:val="20"/>
        </w:rPr>
        <w:t>We entered into a call right agreement with affiliates of Homefield Kansas City (“Homefield”) that provides us with a call option on (i) the Margaritaville Resort in Kansas City, Kansas, (ii) the new Homefield youth sports training facility in Kansas City, Kansas, (iii) the new Homefield baseball center in Kansas City, Kansas, and (iv) the existing Homefield youth sports complex in Olathe, Kansas. If the call right is exercised, all of the properties, including the Margaritaville Resort, will be subject to a single long-term triple net master lease with 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Right of First Refusal and Right of First Offer Agreements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Las Vegas Strip Assets ROFR. </w:t>
      </w:r>
      <w:r>
        <w:rPr>
          <w:rFonts w:ascii="Times New Roman;serif" w:hAnsi="Times New Roman;serif"/>
          <w:b w:val="false"/>
          <w:color w:val="000000"/>
          <w:sz w:val="20"/>
        </w:rPr>
        <w:t xml:space="preserve">We have a ROFR agreement with Caesars (the “Las Vegas Strip ROFR Agreement”), pursuant to which we have the first right, with respect to the first two Las Vegas Strip assets described below that Caesars proposes to sell, whether pursuant to a sale leaseback or a sale of the real estate and operations (a “WholeCo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Caesars Las Vegas Master Lease.</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Horseshoe Baltimore ROFR. </w:t>
      </w:r>
      <w:r>
        <w:rPr>
          <w:rFonts w:ascii="Times New Roman;serif" w:hAnsi="Times New Roman;serif"/>
          <w:b w:val="false"/>
          <w:color w:val="000000"/>
          <w:sz w:val="20"/>
        </w:rPr>
        <w:t>We have a ROFR agreement with Caesars pursuant to which we have the first right to enter into a sale leaseback transaction with respect to the land and real estate assets associated with the Horseshoe Baltimore gaming facility</w:t>
      </w:r>
      <w:r>
        <w:rPr>
          <w:rFonts w:ascii="Arial;sans-serif" w:hAnsi="Arial;sans-serif"/>
          <w:b w:val="false"/>
          <w:color w:val="000000"/>
          <w:sz w:val="20"/>
        </w:rPr>
        <w:t>.</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Caesars Virginia ROFR. </w:t>
      </w:r>
      <w:r>
        <w:rPr>
          <w:rFonts w:ascii="Times New Roman;serif" w:hAnsi="Times New Roman;serif"/>
          <w:b w:val="false"/>
          <w:color w:val="000000"/>
          <w:sz w:val="20"/>
        </w:rPr>
        <w:t xml:space="preserve">We have a ROFR agreement with EBCI and Caesars pursuant to which we have the first right to enter into a sale leaseback transaction with respect to the real property associated with the recently developed casino resort in Danville, Virginia.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Canyon Ranch ROFO.</w:t>
      </w:r>
      <w:r>
        <w:rPr>
          <w:color w:val="000000"/>
        </w:rPr>
        <w:t xml:space="preserve"> </w:t>
      </w:r>
      <w:r>
        <w:rPr>
          <w:rFonts w:ascii="Times New Roman;serif" w:hAnsi="Times New Roman;serif"/>
          <w:b w:val="false"/>
          <w:color w:val="000000"/>
          <w:sz w:val="20"/>
        </w:rPr>
        <w:t>We have a ROFO agreement with Canyon Ranch with respect to future financing opportunities for Canyon Ranch and certain of its affiliates for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 Additionally, we have entered into a right of first financing agreement with Canyon Ranch pursuant to which we will have the first right, but not the obligation, to serve as the real estate capital financing partner for Canyon Ranch with respect to the acquisition, build-out and/or redevelopment of future greenfield and build-to-suit wellness resorts.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Lucky Strike ROFO.</w:t>
      </w:r>
      <w:r>
        <w:rPr>
          <w:color w:val="000000"/>
        </w:rPr>
        <w:t xml:space="preserve"> </w:t>
      </w:r>
      <w:r>
        <w:rPr>
          <w:rFonts w:ascii="Times New Roman;serif" w:hAnsi="Times New Roman;serif"/>
          <w:b w:val="false"/>
          <w:color w:val="000000"/>
          <w:sz w:val="20"/>
        </w:rPr>
        <w:t>The Lucky Strike Master Lease contains a ROFO with respect to the real estate assets of any current or future Lucky Strike properties in the event that Lucky Strike elects to enter into a sale-leaseback transaction for such properties during the first eight years of the initial term of the Lucky Strike Master Lease.</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Homefield ROFR. </w:t>
      </w:r>
      <w:r>
        <w:rPr>
          <w:rFonts w:ascii="Times New Roman;serif" w:hAnsi="Times New Roman;serif"/>
          <w:b w:val="false"/>
          <w:color w:val="000000"/>
          <w:sz w:val="20"/>
        </w:rPr>
        <w:t>We have a ROFR agreement to acquire the real estate of any future Homefield property in a sale leaseback transaction, should Homefield elect to sell such assets.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Indigenous Gaming Partners ROFO</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have a five-year ROFO on future sale-leaseback transactions with IGP. Any additional properties acquired pursuant to the ROFO will be added to the PURE Master Lease.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Embedded Growth Agreements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Cabot Citrus Farms Purchase and Sale Agreement.</w:t>
      </w:r>
      <w:r>
        <w:rPr>
          <w:color w:val="000000"/>
        </w:rPr>
        <w:t xml:space="preserve"> </w:t>
      </w:r>
      <w:r>
        <w:rPr>
          <w:rFonts w:ascii="Times New Roman;serif" w:hAnsi="Times New Roman;serif"/>
          <w:b w:val="false"/>
          <w:color w:val="000000"/>
          <w:sz w:val="20"/>
        </w:rPr>
        <w:t>We entered into a purchase and sale agreement with Cabot, pursuant to which we will convert a portion of the $120.0 million Cabot Citrus Farms delayed draw development loan into the ownership of certain Cabot Citrus Farms real estate assets and simultaneously enter into a triple-net lease with Cabot that will have an initial term of 25 years, with five 5-year tenant renewal options.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Partner Property Growth Fund Strategy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ongoing dialogue with our tenants, we continually seek opportunities to further our long-term partnerships and pursue our respective strategic objectives. We have entered into certain arrangements, which we collectively refer to as the “Partner Property Growth Fund”, with certain tenants relating to our funding of “same-store” capital improvements, including redevelopment, new construction projects and other property improvements, in exchange for increased rent pursuant to the terms of our existing lease agreements with such tenants (and subject to the specific terms and conditions included in any such agreement). Each of our lease agreements includes provisions that provide a mechanism for us to pursue such opportunities. We continue to evaluate Partner Property Growth Fund opportunities with certain of our tenants from time to time and expect to pursue further investment as one component of our strategic growth plans, consistent with our aim to work collaboratively with such tenants to invest in growth opportunities and capital improvements that achieve mutually beneficial outcomes. </w:t>
      </w:r>
    </w:p>
    <w:p>
      <w:pPr>
        <w:pStyle w:val="TextBody"/>
        <w:bidi w:val="0"/>
        <w:spacing w:lineRule="auto" w:line="288" w:before="180" w:after="283"/>
        <w:jc w:val="both"/>
        <w:rPr/>
      </w:pPr>
      <w:r>
        <w:rPr>
          <w:rFonts w:ascii="Times New Roman;serif" w:hAnsi="Times New Roman;serif"/>
          <w:b w:val="false"/>
          <w:color w:val="000000"/>
          <w:sz w:val="20"/>
        </w:rPr>
        <w:t xml:space="preserve">The benefits of any Partner Property Growth Fund opportunities will be dependent upon independent decisions made by our tenants with respect to any capital improvement projects and the source of funds for such projects, as well as the total funding ultimately provided under such arrangements and there are no assurances that any Partner Property Growth Fund opportunities will occur on the contemplated terms, including through our financing, or at all. See </w:t>
      </w:r>
      <w:hyperlink w:anchor="i368d3c19aa9d44c4a3d1ba3257c0bdcf_22">
        <w:r>
          <w:rPr>
            <w:rStyle w:val="InternetLink"/>
            <w:rFonts w:ascii="Times New Roman;serif" w:hAnsi="Times New Roman;serif"/>
            <w:b w:val="false"/>
            <w:color w:val="0000FF"/>
            <w:sz w:val="20"/>
            <w:u w:val="single"/>
          </w:rPr>
          <w:t>Item 1A - “Risk Factors—Risks Related to Our Business and Operations”</w:t>
        </w:r>
      </w:hyperlink>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Golf Courses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own four championship golf courses located near certain of our properties, Serket (formerly Rio Secco) in Henderson, Nevada, Cascata in Boulder City, Nevada, Chariot Run in Laconia, Indiana and Grand Bear in Saucier, Mississippi (the “Golf Courses”). In addition, Serket and Cascata are in close proximity to the Las Vegas Strip. All four golf courses are operated by a third-party golf resort operator, Cabot-Managed Properties, an affiliate of Cabot, pursuant to a golf course management agreement. We have a golf course use agreement (the “Golf Course Use Agreement”) with Caesars which provides them with preferred access and tee times for their guests at our golf courses. As of December 31, 2025, contractual minimum fees under the Golf Course Use Agreement and certain other golf course related agreements with Caesars were $17.6 million per year.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Relationship with Caesars and MGM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and MGM, our two largest tenants representing 39% and 35%, respectively, of our annualized rent as of December 31, 2025, are leading owners and operators of gaming, entertainment and leisure properties. Caesars and MGM maintain a diverse brand portfolio with a wide range of options that appeal to a variety of gaming, sports betting, travel and entertainment consumers.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govern the ongoing relationship between us and Caesars and us and MGM, in addition to the applicable lease agreements, we have entered into various agreements with Caesars and MGM and/or their subsidiaries as described herein. The summaries presented herein are not complete and are qualified in their entirety by reference to the full text of the applicable agreements, certain of which are included as exhibits to this Annual Report on Form 10-K.</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Caesars Guaranty. </w:t>
      </w:r>
      <w:r>
        <w:rPr>
          <w:rFonts w:ascii="Times New Roman;serif" w:hAnsi="Times New Roman;serif"/>
          <w:b w:val="false"/>
          <w:color w:val="000000"/>
          <w:sz w:val="20"/>
        </w:rPr>
        <w:t>Caesars has executed guaranties with respect to the Caesars Las Vegas Master Lease, the Caesars Regional Master Lease and the Caesars Joliet Lease, guaranteeing the prompt and complete payment and performance in full of: (i) all monetary obligations of the tenants under the Caesars Leases, including all rent and other sums payable by the tenants under the Caesars Leases and any obligation to pay monetary damages in connection with any breach and to pay any indemnification obligations of the tenants under the Caesars Leases, (ii) the performance when due of all other covenants, agreements and requirements to be performed and satisfied by the tenants under the Caesars Leases, and (iii) all monetary obligations under the Golf Course Use Agreement.</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MGM Guaranty. </w:t>
      </w:r>
      <w:r>
        <w:rPr>
          <w:rFonts w:ascii="Times New Roman;serif" w:hAnsi="Times New Roman;serif"/>
          <w:b w:val="false"/>
          <w:color w:val="000000"/>
          <w:sz w:val="20"/>
        </w:rPr>
        <w:t>MGM has executed guaranties with respect to the MGM Master Lease and MGM Grand/Mandalay Bay Lease guaranteeing the prompt and complete payment and performance in full of all monetary obligations of the tenants under the MGM Master Lease and MGM Grand/Mandalay Bay Lease, including all rent and other sums payable by the tenants under the MGM Master Lease and MGM Grand/Mandalay Bay Lease and any obligation to pay monetary damages in connection with any breach and to pay any indemnification obligations of the tenants under the MGM Master Lease and MGM Grand/Mandalay Bay Lease and the performance when due of all other covenants, agreements and requirements to be performed and satisfied by the tenants under the MGM Master Lease and MGM Grand/Mandalay Bay Lease.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i/>
          <w:color w:val="000000"/>
          <w:sz w:val="20"/>
        </w:rPr>
        <w:t xml:space="preserve">MGM Tax Protection Agreements. </w:t>
      </w:r>
      <w:r>
        <w:rPr>
          <w:rFonts w:ascii="Times New Roman;serif" w:hAnsi="Times New Roman;serif"/>
          <w:b w:val="false"/>
          <w:color w:val="000000"/>
          <w:sz w:val="20"/>
        </w:rPr>
        <w:t>We entered into a tax protection agreement with MGM (the “MGM Tax Protection Agreement”) pursuant to which VICI OP has agreed, subject to certain exceptions, for a period of 15 years (subject to early termination under certain circumstances) following the closing of our acquisition of MGM Growth Properties LLC (“MGP”) in April 2022, to indemnify MGM and certain of its subsidiaries (the “Protected Parties”) for certain tax liabilities resulting from (1) the sale, transfer, exchange or other disposition of a property owned directly or indirectly by MGM Growth Properties Operating Partnership LP (“MGP OP”) immediately prior to the closing date of the acquisition of MGP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joint venture that holds the real estate assets of MGM Grand Las Vegas and Mandalay Bay</w:t>
      </w:r>
      <w:r>
        <w:rPr>
          <w:color w:val="000000"/>
          <w:shd w:fill="FFFFFF" w:val="clear"/>
        </w:rPr>
        <w:t xml:space="preserve"> </w:t>
      </w:r>
      <w:r>
        <w:rPr>
          <w:rFonts w:ascii="Times New Roman;serif" w:hAnsi="Times New Roman;serif"/>
          <w:b w:val="false"/>
          <w:i/>
          <w:color w:val="000000"/>
          <w:sz w:val="20"/>
          <w:shd w:fill="FFFFFF" w:val="clear"/>
        </w:rPr>
        <w:t>(“</w:t>
      </w:r>
      <w:r>
        <w:rPr>
          <w:rFonts w:ascii="Times New Roman;serif" w:hAnsi="Times New Roman;serif"/>
          <w:b w:val="false"/>
          <w:color w:val="000000"/>
          <w:sz w:val="20"/>
        </w:rPr>
        <w:t>MGM Grand/Mandalay Bay JV”) previously entered into a tax protection agreement with MGM with respect to built-in gain and debt maintenance related to MGM Grand Las Vegas and Mandalay Bay, which is effective through mid-2029, and by acquiring MGP in April 2022 and subsequently acquiring the remaining 49.9% interest in the MGM Grand/Mandalay Bay JV in January 2023, we bear any indemnity under this existing tax protection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compete for real property investments with other REITs, gaming companies, investment companies, private equity firms, hedge funds, sovereign funds, lenders and other private investors. In addition, we are ultimately dependent on the ability of our tenant operators to maintain competitiveness with other gaming operators in their respective markets and fulfill their rent obligations. Although the nature and degree varies by market, the operators of our properties compete on a local, regional, national and international basis for customers. The gaming industry is characterized by a high degree of competition among a large number of participants, including traditional brick-and-mortar casinos, video lottery, sweepstakes and poker machines not located in casinos, Native American gaming, internet gaming, sports betting and other forms of gaming and betting in the United States, including emerging platforms such as prediction markets. Although many gaming properties are characterized by a broad range of consumer offerings, including entertainment venues, convention centers, food and beverage, retail and other experiential offerings, the gaming industry also competes for consumer engagement with an increasing variety of gaming-related and other alternatives, including experiential destinations, online entertainment, and digital alternatives, that may impact the underlying economics and viability of the traditional gaming model. Certain emerging platforms, such as prediction markets, currently operate under federal rather than state regulation, potentially allowing them to offer gaming-related products in states where traditional gaming is prohibited and without being subject to state gaming licensing requirements, taxation, and consumer protection obligations that apply to traditional gaming operators. This regulatory disparity may create competitive advantages for such platforms relative to our tenants. Further, the existing regulatory environment and licensure status of traditional gaming operators may limit their ability to adapt their businesses and compete effectively with emerging platforms operating under different regulatory structures.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makes it more challenging to identify and successfully capitalize on acquisition opportunities that meet our investment objectives. Our ability to compete is also impacted by global, national and local economic trends, availability of investment alternatives, availability and cost of capital, construction and renovation costs, existing laws and regulations, new legislation, and demographic and cultural trends.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80" w:after="283"/>
        <w:jc w:val="both"/>
        <w:rPr/>
      </w:pPr>
      <w:r>
        <w:rPr>
          <w:rFonts w:ascii="Times New Roman;serif" w:hAnsi="Times New Roman;serif"/>
          <w:b w:val="false"/>
          <w:color w:val="000000"/>
          <w:sz w:val="20"/>
        </w:rPr>
        <w:t>As of December 31, 2025, we employed 28</w:t>
      </w:r>
      <w:r>
        <w:rPr>
          <w:color w:val="000000"/>
          <w:shd w:fill="FFFFFF" w:val="clear"/>
        </w:rPr>
        <w:t xml:space="preserve"> </w:t>
      </w:r>
      <w:r>
        <w:rPr>
          <w:rFonts w:ascii="Times New Roman;serif" w:hAnsi="Times New Roman;serif"/>
          <w:b w:val="false"/>
          <w:color w:val="000000"/>
          <w:sz w:val="20"/>
          <w:shd w:fill="FFFFFF" w:val="clear"/>
        </w:rPr>
        <w:t>employees, all</w:t>
      </w:r>
      <w:r>
        <w:rPr>
          <w:color w:val="000000"/>
        </w:rPr>
        <w:t xml:space="preserve"> </w:t>
      </w:r>
      <w:r>
        <w:rPr>
          <w:rFonts w:ascii="Times New Roman;serif" w:hAnsi="Times New Roman;serif"/>
          <w:b w:val="false"/>
          <w:color w:val="000000"/>
          <w:sz w:val="20"/>
        </w:rPr>
        <w:t xml:space="preserve">of which are full-time. All of our employees </w:t>
      </w:r>
      <w:r>
        <w:rPr>
          <w:rFonts w:ascii="Times New Roman;serif" w:hAnsi="Times New Roman;serif"/>
          <w:b w:val="false"/>
          <w:color w:val="000000"/>
          <w:sz w:val="20"/>
          <w:shd w:fill="FFFFFF" w:val="clear"/>
        </w:rPr>
        <w:t>a</w:t>
      </w:r>
      <w:r>
        <w:rPr>
          <w:rFonts w:ascii="Times New Roman;serif" w:hAnsi="Times New Roman;serif"/>
          <w:b w:val="false"/>
          <w:color w:val="000000"/>
          <w:sz w:val="20"/>
        </w:rPr>
        <w:t>re employed at VICI LP in support of our primary business as a triple-</w:t>
      </w:r>
      <w:r>
        <w:rPr>
          <w:rFonts w:ascii="Times New Roman;serif" w:hAnsi="Times New Roman;serif"/>
          <w:b w:val="false"/>
          <w:color w:val="000000"/>
          <w:sz w:val="20"/>
          <w:shd w:fill="FFFFFF" w:val="clear"/>
        </w:rPr>
        <w:t>net lease REIT and are primarily located at our corporate headquarters in New York, New York</w:t>
      </w:r>
      <w:r>
        <w:rPr>
          <w:rFonts w:ascii="Times New Roman;serif" w:hAnsi="Times New Roman;serif"/>
          <w:b w:val="false"/>
          <w:color w:val="000000"/>
          <w:sz w:val="20"/>
        </w:rPr>
        <w:t>.</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Corporate Culture and Engagement.</w:t>
      </w:r>
      <w:r>
        <w:rPr>
          <w:color w:val="000000"/>
        </w:rPr>
        <w:t xml:space="preserve"> </w:t>
      </w:r>
      <w:r>
        <w:rPr>
          <w:rFonts w:ascii="Times New Roman;serif" w:hAnsi="Times New Roman;serif"/>
          <w:b w:val="false"/>
          <w:color w:val="000000"/>
          <w:sz w:val="20"/>
        </w:rPr>
        <w:t xml:space="preserve">We are committed to creating and sustaining a positive work environment and corporate culture that fosters trust, cooperation and inclusion, including through the instillation of our core values, which we refer to as the VICI Values, competitive compensation and benefit programs, training and professional development opportunities, corporate giving and community service events and employee involvement in company initiatives. To assist in fulfilling that commitment, we measure our organizational culture, employee engagement and employee satisfaction through, among other things, an annual, independent third-party employee satisfaction survey and periodic pulse surveys, all of which provide management with insights regarding key issues and priorities to maintain and improve our employee programs and initiatives and the health, well-being and satisfaction of our employees.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Board Oversight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management reports to the Compensation Committee of the Board of Directors on a regular basis, as well as the full Board of Directors, as necessary, to periodically review our human capital management programs, including those relating to employee engagement, employee compensation and benefits, and related matters, such as training and recruiting, retention and hiring practices.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shd w:fill="FFFFFF" w:val="clear"/>
        </w:rPr>
        <w:t>Demographics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rPr>
        <w:t>As of December 31, 2025, 43% of our directors (and 50% of our independent directors), 46% of our employees and 25% of our executive officers were female. Additionally, 50% of the leadership of our Board of Directors were female as of December 31, 2025. Further, 14% of our directors and 25% of our employees identified as members of an ethnic and/or racial minority group.</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Compensation and Benefits.</w:t>
      </w:r>
      <w:r>
        <w:rPr>
          <w:color w:val="000000"/>
        </w:rPr>
        <w:t xml:space="preserve"> </w:t>
      </w:r>
      <w:r>
        <w:rPr>
          <w:rFonts w:ascii="Times New Roman;serif" w:hAnsi="Times New Roman;serif"/>
          <w:b w:val="false"/>
          <w:color w:val="000000"/>
          <w:sz w:val="20"/>
        </w:rPr>
        <w:t xml:space="preserve">We offer a comprehensive employee benefits package, including a 401(k) plan, medical, dental and vision insurance, disability insurance, life insurance, paid maternity/paternity leave for birth and foster/adoption placements and other parenthood pursuit benefits, compassionate and bereavement leave, a flexible time off policy, wellness, technology and travel stipends, and access to an employee assistance program, including mental health and wellness support services. We also seek to provide differentiated benefits to our employees, such as our Portfolio Experience Benefit, which enables employees to experience our properties with an annual stipend,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charitable matching program administered through the Groundswell Charitable Giving platform. We continually evaluate existing benefits and explore new or expanded benefits to be responsive to employee feedback and seek to improve employee utilization of available benefits and meaningfully enhance employee benefits over time.</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Education, Training and Development. </w:t>
      </w:r>
      <w:r>
        <w:rPr>
          <w:rFonts w:ascii="Times New Roman;serif" w:hAnsi="Times New Roman;serif"/>
          <w:b w:val="false"/>
          <w:color w:val="000000"/>
          <w:sz w:val="20"/>
        </w:rPr>
        <w:t xml:space="preserve">We invest in employee education, training, and development through regular programs, including our “VICI U” program and “Lunch and Learn” seminar series. These sessions, led by internal and external subject-matter experts, advance our employees' understanding of concepts relevant to our business, such as credit underwriting, derivatives and hedging, and sector-specific investing. We also host periodic training and development opportunities with respect to issues such as compliance, communication and feedback, public speaking and engagement, and anti-harassment and other matters outlined in our Code of Business Conduct. We encourage our employees to pursue professional development through external education and certifications through a broadly applicable and flexible professional development reimbursement policy. Our performance management programs include semi-annual performance and career development reviews provided to all of our employees by their direct manager. We continually focus on enhancing our professional development and performance management processes to provide further development and growth opportunities to our employees.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Governmental Regulation and Licensing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 ensure that unsuitable individuals and organizations have no role in gaming operations; establish and maintain responsible accounting practices and procedures; maintain effective controls over their financial practices, including establishment of minimum procedures for internal fiscal affairs and the safeguarding of assets and revenues; maintain systems for reliable record keeping; file periodic reports with gaming regulators; and ensure that contracts and financial transactions are commercially reasonable, reflect fair market value and are arm’s length transactions.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Gaming laws and regulations primarily impact our business in two respects: (1) our ownership and acquisition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finding of suitability or a license as a key business entity or supplier because of our status as landlord. If we, our subsidiaries or the tenants of our properties violate applicable gaming laws, our gaming licenses, or the tenants’ gaming licenses, could be limited, conditioned, suspended or revoked by gaming authorities, and we and any persons involved may face other disciplinary actions, including substantial fines, appointment of a supervisor or conservator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or suspension of our gaming licenses could result in a material breach under certain of our leases or an event of default under certain of our indebtedness, including through cross-default provisions in our debt agreements. As a result, violations by us of applicable gaming laws could have a material effect on us.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various corporate actions and transactions must be reported to and, in some cases, approved by certain gaming authorities, including substantially all material loans, leases, sales of securities (including public offerings) and similar financing transactions, management or consulting agreements and changes in control through merger, consolidation, stock or asset acquisitions, or otherwise.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the businesses of our tenants are also subject to various federal, state and local laws and regulations in addition to gaming regulations. These laws and regulations include, but are not limited to, restrictions and conditions concerning alcoholic beverages, environmental matters, labor and employees, anti-discrimination, health care, currency transactions, taxation, zoning and building codes and marketing and advertising. Such laws and regulations could change or could be interpreted differently in the future, or new laws and regulations could be enacted. Emerging forms of gambling, such as internet gaming, sports betting and prediction markets, have introduced regulatory uncertainty and potential conflicts between federal and state jurisdictions. The extent to which these emerging platforms are or will be regulated by existing gaming authorities remains subject to ongoing legal challenges, with conflicting court decisions regarding whether federal commodities law or state gaming law applies. This regulatory uncertainty may impact the traditional gaming regulatory framework and could create disparities in licensing requirements, taxation, and consumer protection obligations between traditional gaming operators and newer platforms. Any of the foregoing, including material changes, new laws or regulations, or material differences in interpretations by courts or governmental authorities, could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properties are subject to environmental laws regulating, among other things, air emissions, wastewater discharges and the handling and disposal of wastes, the utilization of above or underground storage tanks, or properties that include asbestos-containing building materials. 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including for damage that occurred prior to our ownership of a property or at a site where the current or previous operator of the property sent wastes for disposal.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properties may also be (or in the future become) subject to additional building and zoning laws, ordinances and codes relating to building performance standards, such as those intended to reduce energy and/or greenhouse gas emissions, which we may be subject to as the owner of real estate. Although we do not operate or manage our properties subject to triple-net leases and our tenants are generally contractually responsible for such operating and management costs, we may be held primarily or jointly and severally liable for costs relating to maintaining compliance with such laws, ordinances and codes.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real estate ownership, we could be legally responsible for environmental liabilities or costs relating to a release of hazardous substances or other regulated materials at or emanating from such property or compliance with applicable laws, ordinances and codes. The failure to properly maintain compliance with such laws or remediate a property in the event of such release may also adversely affect our ability to lease, sell or rent the property or to borrow funds using the property as collateral. The lease agreements generally obligate our tenants to comply with applicable environmental laws, regulations and ordinances and to indemnify us if their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 We are not aware of any environmental issues that are expected to have a material impact on the operations of any of our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future laws and regulations relating to sustainability and climate change may include specific disclosure requirements or other obligations that may require additional investments and implementation of new practices and reporting processes. Our tenants’ control of our leased properties (which is inherent to the triple-net lease structure) presents challenges with respect to our ability to collect property-level environmental data and metrics and implement sustainability initiatives (including energy and emissions reduction), which may in turn impact our ability to comply with certain regulatory requirements to which we are or may become subject.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Sustainability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 to focus on developing our efforts related to implementing and reporting on environmental sustainability efforts at our properties, including our corporate headquarters, our Golf Courses (operated by Cabot-Managed Properties) and our triple-net leased portfolio. We are committed to the improvement of environmental conditions through our business activities within the scope of our capabilities, and we periodically engage with key stakeholders with regard to environmental sustainability priorities, among other things, including through periodic outreach and stakeholder materiality assessments.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Governance and Strategy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Corporate Responsibility Committee, comprised of employees across multiple functional areas and professional levels, including our Chief Financial Officer and General Counsel, leads our environmental sustainability initiatives (including with respect to climate change). Management retains ultimate responsibility over our environmental sustainability initiatives, engages with the Corporate Responsibility Committee and reports to the Nominating and Governance Committee of our Board of Directors on a quarterly basis, and more frequently as necessary, with respect to environmental sustainability matters. Additionally, we have engaged a strategic consultant to advise us regarding, among other things, our sustainability performance, our tenant and stakeholder engagement initiatives, and our related reporting (including pursuant to external disclosure frameworks and standards). We continue to progress our corporate responsibility program through initiatives across a broad range of areas, including sustainability initiatives at our golf courses, building efficiency and sustainability data collection and reporting for our triple-net leased portfolio, tenant engagement efforts, greenhouse gas emissions inventory and reporting, alignment and engagement with various sustainability disclosure and scoring frameworks, and the development of internal processes to support and facilitate these initiatives.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Golf Courses.</w:t>
      </w:r>
      <w:r>
        <w:rPr>
          <w:color w:val="000000"/>
        </w:rPr>
        <w:t xml:space="preserve"> </w:t>
      </w:r>
      <w:r>
        <w:rPr>
          <w:rFonts w:ascii="Times New Roman;serif" w:hAnsi="Times New Roman;serif"/>
          <w:b w:val="false"/>
          <w:color w:val="000000"/>
          <w:sz w:val="20"/>
        </w:rPr>
        <w:t xml:space="preserve">We monitor and track available utility data at our Golf Courses in order to evaluate the environmental profile of our operations, the impact of implemented sustainability improvements, and potential opportunities to improve sustainability performance. We have also performed energy and water audits and regulatory assessments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Golf Courses to further inform our sustainability initiatives. A portion of capital expenditures at our Golf Courses each year is spent on projects intended to improve their environmental performance and sustainability, including projects to reduce electricity and fuel usage (and thus, energy usage and emissions), reduce water consumption and improve efficiency, enhance biodiversity, and reduce waste generation in favor of recycling and repurposing. Pursuant to our management agreement with Cabot-Managed Properties with respect to the Golf Courses, we work in partnership with Cabot-Managed Properties to continue to implement sustainability initiatives at the Golf Courses and improve their environmental performance.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Triple-Net Lease Portfolio.</w:t>
      </w:r>
      <w:r>
        <w:rPr>
          <w:color w:val="000000"/>
        </w:rPr>
        <w:t xml:space="preserve"> </w:t>
      </w:r>
      <w:r>
        <w:rPr>
          <w:rFonts w:ascii="Times New Roman;serif" w:hAnsi="Times New Roman;serif"/>
          <w:b w:val="false"/>
          <w:color w:val="000000"/>
          <w:sz w:val="20"/>
        </w:rPr>
        <w:t>Our leased properties are operated pursuant to long-term triple-net leases, which provide our tenants with complete control over operations at our leased properties, including the implementation of environmental sustainability initiatives pursuant to their business strategies and objectives. We engage with our tenants periodically to facilitate our understanding of the environmental impact of their operations at our leased properties, including through an annual asset-level environmental sustainability data survey, additional information sharing, and encouraging their implementation of sustainability initiatives in their operations at our leased properties. Certain of our leases permit us to require the collection or reporting of environmental sustainability data (including pursuant to forms of “green lease” provisions). Although not all of our leases include such provisions, certain of our tenants also report voluntarily regarding such matters. In particular, we request available data with respect to, among other things, water use, electricity/fuel and energy use, Scope 1 and Scope 2 greenhouse gas emissions, waste generation, diversion and recycling, green building certifications and the implementation of efficiency measures with respect to the foregoing. Our tenants pursue a broad range of environmental sustainability programs and initiatives, such as energy, water and waste-related efficiency measures at our properties, on-site renewable energy, operational improvements, and sustainable hospitality programs, and independently report to their respective investors and other stakeholders regarding such programs. Certain of our tenants, including Caesars, MGM, and PENN, have also independently set sustainability-related targets with respect to their overall business and portfolio, which include our leased properties.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Climate Change.</w:t>
      </w:r>
      <w:r>
        <w:rPr>
          <w:color w:val="000000"/>
        </w:rPr>
        <w:t xml:space="preserve"> </w:t>
      </w:r>
      <w:r>
        <w:rPr>
          <w:rFonts w:ascii="Times New Roman;serif" w:hAnsi="Times New Roman;serif"/>
          <w:b w:val="false"/>
          <w:color w:val="000000"/>
          <w:sz w:val="20"/>
        </w:rPr>
        <w:t xml:space="preserve">We evaluate climate change risk throughout our portfolio, including in connection with transactional due diligence regarding individual properties focused on the identification of material physical risks and, with respect to our overall portfolio, regarding the distribution of such physical risks and an assessment of transition risks more broadly. With the assistance of an environmental due diligence provider and consultant, our most recent climate-related risk analysis performed in 2025 was comprised of individual property-level physical risk analyses, multiple climate scenario analyses within our identified time horizons, and transition risk analyses, including review of active and impending sustainable building regulations and additional community resilience assessments with respect to certain geographies in which we own multiple properties (such as Las Vegas, Nevada and Atlantic City, New Jersey). Further, we assessed transition-related climate risks, such as potential legal and regulatory, technological, market-based, and reputational impacts, as applicable to our triple-net lease operating model and portfolio. We have disclosed our climate change strategy, governance, risk management and certain metrics and targets in alignment with the Task Force on Climate-Related Financial Disclosures (TCFD) guidelines, are evaluating disclosure considerations under potential successor frameworks such as the ISSB, and incorporated climate change-related risk under our enterprise risk management framework. We have also shared certain physical climate risk-related findings with our tenants to facilitate their understanding of such risk in connection with their operations at our properties and any independent risk management and mitigation efforts that such tenants may undertake.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 Our future investment activities will not be limited to any geographic area or to a specific percentage of our assets. We intend to engage in such future investment activities in a manner that is consistent with our qualification as a REIT for U.S. federal income tax purposes.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Investment in Real Estate or Interests in Real Estate. </w:t>
      </w:r>
      <w:r>
        <w:rPr>
          <w:rFonts w:ascii="Times New Roman;serif" w:hAnsi="Times New Roman;serif"/>
          <w:b w:val="false"/>
          <w:color w:val="000000"/>
          <w:sz w:val="20"/>
        </w:rPr>
        <w:t>Our business is focused primarily on gaming, hospitality, wellness, entertainment and leisure sector properties and activities directly related thereto, which we refer to as “experiential assets”. We believe there are significant, ongoing opportunities to acquire or invest in additional gaming, hospitality, wellness, entertainment and leisure assets, both domestically and internationally.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VICI OP. We may also pursue opportunities to provide mortgage or mezzanine financing, preferred equity investments or other forms of financing for investment in certain situations where such structure provides for strategic growth opportunities and/or partnerships, and may in certain circumstances provide the potential to convert our investment into the ownership of the underlying real estate in a future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Equity investments in acquired properties may be subject to existing mortgage financing and other indebtedness or to new indebtedness, which may be incurred in connection with acquiring or refinancing these investments. Principal and interest on our debt will have priority over any dividends with respect to our common stock. Investments are also subject to our policy not to be required to register as an investment company under the Investment Company Act of 1940, as amended.</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Investments in Real Estate Debt. </w:t>
      </w:r>
      <w:r>
        <w:rPr>
          <w:rFonts w:ascii="Times New Roman;serif" w:hAnsi="Times New Roman;serif"/>
          <w:b w:val="false"/>
          <w:color w:val="000000"/>
          <w:sz w:val="20"/>
        </w:rPr>
        <w:t xml:space="preserve">We have made, and may continue to make, investments in mortgages or other forms of real estate-related debt, including, without limitation, traditional mortgages, participating or convertible mortgages, mezzanine loans or preferred equity investments, as well as similar investments with tribal operators in sovereign jurisdictions;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in experiential asset classes that fit within our investment policies and objectives and (iii) the ability to make initial investments in experiential asset classes outside of gaming with the goal of increasing our investment activity in these asset classes over time. Refer to </w:t>
      </w:r>
      <w:hyperlink w:anchor="i368d3c19aa9d44c4a3d1ba3257c0bdcf_22">
        <w:r>
          <w:rPr>
            <w:rStyle w:val="InternetLink"/>
            <w:rFonts w:ascii="Times New Roman;serif" w:hAnsi="Times New Roman;serif"/>
            <w:b w:val="false"/>
            <w:color w:val="0000FF"/>
            <w:sz w:val="20"/>
            <w:u w:val="single"/>
          </w:rPr>
          <w:t>Item 1A - Risk Factors</w:t>
        </w:r>
      </w:hyperlink>
      <w:r>
        <w:rPr>
          <w:color w:val="000000"/>
        </w:rPr>
        <w:t xml:space="preserve"> </w:t>
      </w:r>
      <w:r>
        <w:rPr>
          <w:rFonts w:ascii="Times New Roman;serif" w:hAnsi="Times New Roman;serif"/>
          <w:b w:val="false"/>
          <w:color w:val="000000"/>
          <w:sz w:val="20"/>
        </w:rPr>
        <w:t>for a detailed description of risks regarding our investments in real estate debt.</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Securities of or Interests in Persons Primarily Engaged in Real Estate Activities and Other Issuers. </w:t>
      </w:r>
      <w:r>
        <w:rPr>
          <w:rFonts w:ascii="Times New Roman;serif" w:hAnsi="Times New Roman;serif"/>
          <w:b w:val="false"/>
          <w:color w:val="000000"/>
          <w:sz w:val="20"/>
        </w:rPr>
        <w:t>We may invest in securities of other REITs, other entities engaged in real estate activities or securities of other issuers, including for the purpose of exercising control over such entities, subject to the asset tests and gross income tests necessary for our qualification as a REIT.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Investments in Short-term Commercial Paper and Discount Notes. </w:t>
      </w:r>
      <w:r>
        <w:rPr>
          <w:rFonts w:ascii="Times New Roman;serif" w:hAnsi="Times New Roman;serif"/>
          <w:b w:val="false"/>
          <w:color w:val="000000"/>
          <w:sz w:val="20"/>
        </w:rPr>
        <w:t xml:space="preserve">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of up to 180 days.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Policies</w:t>
      </w:r>
    </w:p>
    <w:p>
      <w:pPr>
        <w:pStyle w:val="TextBody"/>
        <w:bidi w:val="0"/>
        <w:spacing w:lineRule="auto" w:line="288" w:before="180" w:after="283"/>
        <w:jc w:val="both"/>
        <w:rPr/>
      </w:pPr>
      <w:r>
        <w:rPr>
          <w:rFonts w:ascii="Times New Roman;serif" w:hAnsi="Times New Roman;serif"/>
          <w:b w:val="false"/>
          <w:color w:val="000000"/>
          <w:sz w:val="20"/>
        </w:rPr>
        <w:t xml:space="preserve">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which could result in us becoming more highly leveraged. To the extent that our Board of Directors or management determines that it is necessary to raise additional capital, we may, without stockholder approval, borrow money under the Revolving Credit Facility (as defined in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Most of the properties within our portfolio are currently operated and promoted under trademarks and brand names not owned by us. In addition, properties that we may acquire in the future may be operated and promoted under these same trademarks and brand names, or under different trademarks and brand names we do not, or will not, own. During the term that our properties are managed by our tenants, we are reliant on them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such properties may not enjoy comparable recognition or status under a different brand.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were initially organized as a limited liability company in the State of Delaware on July 5, 2016 as a wholly owned subsidiary of Caesars Entertainment Operating Company, Inc. (“CEOC”). On May 5, 2017, we subsequently converted to a corporation under the laws of the State of Maryland and issued shares of common stock to CEOC as part of our formation transactions, which shares were subsequently transferred by CEOC to our initial stockholders.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535 Madison Avenue,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pursue and consummate transactions, including investments in, and acquisitions of, real estate and to obtain debt financing for such investments at attractive interest rates,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associated with our pending and completed transactions, including our ability or failure to realize the anticipated benefits thereof;</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dependence on our tenants at our properties and their affiliates that serve as guarantors of the lease payments, and the negative consequences any material adverse effect on their respective businesses could have on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decision and ability to exercise our purchase rights under our put-call agreements, call agreements, right of first refusal agreements and right of first offer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dependence on the gaming industry, which is characterized by, among other things, a high degree of competition, extensive regulation, and sensitivity to changes in consumer behavior and discretionary spending;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extensive regulation from gaming and other regulatory authorities, including developments relating to the regulation of emerging alternative platforms;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ability of our tenants to obtain and maintain regulatory approvals in connection with the operation of our properties, or the imposition of conditions to such regulatory approvals;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possibility that our tenants may choose not to renew their respective lease agreements following the initial or subsequent terms of the leases;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restrictions on our ability to sell our properties subject to the lease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tenants and any guarantors’ historical results may not be a reliable indicator of their future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substantial amount of indebtedness and ability to service, refinance (at attractive interest rates, or at all), and otherwise fulfill our obligations under such indebtedness;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historical financial information may not be reliable indicators of our future results of operations, financial condition and cash flows;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changes to tax laws and regulations, including U.S. federal income tax laws, state tax laws or global tax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changes in governmental or regulatory actions and initiatives;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possibility of adverse tax consequences as a result of our pending and completed transactions, including pursuant to tax protection agreements to which we are a party;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increased volatility in our stock price, including as a result of our pending and completed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inability to maintain our qualification for taxation as a REIT;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reduced travel demand or increased costs of travel affecting visitation and operating performance at the properties operated by our tenants, particularly in destination markets such as Las Vegas;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loss of the services of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inability to attract, retain and motivate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costs and liabilities associated with environmental compliance;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establish and maintain an effective system of integrated internal controls;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risks related to us or our tenants not having adequate insurance to cover potential losses;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potential impact on the amount of our cash distributions if we determine to sell or divest any of our properties in the future or are unable to redeploy capital returned from investments at attractive rates,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continue to make distributions to holders of our common stock or maintain anticipated levels of distributions over time, including our reliance on distributions received from our subsidiaries, including VICI OP, to make such distributions to our stockholders;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additional factors discussed herein and listed from time to time as “Risk Factors” in our filings with the SEC, including without limitation, in our subsequent reports on Form 10-K, Form 10-Q and Form 8-K.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2623" w:type="dxa"/>
        <w:jc w:val="center"/>
        <w:tblInd w:w="0" w:type="dxa"/>
        <w:tblLayout w:type="fixed"/>
        <w:tblCellMar>
          <w:top w:w="28" w:type="dxa"/>
          <w:left w:w="28" w:type="dxa"/>
          <w:bottom w:w="28" w:type="dxa"/>
          <w:right w:w="28" w:type="dxa"/>
        </w:tblCellMar>
      </w:tblPr>
      <w:tblGrid>
        <w:gridCol w:w="428"/>
        <w:gridCol w:w="377"/>
        <w:gridCol w:w="379"/>
        <w:gridCol w:w="421"/>
        <w:gridCol w:w="421"/>
        <w:gridCol w:w="59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1A.</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Risk Factors</w:t>
            </w:r>
          </w:p>
        </w:tc>
      </w:tr>
    </w:tbl>
    <w:p>
      <w:pPr>
        <w:pStyle w:val="TextBody"/>
        <w:bidi w:val="0"/>
        <w:spacing w:lineRule="auto" w:line="288" w:before="180" w:after="283"/>
        <w:jc w:val="both"/>
        <w:rPr/>
      </w:pPr>
      <w:r>
        <w:rPr>
          <w:rFonts w:ascii="Times New Roman;serif" w:hAnsi="Times New Roman;serif"/>
          <w:b w:val="false"/>
          <w:i/>
          <w:color w:val="231F20"/>
          <w:sz w:val="20"/>
        </w:rPr>
        <w:t>You should</w:t>
      </w:r>
      <w:r>
        <w:rPr>
          <w:color w:val="000000"/>
        </w:rPr>
        <w:t xml:space="preserve"> </w:t>
      </w:r>
      <w:r>
        <w:rPr>
          <w:rFonts w:ascii="Times New Roman;serif" w:hAnsi="Times New Roman;serif"/>
          <w:b w:val="false"/>
          <w:i/>
          <w:color w:val="000000"/>
          <w:sz w:val="20"/>
        </w:rPr>
        <w:t>be aware that the occurrence of any of the events described in this section and elsewhere in this report or in any other of our filings with the SEC could have a material adverse effect on our business, financial position, liquidity, results of operations and cash flows. In evaluating us, you should consider carefully, among other things, the risks described below. The risks and uncertainties described below are not the only ones we face, but do represent those 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depend on our tenants to operate the properties that we own in a manner that generates revenues sufficient to allow the tenants to meet their obligations to us. Our two largest tenants, Caesars and MGM, comprise approximately 74% of our total leasing revenues for the year ended December 31, 2025. Under our respective lease agreements with Caesars and MGM, they are obligated to pay us approximately $1.3 billion and $1.1 billion, respectively, in estimated annual lease payments for 2026. Because our leases are triple-net leases, in addition to the rent payment obligations of our tenants, we depend on our tenants to pay substantially all insurance, taxes, utilities and maintenance and repair expenses in connection with the leased properties and to indemnify, defend and hold us harmless from and against various claims and liabilities arising in connection with their businesses. There can be no assurance that our tenants will have sufficient assets, income or access to financing to enable them to satisfy their payment and other obligations under their leases with us, or that any applicable guarantor will be able to satisfy its guarantee of the applicable tenant’s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tenants rely on the properties they or their respective subsidiaries own and/or operate for income to satisfy their obligations, including their debt service requirements, and rental and other payments due to us or others, and these payments may constitute a significant portion of their cash flow from operations. If a tenant’s income at our leased properties were to significantly decline for any reason, or if a tenant’s debt service requirements were to significantly increase or if their creditworthiness were to become impaired for any reason, a tenant or any applicable guarantor may be at risk of violating certain financial or operating covenants under its leases or other agreements with us or other counterparties, or become unable or unwilling to satisfy its payment and other obligations under their leases or other agreements with us or other counterparties. The inability or unwillingness of a significant tenant to meet its payment or other obligations under a lease or other payment obligation with us could materially and adversely affect our business, financial condition, liquidity, or results of operations, including our ability to make distributions to our stockholders. Additionally, these obligations or the actual or potential failure to fulfill such obligations may limit our tenants’ ability to fund their operations or development projects, raise capital, make acquisitions, and otherwise respond to competitive and economic changes by making investments to maintain and grow their portfolio of businesses and properties, which may adversely affect their competitiveness and the ability of their applicable subsidiaries and guarantors to satisfy their obligations to us under the applicable lease agreements and the related guarantees, respectively. Moreover, given the importance of our significant tenants to our business, a failure on the part of a significant tenant to maintain its business or financial performance or any deterioration of such tenant’s creditworthiness could materially and adversely affect us, even in the absence of a default under our agreements with such tenant.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Due to our dependence on rental and other payments from our tenants as our primary source of revenue, we may be limited in our ability or willingness to enforce our rights and customary remedies under our lease agreements or other agreements with our tenants, or terminate such agreements or, due to our predominantly master lease structure, certain leases with respect to any particular property. Failure by one of our tenants to comply with the terms of their respective leases or to comply with the gaming regulations to which the leased properties are subject could result in, among other things, the termination of an applicable lease agreement, requiring us to find another tenant for such property or properties to the extent possible, or a decrease or cessation of rental payments by such tenant, as the case may be. In such event, we may lose our interest in a property subject to an applicable ground lease or be unable to locate a suitable, creditworthy tenant at similar rental rates or at all, which would have the effect of reducing our rental revenue and could have a material adverse effect on our business, financial condition, liquidity,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difficulties experienced by any of our tenants, borrowers or guarantors, including their potential bankruptcy or insolvency, could result in defaults under, or requests to modify or terminate, their lease agreements, related guarantees or loan agreements, or otherwise have a material adverse effect on our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face credit risk from our tenants and borrowers, who may fail to meet their payment and other obligations to us under the applicable leases, loans and related guarantees. We cannot provide assurances that our tenants and borrowers will not default on their obligations and fail to make payments to us. If a tenant or borrower is unable to meet its financial obligations, including required payments to us, such inability may result in delayed rental or loan payments, failure by such tenant or borrower to fulfill their contractual obligations under their lease or loan agreement, such tenant or borrower seeking modifications to their lease or loan agreement, or such tenant’s or borrower’s bankruptcy or insolvency. In addition, in the event of a bankruptcy or default of one of our tenants, borrowers or their respective guarantors, our ability to enforce our contractual remedies, including any claim for damages under the applicable lease, loan agreement or guarantee, customary foreclosure, may not be paid in full.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Adverse developments affecting any of them, whether arising from conditions in the markets in which a tenant operates, the performance of such tenant’s portfolio or individual properties therein, or broader economic or industry factors, could impair such tenant’s ability to perform its obligations under its lease agreement with us. In such circumstances, a tenant could default on its obligations or, in advance thereof or in connection therewith, seek to modify or renegotiate its lease agreement with us, including with respect to economic provisions (such as rent escalators, base rental payments, capital expenditure requirements, or other provisions), covenants, or changes with respect to the composition of properties under the lease agreement (including the potential sale or disposition of such properties, whether to the tenant or other third parties). A tenant also could take other actions that could impact us, including seeking the ability to sell certain of its operations at our properties, electing not to renew its lease at maturity or pursuing a strategic transaction. Any such modification, non-renewal, strategic transaction or other action could materially and adversely affect our results of operations, the value of the underlying real estate or our ability to re-lease such real estate on comparable terms, or at all. These risks are heightened with respect to our larger tenants due to, among other things, the concentration of our revenues received from them. For example, market commentary has arisen regarding the performance of properties we lease to Caesars under the Caesars Regional Master Lease and the potential impact of such performance on the Company. This recent performance and related market narratives has adversely affected the market price of our common stock and may adversely affect our business and financial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with respect to tenants whose obligations are guaranteed by a single guarantor (including Caesars and MGM), although such tenants’ performance and payments are guaranteed, a default by the applicable tenant, or by the guarantor with respect to its guarantee, may cause a default under certain circumstances with regard to the entire portfolio covered by the respective lease agreements. In the event of such a default, there can be no assurances that the tenants or the guarantor would assume the applicable lease agreements or the related guarantees, and if such lease agreements or guarantees were rejected, the tenant or the guarantor, as applicable, may not have sufficient funds to pay the damages that would be owed to us as a result of the rejection and we might not be able to find a replacement tenant on the same or better terms. For these and other reasons, the bankruptcy of one or more of our tenants, borrowers or their respective guarantors could have a material adverse effect on our business, financial condition, liquidity, results of operations and prospects.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business could be materially and adversely affected if, in the event that Caesars declares bankruptcy, a bankruptcy court re-characterizes certain components of our transactions with Caesars in connection with the merger between Eldorado Resorts, Inc. and Caesars in 2020 as a disguised financing transaction, specifically our modifications of the Caesars Las Vegas Master Lease to increase the annual rent payable to us associated with Caesars Palace Las Vegas and Harrah’s Las Vegas. In the event of re-characterization, our claim under a lease agreement with respect to the additional rent acquired in the Caesars-Eldorado transaction could either be secured or unsecured. The bankrupt tenant and other affiliates of Caesars and their creditors under this scenario may have the ability to restructure the terms, including the amount owed to us under the applicable lease with respect to the additional rent, and, if approved by the bankruptcy court, we could be bound by the new terms and prevented from collecting such additional rent acquired in the Caesars-Eldorado transaction from the date of such approval, and our business, financial condition and results of operations could be materially and adversely affected.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dependent on the gaming industry and may be susceptible to risks associated with it, including heightened competition, regulatory developments, changes in consumer behavior and discretionary spending, and the overall macroeconomic environment and outlook.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the landlord and owner of gaming facilities, we are impacted by risks associated with the gaming industry, which is characterized by a high degree of competition among a large number of industry participants, including brick and mortar casinos, riverboat casinos, video lottery, sweepstakes and poker machines not located in casinos, Native American gaming, and internet gaming, sports betting and other forms of gaming and betting in the United States, including emerging platforms such as prediction markets. These prediction markets, which allow users to wager on sports and other events under federal commodities regulation rather than state gaming oversight, have experienced rapid growth and currently operate in states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traditional sports betting remains illegal, creating potential competitive disadvantages for operators subject to state gaming licensing, taxation, and regulatory requirements. To the extent such platforms continue operating with reduced regulatory burdens, our tenants may face material competitive disadvantages that could directly impact their operating performance and, consequently, the rent we receive and the value of our properties. More broadly, gaming operators face competition from all manner of leisure and entertainment activities. Gaming competition is intense in most of the markets where our facilities are located, and may continue to increase as a result of, among other things, the expansion or improvement of facilities by existing market participants, the availability of additional licenses in a given jurisdiction, the entrance of new gaming participants into a market, increased internet gaming, sports betting, and trading on prediction markets, or legislative changes in various jurisdictions (including those relating to the foregoing). As competing properties and new markets are opened, </w:t>
      </w:r>
      <w:r>
        <w:rPr>
          <w:rFonts w:ascii="Times New Roman;serif" w:hAnsi="Times New Roman;serif"/>
          <w:b w:val="false"/>
          <w:color w:val="000000"/>
          <w:sz w:val="20"/>
          <w:shd w:fill="FFFFFF" w:val="clear"/>
        </w:rPr>
        <w:t xml:space="preserve">our tenants’ businesses may be adversely impacted and as a result </w:t>
      </w:r>
      <w:r>
        <w:rPr>
          <w:rFonts w:ascii="Times New Roman;serif" w:hAnsi="Times New Roman;serif"/>
          <w:b w:val="false"/>
          <w:color w:val="000000"/>
          <w:sz w:val="20"/>
        </w:rPr>
        <w:t xml:space="preserve">we may be negatively impacted. </w:t>
      </w:r>
      <w:r>
        <w:rPr>
          <w:rFonts w:ascii="Times New Roman;serif" w:hAnsi="Times New Roman;serif"/>
          <w:b w:val="false"/>
          <w:color w:val="000000"/>
          <w:sz w:val="20"/>
          <w:shd w:fill="FFFFFF" w:val="clear"/>
        </w:rPr>
        <w:t xml:space="preserve">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our gaming tenants and the industry. If adopted, such changes could adversely impact the business, financial condition, results of operations and prospects of our gaming tenants, including our significant tenants, and the broader outlook for the gaming industry.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economic indicators such as GDP growth, consumer confidence and employment are correlated with demand for gaming, entertainment and leisure properties, including casinos and racetracks, and economic recessions, contractions or slowdowns have generally led to a decrease in discretionary spending on associated leisure activities. In addition, weakened general economic conditions such as, but not limited to, recessions, lackluster recoveries from recessions, contractions, high unemployment levels, higher income taxes, inflation, low levels of consumer confidence, weakness in the housing market, cultural and demographic changes, instability in global, national and regional economic activity and increased stock market volatility have historically adversely affected, and may continue to adversely affect, leisure and business travel, discretionary spending, consumer preferences, and other areas of economic behavior that directly impact the gaming industry and, as a result, may negatively impact our business, financial condition, and operating cash flows. Other factors over which we and our tenants have no control, including geopolitical conflicts, tariffs and trade barriers, public health crises, labor shortages, travel restrictions, supply chain disruptions and property closures, may also adversely affect the gaming industry.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we are subject to risks inherent in substantial investments in a single industry, a decrease in the gaming business would likely have a greater adverse effect on us than if we owned a more diversified real estate portfolio, particularly because, among other things, a component of the rent under certain of the lease agreements will be based, over time, on the performance of the gaming facilities operated by our tenants within our properties. As a result of such dependence on the gaming industry, the immediate and long-term effects of the foregoing on the gaming industry could be material and adverse to our business, financial condition, liquidity, results of operations and prospects.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Because a concentrated portion of our revenues are generated from the Las Vegas Strip, we are subject to greater risks than a company that is more geographically diversified.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properties on the Las Vegas Strip generated approximately 49% of our total revenues for the year ended December 31, 2025 and we expect this concentration to continue in the foreseeable future. Therefore, our business may be significantly affected by risks common to the Las Vegas tourism industry, such as the impact of any events that limit or disrupt travel to and from Las Vegas (including the cost and availability of air services), work stoppages and other labor unrest, strikes, or other business interruptions. Moreover, due to the importance of our properties on the Las Vegas Strip, we may be disproportionately affected by general risks such as economic conditions, changing consumer behavior, severe weather and climate impacts (including heat stress, water stress and drought), natural disasters (including major fires, floods and earthquakes), declining domestic and international tourism, including as a result of tariffs, trade barriers, and political or diplomatic instability, and acts of terrorism, should such developments occur in or nearby, or otherwise impact, Las Vegas. Any such adverse changes could reduce domestic and international travel, including travel to Las Vegas and other markets in which our properties are located, and negatively impact discretionary consumer spending. Reduced travel demand or increased costs of travel could adversely affect visitation and operating performance at the properties operated by our tenants, particularly in destination markets such as Las Vegas. As a result of such geographic concentration of risks, the immediate and long-term effects of the foregoing could have a material and adverse effect on our business, financial condition, liquidity, results of operations, and prospects.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Our pursuit of acquisitions of, and investments in, experiential assets and other strategic opportunities are in a highly competitive industry and may be unsuccessful or fail to meet our expectations, and we may not identify all potential costs and liabilities in connection with such acquisitions or investments.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pursue acquisitions of, and investments in, gaming, hospitality, wellness, entertainment and leisure sector properties and activities directly related thereto, which we refer to as “experiential assets”, and the “experiential real estate sector”, and other strategic opportunities. However, we operate in a highly competitive industry and face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other REITs, investment companies, private equity firms and hedge funds, sovereign funds, lenders, gaming companies and other investors, some of whom are larger and have greater resources, access to capital and lower costs of capital or different investment parameters. Increased competition and interest from other companies in investing in and acquiring gaming-entitled real estate will make it more challenging to identify and successfully capitalize on transaction opportunities that meet our investment objectives. If we cannot make investments in a sufficient quantity of gaming or other experiential properties (including the timely reinvestment of the proceeds from the repayment of our outstanding loans) at favorable prices, or if we are unable to finance transactions on commercially favorable terms, our business, results of operations and prospects could be materially and adversely affected. Additionally, the fact that we must distribute 90% of our REIT taxable income (other than net capital gains) in order to maintain our qualification as a REIT may limit our ability to rely upon rental payments from our leased properties or subsequently acquired properties in order to finance these strategic investments and transactions. As a result, if debt or equity financing is not available on acceptable terms, further transactions might be limited or curtailed.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our investment strategy, we have and may continue to make investments that involve entering into new asset classes or sectors, or utilize novel transaction structures such as strategic co-investment ventures, joint ventures, funds, and other forms of investment partnership. These new asset classes and transaction structures may have new, different or increased risks compared to what we are currently exposed to in our business and we may not be able to manage these risks successfully. In particular, such risks include potential impacts on our regulatory requirements, including our ability to maintain our REIT status; effectively navigating shared approval rights or governance with partners or investors whose economic interests may diverge from ours; addressing additional capital requirements or partner funding failures requiring us to contribute additional capital or raise funds or incur indebtedness on unfavorable terms; addressing contractual restrictions on our ability to transfer interests or exit investments when desired; and addressing potential disputes with partners that divert management attention and result in potential litigation, arbitration, or termination, and increased expenses. If we are not able to successfully manage the risks associated with such activity, it could have an adverse effect on our business, financial condition and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Further, the investigation of such potential investments, transaction structures, and strategic alternatives, including financial analysis and underwriting, due diligence and negotiation, tax drafting, and execution of relevant agreements, requires substantial management time and attention and may impose substantial costs for financial advisors, accountants, attorneys and other advisors. If a specific transaction is delayed, terminated, does not otherwise proceed or is not consummated for any reason, including, in certain cases, litigation challenging such transaction or any other reason beyond our control, the costs incurred up to that point likely would not be recoverable and significant management time will have been lost, which could have a material adverse effect on us. Additionally, we may not identify all potential costs and liabilities in the course of our due diligence in connection with these opportunities. In the event that a cost or liability is not adequately identified in the course of such due diligence or addressed in the course of negotiating such transaction, we may not realize the anticipated benefit of such transaction, fully or at all, and our business, financial condition and results of operations could be adversely affected.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Even if we are able to acquire or invest in additional properties in the future, there is no guarantee that such properties will be able to maintain their historical performance or achieve their projected performance, which may prevent the ability of our tenants or borrowers to meet their obligations to us under the applicable agreements. In addition, our financing of these acquisitions and investments may involve our incurrence of substantial debt, which could negatively impact our cash flows and liquidity, or the issuance of new equity, which would be dilutive to existing stockholders. Due to market considerations and in light of the timing typically required to obtain regulatory approvals for gaming transactions, any such financing may take place substantially in advance of closing of such transaction (and the receipt of rent or other payments under a lease or other applicable agreement) and negatively impact our operating results during such period. In addition, we cannot make assurances that we will be successful in implementing our business and growth strategies or that any additional transactions will improve our financial performance or operating results. The failure to identify and acquire or invest in new properties effectively, the failure to complete transactions in a timely manner or at all, or the failure of any acquired properties to perform as expected, could have a material adverse effect on our business, financial condition, results of operations, and prospects, as well as our ability to make distributions to our stockholders.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lending activities involve distinct risks compared to our acquisition and leasing of real estate, including with respect to development and construction loans for non-stabilized properties which carry additional risks, including cost overruns, completion delays, operational underperformance, and other issues that could have a material adverse effect on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debt investments are investments in development and construction loans. These loans typically involve future funding obligations and may be riskier than other types of loans as a result of potential cost overruns, construction delays and uncertainty as to the future financial performance of the underlying property. Further, under the terms of these loans, we may be obligated to fund all or a significant portion of such loans at one or more future dates, including on a delayed draw basis, and we may not have the funds available on attractive terms, or at all, at such time to meet our funding obligations under our funding commitments. If we fail to meet our funding obligations, we would likely be in breach of such obligations unless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able to raise the funds from alternative sources, which we may not be able to achieve on favorable terms or at all, or make other arrangements.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Furthermore, there could be other adverse impacts associated with the funding of development, construction or pre-stabilization loans, including increased costs that the borrower is unable or unwilling to pay, and other negative consequences, up to and including a bankruptcy filing by the borrower if they fail to fund their portion of the development project or experience cost overruns or other negative developments that impair their ability to complete the project and commence operations. In addition, other negative developments including construction delays, disruptions in supply chains, cost increases associated with building materials and construction services, environmental and remediation efforts, and costs or difficulties associated with obtaining construction permits and complying with local regulations, availability and cost of labor, and cost overruns, as well as changes in the value of collateral during construction or prior to stabilization, may adversely affect our investments or our realization of the anticipated benefits from such investments. In addition, borrowers may not have access to capital, which in turn, may result in the borrower’s inability to complete the project or, in the case of a construction loan, repay our loan in full or on a timely basis. In such cases, the borrower could default on its obligations or, in advance thereof or in connection therewith, seek to modify or renegotiate the terms of its loan agreement with us, including with respect to economic provisions, covenants, or other changes. Such borrowers could also take other actions that could impact us, including seeking to sell the development or operations, or other strategic action that does not align with our interests as a lender.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incur significant costs and liabilities in foreclosing on any property subject to a construction or development financing if the borrower fails to perform its obligations under the applicable loan and/or development documents, in addition to other costs and risks associated with completing construction of the property as described above. We may incur a significant loss selling or leasing the property if we are unable to do so on terms reasonably acceptable to us, or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 foregoing could materially and adversely affect the value of our investment, our ability to achieve the anticipated benefits of such investment, and our business, financial condition, results of operations, and prospects, as well as our ability to make distributions to our stockholders.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and our tenants face extensive regulation from gaming and other regulatory authorities, and our charter provides that any of our shares held by investors who are found to be unsuitable by state gaming regulatory authorities are subject to redemption, which may delay or prohibit a change in control.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ownership, operation, and management of gaming and racing facilities are subject to extensive regulation by one or more gaming authorities in each applicable jurisdiction where gaming and racing facilities are permitted. These regulations impact our gaming and racing tenants and persons associated with such facilities operating at our properties, which in many jurisdictions include us as the landlord and owner of the real estate. Gaming regulatory authorities also have broad powers with respect to the licensing of casino operations and may require us and/or our affiliates to maintain certain licenses or be found suitable as a landlord and certain of our stockholders, officers and directors may be required to be found suitable as well. Under certain circumstances, gaming authorities may revoke, suspend, condition or limit the gaming or other licenses of us or our tenants, impose substantial fines or take other actions, any one of which could adversely impact the business, financial condition, liquidity, and results of operations of us or our tenants. Additionally, gaming compliance issues in one jurisdiction may lead to reviews and compliance issues in other jurisdictions. The loss of gaming licenses by us could result in, among other things, an event of default under certain of our debt agreements, and cross-default provisions could cause an event of default under one debt agreement to trigger an event of default under our other debt agreements.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outstanding shares of capital stock are held subject to applicable gaming laws. In many jurisdictions, gaming laws can require certain of our stockholders to file an application, be investigated, and qualify or have such person or entity’s suitability determined by gaming authorities, and gaming authorities have very broad discretion in making such determinations. Gaming authorities may conduct investigations into the conduct or associations of our stockholders to ensure compliance with applicable standards. Many jurisdictions also require any person who acquires beneficial ownership of more than a certain percentage of voting securities of a gaming company and, in some jurisdictions, non-voting securities, typically 5% of a publicly traded company, to report the acquisition to gaming authorities, and gaming authorities may require such holders to apply for qualification, licensure or a finding of suitability, subject to limited exceptions for “institutional investors” that hold a company’s securities for passive investment purposes only. Any person owning or controlling at least 5% of the outstanding shares of any class of our capital stock is required to promptly notify us of such person’s identity and apply for qualification, licensure, finding of suitability, or an institutional investor waiver, as applicable. Some jurisdictions may also limit the number of gaming licenses in which a person may hold an ownership or a controlling interest. Our charter provides that all of our shares held by investors who are found to be unsuitable by regulatory authorities are subject to redemption upon our receipt of notice of such finding and, in some cases, we may be subject to disciplinary action if, after we receive notice that a person is unsuitable to be a stockholder or to have any other relationship with us, we engage in certain transactions with that stockholder or fail to cause that stockholder to relinquish their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Finally, certain corporate actions must be reported to, and in some cases approved by, certain gaming authorities in advance of a transaction, including substantially all material loans, significant acquisitions, leases, sales of securities and similar financing transactions by us and our subsidiaries, and changes in control through merger, consolidation, stock or asset acquisitions, management or consulting agreements, or otherwise. As a result, entities seeking to acquire control of us or one of our subsidiaries (and certain of our affiliates) must satisfy gaming authorities with respect to a variety of stringent standards prior to assuming control. Failure to satisfy the stringent licensing standards may preclude such entities from acquiring an ownership or a controlling interest in us or one of our subsidiaries (and certain of our affiliates) and/or require the entities to divest such interest. If the consummation of a transaction by an entity seeking to acquire control of us or one of our subsidiaries is delayed or prohibited by regulatory authorities, we or our stockholders may be limited or otherwise unable to realize the benefits of the proposed transaction.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Required regulatory approvals can delay or prohibit transfers of our gaming properties or the consummation of transactions, which could result in periods in which we are unable to receive rent related to, or otherwise realize the benefits of, such transactions.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Tenants at our gaming properties are required to be licensed under applicable law in order to operate any of our properties as gaming facilities. The loss of gaming licenses by our tenants could result in, among other things, the cessation of operations at one or more of the facilities we lease to such tenants. As a result, if a lease agreement for a gaming property is terminated (which could be required by a regulatory agency) or expires, any new tenant must be licensed and receive other regulatory approvals to operate such property as a gaming facility. Any delay or inability of a new tenant to receive required licenses and other regulatory approvals from the applicable state and county government agencies may prolong the period during which the property is unoccupied and we are unable to collect the applicable rent. Further, in any such event, the property may not be permitted to continue to operate as a gaming facility and we may be unable to collect rent or transfer or sell the affected property as a gaming facility, which could materially adversely affect the fair value of the affected property. Given the highly regulated nature of the gaming industry, any future gaming transactions we enter into are likely to be subject to regulatory approval in one or more jurisdictions, including with respect to any transfers in ownership, operating licensure or other regulatory considerations. If the consummation of a transaction is delayed or prohibited by regulatory authorities, we may be limited or otherwise unable to realize the benefits of the proposed transaction, which may have a material adverse effect on our business, financial condition, liquidity, results of operations and prospects.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subject to additional risks from our investments located outside the United States or on tribal land.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value of the properties in which we invest or acquire in non-U.S. jurisdictions may be affected by factors specific to the laws and business practices of such jurisdictions, which may expose us to risks that are different from and in addition to those commonly found in the United States, including, but not limited to: (i) the burden of complying with non-U.S. laws, including land use and zoning laws or more stringent environmental laws; (ii) existing or new laws relating to the foreign ownership of real property and laws restricting our ability to repatriate earnings and cash into the United States; (iii) the potential for expropriation; (iv) adverse effects of changes in the exchange rate between U.S. dollars and foreign currencies in which revenue is generated at our properties outside the United States; (v) the imposition of adverse or confiscatory taxes, changes in income and other tax rates or laws and changes in other operating expenses in such foreign jurisdictions; (vi) possible challenges to the anticipated tax treatment of our revenue and our properties; (vii) the potential difficulty of enforcing rights and obligations in foreign jurisdictions; and (viii) our more limited experience and expertise in foreign countries relative to our experience and expertise in the United States. Properties and investments on tribal land are also subject to tribal laws, regulations, and governmental authority that may differ from federal and state frameworks, including with respect to land use, gaming regulation, taxation, and business practices.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certain of our investments, such as the North Fork loan, are secured by the property and assets of the borrower, including cash flows and revenues generated by the property, but excluding real property or any interests therein. Accordingly, investments where the underlying property is on tribal land may expose us to additional risks related to our ability to realize repayment of loaned amounts, the enforceability of contractual provisions, including limited waivers of sovereign immunity (to the extent applicable) and customary rights and remedies with respect to such investments or the assets secured as collateral, up to and including limitations on the ability to exercise customary foreclosure remedies in the event of a default. In addition, in the event of a foreclosure, the applicable borrower or its operating subsidiary may not be replaceable as operator of the gaming operations at such property and the assets of such borrower and its applicable subsidiaries may be insufficient to ensure payment in full to us of the amounts lent under such loan arrangements.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of our lease agreements, rent is payable in foreign currencies with respect to some or all of the properties under the applicable lease agreements. In addition, we have incurred and may continue to incur indebtedness that is denominated in foreign currencies to fund our international investments. As a result, we are subject to foreign currency risk due to potential fluctuations in exchange rates between these foreign currencies and the U.S. dollar. Exchange rates may fluctuate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many factors, including domestic and international trade policies and the imposition of tariffs. A significant change in the value of the foreign currency of one or more countries where we have a significant investment or receive significant rental revenue may have a material adverse effect on our business and, specifically, our U.S. dollar-reported financial condition and results of operations. While we may enter into hedging and other derivatives instruments to mitigate our exposure to fluctuations in foreign exchange rates, we may not realize the anticipated benefits from these arrangements or these arrangements may be insufficient to mitigate our exposure.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w:t>
      </w:r>
    </w:p>
    <w:p>
      <w:pPr>
        <w:pStyle w:val="TextBody"/>
        <w:bidi w:val="0"/>
        <w:spacing w:lineRule="auto" w:line="288" w:before="180" w:after="283"/>
        <w:jc w:val="both"/>
        <w:rPr/>
      </w:pPr>
      <w:r>
        <w:rPr>
          <w:rFonts w:ascii="Times New Roman;serif" w:hAnsi="Times New Roman;serif"/>
          <w:b w:val="false"/>
          <w:color w:val="000000"/>
          <w:sz w:val="20"/>
        </w:rPr>
        <w:t xml:space="preserve">All of our rental revenue and a substantial majority of our total revenue is generated from our long-term triple-net lease agreements, which typically feature longer lease terms, with a weighted average lease term (inclusive of extension options) of all of our lease agreements as of December 31, 2025 of </w:t>
      </w:r>
      <w:r>
        <w:rPr>
          <w:rFonts w:ascii="Times New Roman;serif" w:hAnsi="Times New Roman;serif"/>
          <w:b w:val="false"/>
          <w:color w:val="000000"/>
          <w:sz w:val="20"/>
          <w:shd w:fill="FFFFFF" w:val="clear"/>
        </w:rPr>
        <w:t>39.6 years</w:t>
      </w:r>
      <w:r>
        <w:rPr>
          <w:rFonts w:ascii="Times New Roman;serif" w:hAnsi="Times New Roman;serif"/>
          <w:b w:val="false"/>
          <w:color w:val="000000"/>
          <w:sz w:val="20"/>
        </w:rPr>
        <w:t xml:space="preserve">. See </w:t>
      </w:r>
      <w:hyperlink w:anchor="i368d3c19aa9d44c4a3d1ba3257c0bdcf_16">
        <w:r>
          <w:rPr>
            <w:rStyle w:val="InternetLink"/>
            <w:rFonts w:ascii="Times New Roman;serif" w:hAnsi="Times New Roman;serif"/>
            <w:b w:val="false"/>
            <w:color w:val="0000FF"/>
            <w:sz w:val="20"/>
            <w:u w:val="single"/>
          </w:rPr>
          <w:t>Item 1 “Business-Our Lease Agreements”</w:t>
        </w:r>
      </w:hyperlink>
      <w:r>
        <w:rPr>
          <w:color w:val="000000"/>
        </w:rPr>
        <w:t xml:space="preserve"> </w:t>
      </w:r>
      <w:r>
        <w:rPr>
          <w:rFonts w:ascii="Times New Roman;serif" w:hAnsi="Times New Roman;serif"/>
          <w:b w:val="false"/>
          <w:color w:val="000000"/>
          <w:sz w:val="20"/>
        </w:rPr>
        <w:t xml:space="preserve">and </w:t>
      </w:r>
      <w:hyperlink w:anchor="i368d3c19aa9d44c4a3d1ba3257c0bdcf_16">
        <w:r>
          <w:rPr>
            <w:rStyle w:val="InternetLink"/>
            <w:rFonts w:ascii="Times New Roman;serif" w:hAnsi="Times New Roman;serif"/>
            <w:b w:val="false"/>
            <w:color w:val="0000FF"/>
            <w:sz w:val="20"/>
            <w:u w:val="single"/>
          </w:rPr>
          <w:t>Item 1 “Business-Our Relationship with Caesars and MGM”</w:t>
        </w:r>
      </w:hyperlink>
      <w:r>
        <w:rPr>
          <w:color w:val="000000"/>
        </w:rPr>
        <w:t xml:space="preserve"> </w:t>
      </w:r>
      <w:r>
        <w:rPr>
          <w:rFonts w:ascii="Times New Roman;serif" w:hAnsi="Times New Roman;serif"/>
          <w:b w:val="false"/>
          <w:color w:val="000000"/>
          <w:sz w:val="20"/>
        </w:rPr>
        <w:t xml:space="preserve">for additional information regarding such agreements. Our lease agreements typically contain annual escalation provisions, certain of which are tied to changes in CPI (or similar metrics with respect to other geographies), although these annual escalators in some cases do not apply until future periods. In addition, certain of these annual escalators are subject to a maximum cap, which could result in lower rent escalation than the actual CPI increase in a single year or over a longer period. For example, under the MGM Master Lease, the escalator is fixed at 2.0% for years two through ten of the MGM Master Lease and, for the remainder of the term, the escalator is the greater of 2.0% and CPI, subject to a 3.0% cap. Inflation as measured by changes in CPI increased at an average of 2.7% in 2025. Accordingly, there is a risk that contractual rental increases in future years may fail to match inflation rates or result in fair market rental rates over time. Sustained inflation rates that are above any CPI escalator cap could over time result in our receiving rental income below fair market lease rates, which could adversely impact the fair value of the assets and our business, financial condition, results of operations and prospects.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annual rent escalations under the lease agreements over specified periods will generally continue to apply regardless of the amount of cash flows generated by the properties that are subject to such lease agreements. Accordingly, if the cash flows generated by such properties decrease, do not increase at the same rate as the rent escalations, or do not increase as anticipated, including in connection with any capital improvement projects (such as those financed through our Partner Property Growth Fund strategy), the rents payable under such lease agreements will over time comprise a higher percentage of the cash flows generated by the applicable tenant and/or guarantor, which could make it more difficult for them to meet their respective obligations to us under the lease agreements (and related guarantees, as applicable) or increase the likelihood that they request concessions or modifications to such obligations. Finally, our tenants may choose not to renew our lease agreements at the end of the initial lease term or any additional renewal term thereafter. If a lease agreement expires without renewal and we are not able to find one or more suitable, creditworthy replacement tenants on the same or more attractive terms, our business, financial condition, liquidity, results of operations and prospects may be materially and adversely affected, including our ability to make distributions to our stockholders at the then current level, or at all.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ability to sell, dispose of and use our properties may be limited by the contractual terms of our lease agreements, tax protection agreements or other agreements with our tenants, or otherwise impacted by matters relating to our real estate ownership.</w:t>
      </w:r>
    </w:p>
    <w:p>
      <w:pPr>
        <w:pStyle w:val="TextBody"/>
        <w:bidi w:val="0"/>
        <w:spacing w:lineRule="auto" w:line="288" w:before="180" w:after="283"/>
        <w:jc w:val="both"/>
        <w:rPr/>
      </w:pPr>
      <w:r>
        <w:rPr>
          <w:rFonts w:ascii="Times New Roman;serif" w:hAnsi="Times New Roman;serif"/>
          <w:b w:val="false"/>
          <w:color w:val="000000"/>
          <w:sz w:val="20"/>
        </w:rPr>
        <w:t xml:space="preserve">Our ability to sell or dispose of our properties may be hindered by, among other things, the fact that such properties are subject to lease agreements, as the terms of each lease agreement require that a purchaser assume the applicable lease agreement or, in certain cases, enter into a severance lease for the sold property on substantially the same terms as contained in the applicable lease agreement, which may make our properties less attractive to a potential buyer than alternative properties that may be for sale. Additionally, our properties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such properties, enforce our rights as a lender and otherwise realize additional value from these properties. In connection with certain of our transactions, including the MGP Transactions (as defined in </w:t>
      </w:r>
      <w:hyperlink w:anchor="i368d3c19aa9d44c4a3d1ba3257c0bdcf_151">
        <w:r>
          <w:rPr>
            <w:rStyle w:val="InternetLink"/>
            <w:rFonts w:ascii="Times New Roman;serif" w:hAnsi="Times New Roman;serif"/>
            <w:b w:val="false"/>
            <w:color w:val="0000FF"/>
            <w:sz w:val="20"/>
            <w:u w:val="single"/>
          </w:rPr>
          <w:t>Note 3 - Real Estate Transactions</w:t>
        </w:r>
      </w:hyperlink>
      <w:r>
        <w:rPr>
          <w:rFonts w:ascii="Times New Roman;serif" w:hAnsi="Times New Roman;serif"/>
          <w:b w:val="false"/>
          <w:color w:val="000000"/>
          <w:sz w:val="20"/>
        </w:rPr>
        <w:t xml:space="preserve">), we entered into tax protection agreements that could limit our ability to sell or otherwise dispose of the subject property or properties contributed to us, and we may enter into similar such agreements in the future. Therefore, although it may be in the best interests of our stockholders for us to sell a certain property, it may be economically prohibitive for us to do so during the specified protected period because of restrictions included within a tax protection agreement.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connection with the MGP Transactions, we entered into the MGM Tax Protection Agreement pursuant to which, subject to certain exceptions, we agreed to indemnify the Protected Parties (as defined in the MGM Tax Protection Agreement) for certain tax liabilities, during the Protected Period (as defined in the MGM Tax Protection Agreement),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(i) the sale, transfer, exchange or other disposition of Protected Property (as defined in the MGM Tax Protection Agreement), (ii) a merger, consolidation, or transfer of all of the assets of, or certain other transactions undertaken by us pursuant to which the ownership interests of the Protected Parties in VICI OP are required to be exchanged in whole or in part for cash or other property, (iii) the failure of VICI OP to maintain approximately $8.5 billion of nonrecourse indebtedness allocable to the Protected Parties, which amount may be reduced over time in accordance with the MGM Tax Protection Agreement, and (iv) the failure of VICI OP or us to comply with certain tax covenants that would impact the tax liabilities of the Protected Parties. In addition, as sole owner of the MGM Grand/Mandalay Bay JV, we bear any indemnity under the tax protection agreement previously entered into with MGM, which is effective through mid-2029, with respect to built-in gain and debt maintenance related to MGM Grand Las Vegas and Mandalay Bay. In the event that we breach restrictions in these agreements, we will be liable for grossed-up tax amounts associated with the income or gain recognized as a result of such breach.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exposed to risks related to certain of our properties that are subject to ground and use lease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and may in the future be the lessee under long-term ground lease arrangements at certain of our properties or make investments into properties that are subject to long-term ground lease arrangements. Many of these ground lease arrangements involve local municipalities, states and other governmental bodies as the applicable lessor, such as Century Mile Racetrack, Chelsea Piers New York, and MGM National Harbor. Unless we purchase a fee interest in the underlying land and/or buildings subject to the leases, we will not own such properties or portions of such properties, as the case may be. Unless the terms of these ground and use leases are extended prior to expiration, we will no longer have rights with respect to these properties or portions of these properties, as the case may be, upon expiration of the applicable ground leases, which could impact our tenant’s ability to operate the property (to the extent the portions of property covered under the applicable ground and/or use lease are material to the operations of the property) and our rights and obligations under applicable lease agreements, which could adversely affect our business, financial condition and results of operations. Furthermore, payments under such leasehold interests may be periodically adjusted pursuant to the relevant contractual arrangements and may result in significantly higher rents, and while such payments are the responsibility of our tenants under the respective lease agreements, such increases could adversely affect us and our tenants’ business, financial condition and results of operations. In addition, we may rely on our tenants at such properties to maintain compliance with the terms of any such ground or use lease. Additionally, due to the greater risk in a loan secured by a leasehold interest than a loan secured by a fee interest, we face risks related to our investments secured by a leasehold interest, including if the borrower were to default under the terms of our loan or violate the terms of such ground lease.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elect not to, or not be able to, purchase properties pursuant to our rights under certain agreements, including put-call, call right, right of first refusal, right of first offer and similar agreements, including if we are unable to obtain financing on attractive terms, or at all.</w:t>
      </w:r>
    </w:p>
    <w:p>
      <w:pPr>
        <w:pStyle w:val="TextBody"/>
        <w:bidi w:val="0"/>
        <w:spacing w:lineRule="auto" w:line="288" w:before="180" w:after="283"/>
        <w:jc w:val="both"/>
        <w:rPr/>
      </w:pPr>
      <w:r>
        <w:rPr>
          <w:rFonts w:ascii="Times New Roman;serif" w:hAnsi="Times New Roman;serif"/>
          <w:b w:val="false"/>
          <w:color w:val="000000"/>
          <w:sz w:val="20"/>
        </w:rPr>
        <w:t xml:space="preserve">Pursuant to certain put-call, call right, right of first refusal, right of first offer and similar agreements, as further described in </w:t>
      </w:r>
      <w:hyperlink w:anchor="i368d3c19aa9d44c4a3d1ba3257c0bdcf_16">
        <w:r>
          <w:rPr>
            <w:rStyle w:val="InternetLink"/>
            <w:rFonts w:ascii="Times New Roman;serif" w:hAnsi="Times New Roman;serif"/>
            <w:b w:val="false"/>
            <w:color w:val="0000FF"/>
            <w:sz w:val="20"/>
            <w:u w:val="single"/>
          </w:rPr>
          <w:t>Item 1 "Business - Our Embedded Growth Pipeline"</w:t>
        </w:r>
      </w:hyperlink>
      <w:r>
        <w:rPr>
          <w:rFonts w:ascii="Times New Roman;serif" w:hAnsi="Times New Roman;serif"/>
          <w:b w:val="false"/>
          <w:color w:val="000000"/>
          <w:sz w:val="20"/>
        </w:rPr>
        <w:t>, we have certain rights in connection with the potential or actual purchase or sale of properties covered by these agreements, subject to applicable terms and conditions. In many cases, the counterparties to these agreements are not obligated to sell the applicable properties and our right to purchase (or offer to purchase) these properties under these agreements may never be triggered.</w:t>
      </w:r>
      <w:r>
        <w:rPr>
          <w:color w:val="000000"/>
          <w:shd w:fill="FFFFFF" w:val="clear"/>
        </w:rPr>
        <w:t xml:space="preserve"> </w:t>
      </w:r>
      <w:r>
        <w:rPr>
          <w:rFonts w:ascii="Times New Roman;serif" w:hAnsi="Times New Roman;serif"/>
          <w:b w:val="false"/>
          <w:color w:val="000000"/>
          <w:sz w:val="20"/>
        </w:rPr>
        <w:t>Additionally, in order to exercise these rights and any similar rights we obtain in the future,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Further, each of these potential transactions remains subject to the terms and conditions of the applicable agreements, including with respect to due diligence, applicable regulatory approvals and customary closing conditions. In certain circumstances, we may elect not to exercise any such rights with respect to a given property.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is subject to risks associated with the potential sale or divestiture of properties or assets in the event we elect to pursue such sale or divestiture after an evaluation of our portfolio of businesses, including loss of revenue and lower-than-expected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evaluate our properties and may, as a result, sell or attempt to sell, divest, or spin-off different properties or assets, subject, if applicable, to the terms of the applicable lease agreement. Any such sales or divestitures could affect our business, results of operations, and financial condition, including liquidity and our ability to comply with applicable financial covenants, as well as reduced revenue from the sold or divested properties. Divestitures have inherent risks, including possible delays in closing transactions (including as a result of difficulties in obtaining regulatory approvals), the risk of lower-than-expected sales proceeds for the divested assets, and potential post-closing claims for indemnification. In addition, economic conditions, such as high inflation or heightened interest rates, and relatively illiquid real estate markets may result in fewer potential bidders and unsuccessful sales efforts with respect to any potential sales or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Our properties and the properties securing our loans are subject to risks from natural disasters and other adverse or extreme weather conditions, including the physical effects of climate change.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properties and the properties securing our loans are subject to risks from natural disasters, other adverse or extreme weather conditions, and associated casualty and condemnation risks. In particular, if any of these scenarios were to occur and result in physical damage to our properties, we may incur material costs to address any such damage and protect or restore such assets (to the extent not covered by our tenants under the terms of our leases or by applicable insurance coverage). Additionally, changes to applicable building and zoning laws, ordinances and codes since the initial construction of our properties may limit a tenant’s ability or increase the cost of construction to restore the premises of a property to its previous condition (or to refurbish, expand or renovate such property to remain compliant) in the event of a substantial casualty loss with respect to the property. If any such developments occur, we may be unable to re-lease the space at a comparable effective rent or sell the property at an acceptable price, which may have a material adverse effect on our business, financial condition and results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effects of climate change may increase the frequency of significant or extreme weather events and result in other impacts, such as rising sea levels, water shortages, and increased average temperatures. With respect to our property portfolio, we believe that flooding, water stress/drought and heat stress pose the greatest material risk from the effects of climate change, although the nature and degree of these risks vary based on geographic location and other factors. For example, in Las Vegas and the surrounding region, a significant majority of water is sourced from the Colorado River and water levels in Lake Mead, which serves as a reservoir, have declined significantly in recent years and remained at reduced levels despite a partial recovery in 2023, with various regulatory bodies continuing to pursue water conservation initiatives. Severe drought or prolonged water stress experienced in Las Vegas and the surrounding region or in the other regions in which we own properties, as well as the potential impact of regulatory efforts to address such conditions, could adversely affect the business and financial results of the tenants operating at our properties in such regions.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natural disasters, adverse or extreme weather conditions, or other climate-related events may result in a decrease in demand and/or a decrease in rent for our properties located in the areas affected by these conditions or affect consumer behaviors, preferences and spending, which may adversely impact the viability of our tenants’ operations and continued investment in our properties, our tenants’ and borrowers’ ability to fulfill their obligations to us, or the value of our properties and our ability to re-lease such properties in the future, all of which may materially adversely affect our business, financial condition, results of operations and prospects.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is subject to risks associated with environmental compliance, including as a result of climate change laws and regulations and the transition to a lower carbon economy, and potential costs and liabilities associated with such compliance may materially impair the value of certain real estate properties owned by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owner of real property, we are subject to various federal, state and local environmental and health and safety laws and regulations. The assessment of the potential impact of climate change has influenced the activities of government authorities, the pattern of consumer behavior and other areas that impact the business environment. Certain jurisdictions in which our properties are located have enacted, plan to implement, or may in the future implement additional building and zoning laws, ordinances or codes relating to building performance standards, such as those intended to reduce energy emissions, which we may be subject to as the owner of record. Based on our most recent analysis completed in early 2025, twelve of our leased properties are currently subject to energy benchmarking and/or building performance standards due to their location. The promulgation of additional policies, laws or regulations relating to climate change by governmental authorities in the markets in which we own properties may result in, among other things, increased costs to adapt to the demands and expectations of climate change or lower carbon usage, retrofitting properties to be more energy efficient or comply with new rules or regulations, or other unforeseen costs, any of which could adversely impact the value of our properties and our or our tenants’ businesses.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operate or manage our properties subject to triple-net leases, although we may be held primarily or jointly and severally liable for costs relating to maintaining compliance with such laws, ordinances and codes or the investigation and clean-up of any property from which there has been a release or threatened release of a regulated material (including any damages or costs incurred by the government in connection with such contamination) as well as other affected properties, regardless of whether we knew of or caused the release. Under the lease agreements, our tenants are required to maintain compliance with applicable environmental laws (including applicable building and zoning laws, ordinances and codes) and to indemnify us for certain environmental liabilities (including environmental liabilities they cause); however the costs of such compliance or the amount of such liabilities could exceed the financial ability of the applicable tenant or guarantor to indemnify us. In addition, noncompliance with applicable laws, ordinances and codes or the presence of contamination or the failure to remediate contamination may adversely affect our ability to sell or lease our properties, which could adversely affect our business, financial condition, liquidity,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New laws and regulations relating to sustainability and climate change may include specific disclosure requirements or other obligations that may require additional investments and implementation of new practices and reporting processes, all entailing additional compliance costs and risk. Our tenants’ control of our leased properties (which is a fundamental component of the triple-net lease structure) presents challenges with respect to collecting property-level environmental data and metrics and implementing sustainability initiatives (including energy and emissions reduction), which may impact our ability to comply with certain regulatory requirements to which we are or may become subject. If we or our tenants are unable to comply with laws and regulations on climate change, we or they may incur fines and/or penalties and our reputation among our tenants, borrowers and investors may be damaged.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or our tenants may experience uninsured or underinsured losses, which could result in a significant loss of the capital we have invested in a property, decrease anticipated future revenues or cause us to incur unanticipated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lease agreements generally require that our tenants maintain comprehensive liability, property and business interruption insurance, although such coverage is subject to deductibles and limits on maximum benefits (including limitations on the coverage period for business interruption). When our or our tenants’ current insurance policies expire, we or they, respectively, may encounter difficulty in obtaining or renewing insurance on our properties at the same levels of coverage and under similar terms. Such insurance may be more limited and for some catastrophic risks (for example, earthquake, flood and terrorism) may not be generally available at current levels or on commercially reasonable terms. Furthermore, our or our tenants’ insurance premiums may increase as a result of factors outside our or their respective control, such as changes in the insurance industry or underwriting practices, increasing frequency of certain climate-related claims in one or more markets, or other effects of climate change.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there are certain losses, including losses from environmental liabilities (including the physical effects of climate change), terrorist acts or catastrophic acts of nature, that are not generally insured against in full or in part because it is not deemed economically feasible or prudent to do so. Insurance coverage may not be sufficient to pay the full current market value or current replacement cost of a loss, and the insurance proceeds received might not be adequate to restore the economic position with respect to such property. Inflation, changes in building codes and ordinances, environmental considerations and other factors might also make it unfeasible to use insurance proceeds to replace the property after such property has been damaged or destroyed. Furthermore, under such circumstances we may be required under the terms of the MGM Grand/Mandalay Bay JV CMBS loan agreement to contribute all or a portion of insurance proceeds to the repayment of such debt, which may prevent us from restoring such properties to their prior state. If the insurance proceeds (after any such required repayment) were insufficient to make the repairs necessary to restore the damaged properties to a condition substantially equivalent to their state immediately prior to the casualty, we or our tenants may not have sufficient liquidity to otherwise fund the repairs and may be required to obtain additional financing, which could materially and adversely affect our or our tenants’ business, financial condition, liquidity, and results of operations. While the tenants under our leases generally indemnify, defend and hold us harmless for the foregoing liabilities, there can be no assurance that the respective tenant will be able to satisfy its obligations to us under the applicable lease agreement. In addition, in certain circumstances, our tenants may elect to reduce insurance coverage or self-insure with respect to certain potential losses, provided, in each case, that such insurance remains in compliance with the applicable terms of our lease agreements. As a result, we cannot make assurances that we or our tenants will be able to fully insure such losses or collect, fully or at all, on claims relating to the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one of our properties experiences a loss that is uninsured or exceeds policy coverage limits, we could lose the capital invested in the damaged property as well as the anticipated future cash flows from the property. In addition, even if damage to our properties is covered by insurance, a disruption of business caused by a casualty event may result in loss of revenue for our tenants as any business interruption insurance may not fully compensate them for such loss of revenue. If one of our tenants experiences such a loss, it may be unable to satisfy its payment obligations to us under its lease with us. If any of the foregoing were to occur, it could materially and adversely affect our business, financial condition, liquidity, and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Terrorist attacks or other acts of violence may affect our properties or our tenants’ businesses and operations at such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Terrorist attacks or other acts of violence, including elevated crime rates, may result in declining economic activity or changes in consumer behavior, which could harm the demand for services offered by our tenants and the value of our properties or collateral (including through damage, destruction or loss) and make it difficult for us to renew or re-lease our properties to suitable, credit-worthy tenants at lease rates equal to or above historical rates. These events might erode business and consumer confidence and spending and result in increased volatility in national and international financial markets and economies. To the extent that any of our tenants or borrowers are affected by future terrorist attacks, acts of violence or crime, their business could be adversely affected, including their ability to continue to meet their obligations to us. Any one of these events might decrease demand for real estate, decrease or delay the occupancy of our properties, limit our access to capital, increase our cost of raising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capital or otherwise materially and adversely affect our business, financial condition, liquidity, results of operations, and prospects.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loss of the services of key personnel could have a material adverse effect on our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and prospects. We do not have key man or similar life insurance policies covering members of our executive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may be subject to regulatory approvals based upon suitability determinations by gaming regulatory authorities in certain of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 which could materially and adversely affect our business, financial condition, results of operations and prospects.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face risks associated with cybersecurity incidents and other significant disruptions of our information technology (IT) networks and related systems or those IT networks and systems of third parties.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our own IT networks and related systems to access, store, transmit, and manage or support a variety of our business processes and information and face risks associated with cybersecurity incidents and other disruptions of our IT networks and related systems, including as a result of unauthorized access attempts, denial of service or intrusions over the internet, malware, ransomware or other extortion tactics, computer phishing attempts and other forms of social engineering, fraudulent schemes, other cybersecurity incidents, attacks, intentional or unintentional intrusions or interruptions. We have experienced cybersecurity events such as viruses, phishing attempts and attacks on our IT networks and related systems, although none of these events have had a material impact on our business, operations or financial results to date. These and future cybersecurity incidents or other disruptions may be caused by individuals within our organization, individuals outside our organization with authorized access, or by unauthorized individuals from outside our organization. The risk of such incidents, particularly through cyber attacks or intrusions, including by computer hackers, foreign governments and cyber terrorists, has generally continued to increase due to the growing number, intensity, and sophistication of attempted attacks and intrusions worldwide. Although we make efforts to maintain the security and integrity of our IT networks and related systems and have implemented various measures to manage these risks, there can be no assurance that our security efforts and measures will be effective or that attempted cybersecurity incidents or disruptions would not be successful or damaging to our operations. Further, these risks are exacerbated with the advancement and accessibility of artificial intelligence (“AI”) technology, including the adoption of AI tools by us or by third parties. Threat actors may use AI technology and tools to develop new, more sophisticated attacks or automate or increase the frequency of such attacks. We use software and platforms designed to detect such cybersecurity threats, but these threats could become more sophisticated and harder to detect and counteract, which may pose significant risks to our data security and systems. An actual or suspected cybersecurity incident or significant disruption involving our IT networks and related systems could, among other things: (i) disrupt the proper functioning of our networks and systems; (ii) result in misstated financial reports, violations of financial and reporting covenants and/or missed reporting deadlines; (iii) lead to our inability to monitor or maintain compliance with applicable legal and regulatory requirements; (iv) result in unauthorized access to, and destruction, loss, theft, misappropriation or release of proprietary, confidential, sensitive or otherwise valuable information, which unauthorized parties could use for competitive purposes or disruptive, destructive or otherwise harmful outcomes; (v) require significant management attention and resources to address or mitigate any resulting impact; (vi) expose us to litigation, including claims for breach of contract, damages, credits, penalties or termination of certain agreements; (vii) subject us to regulatory scrutiny, including civil or criminal penalties, fines, injunctive orders, investigations, and enforcement actions; and (viii) damage our reputation among our tenants, borrowers and investors. Any or all of the foregoing could have a material adverse effect on our business, financial condition, results of operations, liquidity, and prospects, including the value of our common stock and our ability to make distributions. Additionally, increased regulation of data collection, use, and retention practices, including self-regulation and industry standards, changes in existing laws and regulations, enactment of new laws and regulations, increased enforcement activity, and changes in the interpretation of laws, could increase our compliance and operational costs or otherwise harm our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conduct of our business, we and our tenants rely on relationships with third parties, including cloud data storage and other information technology service providers, contractors, and other external business partners, for certain functions or services in support of key portions of our operations. These third-party entities are subject to similar risks relating to cybersecurity, business interruption, and systems and employee failures and a significant system failure or attack against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third-party service provider or partner could have a material adverse effect on our business. Certain of these third-party entities have experienced cybersecurity events such as viruses, phishing attempts, attacks and system failures, although none of these events to date have had a material impact on our business, operations or financial results. Although we may be entitled to damages in such event or if relevant third parties otherwise fail to satisfy their security-related obligations to us, any award may be insufficient to cover our damages, or we may be unable to recover such award.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cybersecurity insurance coverage, although there may be exceptions to our insurance coverage that result in our insurance policies not covering some or all aspects of a cybersecurity incident. Even where a cybersecurity incident is covered by our insurance, the insurance limits may not cover the costs of complete remediation and redress that may be required in the wake of a cybersecurity incident.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financial condition, results of operations, liquidity, and prospects, including the value of our common stock and our ability to make distributions. In addition, we cannot be sure that our existing insurance coverage (including coverage for errors and omissions) will continue to be available on acceptable terms, or at all, or that our insurers will not deny coverage for any future claim.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Properties within our portfolio are, and properties that we may acquire in the future are likely to be, operated and promoted under certain trademarks and brand names that we do not own.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brands under which our properties are operated by our tenants, as well as the brands of businesses that also operate at our properties, are trademarks of their respective owners. In addition, properties that we may acquire in the future may be operated and promoted under these same trademarks and brand names, or under different trademarks and brand names we do not, or will not, own. During the term that our properties are managed by our tenants, we are reliant on our tenants to maintain and protect the trademarks, brand names and other licensed intellectual property used in the operation or promotion of the leased properties (including intellectual property of third parties operating at the property). Operation of the leased properties as well as our business and financial condition could be adversely impacted by infringement, invalidation, unauthorized use or litigation affecting any such intellectual property. Moreover, if any of our properties are rebranded unsuccessfully or do not benefit from comparable recognition or status under a different brand, or experience other operational or financial challenges in connection with such rebranding, it could have a material adverse effect on our business, financial condition, liquidity, results of operations and prospects. A management transition by one of our tenants could also affect such property’s overall strategy and financial performance, which could have a material adverse effect on our business, financial condition, results of operations and prospects.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market price and trading volume of shares of our common stock may be volatile.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as a result of a variety of factors, many of which are beyond our control, including: variations in our results of operations; changes in general economic conditions and market developments, including interest rates; geopolitical uncertainty; domestic and international trade policies; the imposition of tariffs; the economic outlook in markets in which our casinos are located and investor sentiment related to those markets; a decrease in domestic and international travel, including travel to Las Vegas and other markets in which our properties are located; adverse developments involving our tenants or borrowers; adverse third party or market commentary regarding us or our tenants or borrowers; market reaction to any additional capital we raise in the future; additions or departures of key personnel; equity issuances by us, future sales of substantial amounts of our common stock by stockholders, or the perception that such issuances or sales may occur; strategic actions taken by us, our competitors or our tenants; new laws or regulations; and failure to qualify as a REIT for U.S. federal income tax purposes.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make assurances that the market price of our common stock will not fluctuate or decline significantly in the future. If the market price or trading volume of our common stock declines, you may be unable to resell your shares at a profit, or at all.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Indebtedness and Financing</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 </w:t>
      </w:r>
    </w:p>
    <w:p>
      <w:pPr>
        <w:pStyle w:val="TextBody"/>
        <w:bidi w:val="0"/>
        <w:spacing w:lineRule="auto" w:line="288" w:before="180" w:after="283"/>
        <w:jc w:val="both"/>
        <w:rPr/>
      </w:pPr>
      <w:r>
        <w:rPr>
          <w:rFonts w:ascii="Times New Roman;serif" w:hAnsi="Times New Roman;serif"/>
          <w:b w:val="false"/>
          <w:color w:val="000000"/>
          <w:sz w:val="20"/>
        </w:rPr>
        <w:t xml:space="preserve">We have a substantial amount of indebtedness and debt service requirements. As of December 31, 2025, we had approximately $17.1 billion in long-term indebtedness, and we also had $2.4 billion of available capacity to borrow under the Revolving Credit Facility (as defined in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required to use a significant portion of our cash flow from operations for our required principal and interest payments and our cash flow may be insufficient to meet such payments;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vulnerability to adverse economic, industry or competitive developments may be increased;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borrow additional funds as needed or on favorable terms, which could, among other things, adversely affect our ability to capitalize upon transaction opportunities or fund future working capital, operational and other corporate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refinance our indebtedness at maturity or the refinancing terms may be less favorable than the terms of our original indebtedness;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shd w:fill="FFFFFF" w:val="clear"/>
        </w:rPr>
        <w:t>we may be forced to dispose of one or more of our properties, possibly on disadvantageous terms or at a loss;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ability of VICI OP to distribute cash to us may be limited or prohibited, which would materially and adversely affect our ability to make distributions on our common stock;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comply with the covenants in our loan documents, which would entitle the lenders to accelerate payment of outstanding loans;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hedge floating rate debt, counterparties may fail to honor their obligations under our hedge agreements and these agreements may not effectively hedge interest rate fluctuation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any one of these events were to occur, our business, financial condition, liquidity, results of operations, cash flows and prospects could be materially and adversely affected, including our ability to satisfy our debt service obligations, pay distributions to our stockholders or refinance existing or future indebtedness.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Uncertainty in the macroeconomic environment, including heightened interest rates and uncertainty regarding future interest rates, have and may continue to negatively affect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continue to fluctuate through recent periods of increased volatility. The current interest rate environment, including the extent to which interest rates will continue to be volatile (and the pace of such changes/volatility) and the impact of such environment with respect to our future indebtedness, is uncertain. The timing, number and amount of any future interest rate changes are uncertain, and interest rates are currently higher than they were when the Federal Reserve first raised interest rates beginning in 2022. Increased interest rates have increased our overall interest rate expense and may decrease our cash available for distribution and have a resulting adverse impact on our ability to pay distributions to our stockholders or pursue our long-term strategic objectives. In addition, in the current interest rate environment, new debt, whether fixed or variable, may be more expensive than debt that is being refinanced, which could, among other things, make the financing of any acquisition or investment more expensive, and we may be unable to incur new debt or replace maturing debt with new debt at equal or better interest rates. For example, in April 2025, we repaid $500.0 million in aggregate principal amount of 4.375% senior unsecured notes due 2025, and $800.0 million in aggregate principal amount of 4.625% senior unsecured notes due 2025 with the proceeds of the issuance of $400.0 million in aggregate principal amount of 4.750% Senior Notes due 2028 and $900.0 million in aggregate principal amount of 5.625% Senior Notes due 2035, resulting in a higher interest expense. In the event we continue to replace or refinance maturing debt with new debt at higher interest rates, our overall interest rate expense will continue to increase. Although we have previously used and currently use interest rate protection products, including forward starting interest rate swaps and U.S. Treasury Rate Locks, there is no assurance that we will continue to use such products in the future, we will utilize any of these products effectively or that such products will be available to us.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Further, the dividend yield on our common stock (i.e., the annualized distributions per share of our common stock as a percentage of the market price per share of our common stock) will influence the market price of such common stock. Thus, sustained periods of elevated market interest rates may lead prospective purchasers of our common stock to expect a higher dividend yield and, as a result, cause the market price of shares of our common stock to decline.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Disruption in the equity and debt capital markets may adversely affect our ability to access external funding for our growth and ongoing debt service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REIT, we are reliant on the equity and debt capital markets to finance our growth because we are required to distribute to our stockholders an amount equal to at least 90% of our taxable income (other than net capital gains) each year in order to maintain our qualification as a REIT. We expect to issue additional equity and incur additional indebtedness in the future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finance new asset acquisitions or investments, invest in our existing properties through our Partner Property Growth Fund strategy, refinance our existing indebtedness, or for general corporate or other purposes. Our access to financing (both equity and debt) on favorable terms, or at all, depends on a variety of factors, many of which are outside of our control, including general economic and market conditions, such as interest rate changes, inflation, economic recessions, contractions or slowdowns, our credit ratings and outlook, the willingness of lending institutions and other debt investors to grant credit to us and general conditions in the equity and credit markets, including price volatility, dislocations and liquidity disruptions.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when markets are volatile (including as a result of extended U.S. government shutdowns), access to equity and debt capital markets could be disrupted over an extended period of time and financial institutions may not meet their funding commitments to us. The failure of financial institutions to meet their funding commitments to us could have a material adverse effect on us, including as a result of making it difficult to obtain additional financing, or financing on favorable terms, that we may need for future growth and/or to refinance our existing indebtedness. We cannot assure you that we will be able to obtain the financing we need for the future growth of our business or to meet our debt service requirements (including refinancing our existing indebtedness), or that a sufficient amount of financing will be available to us on favorable terms, or at all.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Adverse changes in our credit ratings may affect our borrowing terms and capacity.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outstanding debt is periodically rated by nationally recognized credit rating agencies. The credit ratings are based upon our operating performance, liquidity and leverage ratios, overall financial condition, tenant concentration, the financial performance and credit worthiness of our tenants, and other factors viewed by the credit rating agencies as relevant to both our industry and the economic outlook. Although all three national credit rating agencies currently rate us and our outstanding indebtedness as investment grade with a stable outlook, these are subject to change at any time and there is no guarantee that we will be able to maintain such credit ratings, which may affect the amount of capital we can access, as well as the terms of any financing we obtain, and there is no guarantee that we will realize increased access to capital or improved terms with respect to any financing we obtain as a result of credit rating upgrades (or that we will be able to maintain such upgraded credit ratings). Because we rely in part on debt financing to fund growth, an adverse change in our credit ratings, including actual changes and changes in outlook, or even the initiation of a review of our credit ratings that could result in an adverse change, could have a material adverse effect on our business, financial condition, results of operations, and prospects.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breach or default of covenants in our debt agreements could materially and adversely affect our business, financial condition, liquidity, results of operations and prospects.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agreements governing our indebtedness contain customary covenants, including restrictions on our ability to incur additional debt, sell certain assets and restrict certain payments, among other things. We are also required to comply with certain financial maintenance covenants. A breach of any covenant under these agreements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our debt holders could elect to declare all outstanding debt under such agreements to be immediately due and payable. Defaults under our debt instruments could have a material adverse effect on our business, financial condition, liquidity, results of operations, and prospects.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have engaged and may engage in hedging or other derivative transactions that may limit gains or result in losses.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derivatives from time to time to hedge certain of our liabilities, which may include anticipated liabilities, interest rate risk and foreign currency risk. This has certain risks, including losses on a hedge position, which may reduce the return on our investments or increase the cost of financing (including transaction fees or breakage costs) intended to be hedged by such position. Any such losses or reduced gains from these derivatives may exceed the amount invested in such instruments or otherwise adversely affect our business, financial condition and results of operations. In addition, although the counterparties of these arrangements are major financial institutions, we are exposed to credit risk in the event of non-performance or default by the counterparties.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in the future attempt to increase our capital resources by incurring additional debt or issuing preferred shares. If a liquidation event were to occur, holders of our debt securities and preferred shares and lenders with respect to other borrowings will receive distributions of our available assets prior to the holders of our shares of common stock. In addition, shares of preferred stock, if issued, would likely limit our ability to make liquidating or other distributions to the holders of shares of our common stock under certain circumstances. Our decision to issue debt securities, incur other forms of indebtedness or to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 common stock or preferred stock in the future will depend on future developments, market conditions and other factors beyond our control, accordingly we cannot predict or estimate the amount, timing, nature or success of our future offerings. In addition, we expect to repay or refinance our existing indebtedness as it approaches maturity.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Status as a REIT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incur adverse tax consequences if we have failed or fail to qualify as a REIT for U.S. federal income tax purposes.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operated, and intend to continue to operate, in a manner that we believe allows us to qualify as a REIT for U.S. federal income tax purposes under the Internal Revenue Code of 1986, as amended (the “Code”). However, qualification as a REIT involves the application of highly technical and complex Code provisions for which there are only limited judicial and administrative interpretations. In order to qualify as a REIT, we must satisfy certain asset, income, organizational, distribution, stockholder ownership and other requirements on an ongoing basis. Our REIT status is also dependent upon the ongoing and historic qualification of subsidiary entities qualifying as REITs or taxable REIT subsidiaries, as applicable. Furthermore, the determination of various factual matters and circumstances not entirely within our control may affect our ability to qualify as a REIT.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we lose our REIT status, or are determined to have lost our REIT status in a prior year, such loss or failure would have a material and adverse effect on us. Additionally, we will face material tax consequences that would substantially reduce our cash available for distribution, including cash available to pay dividends to our stockholders, because: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for tax years beginning after December 31, 2022, we would possibly also be subject to certain taxes enacted by the Inflation Reduction Act of 2022 that are applicable to non-REIT corporations, including the corporate alternative minimum tax and the nondeductible one percent excise tax on certain stock repurchases;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unless we are entitled to relief under applicable statutory provisions, neither we nor any “successor” corporation, trust or association could elect to be taxed as a REIT until the fifth taxable year following the year during which we were disqualified;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were to re-elect REIT status, we would have to distribute all earnings and profits from non-REIT years before the end of the first new REIT taxable year;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for the five years following re-election of REIT status, upon a taxable disposition of an asset owned as of such re-election, we would be subject to corporate-level tax with respect to any built-in gain inherent in such asset at the time of re-election.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Even if we retain our REIT status, if MGP, which merged into our existing subsidiary pursuant to the MGP Transactions, loses its REIT status for a taxable year ending on or before the effective time of the MGP Transactions, we would be subject to adverse tax consequences that would substantially reduce our cash available for distribution, including cash available to pay dividends to our stockholders, because: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VICI, as the successor by merger to MGP, would be subject to any corporate income tax liabilities of MGP, including penalties and interest;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assuming that we otherwise maintained our REIT qualification, we would be subject to corporate-level tax on the built-in gain in each asset of MGP existing at the time of the MGP Transactions if we were to dispose of such MGP asset during the five-year period following the MGP Transactions;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these factors, our failure or MGP’s failure (before the MGP Transactions) to qualify as a REIT could impair our ability to expand our business and raise capital, and would materially adversely affect the market value of our common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Complying with REIT requirements may cause us to liquidate or forgo otherwise attractive opportunities and limit our expansion opportunities, or otherwise adversely affect our ability to execute our business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qualify as a REIT for U.S. federal income tax purposes, we must continually satisfy tests concerning, among other things, (i) our sources of income, (ii) the nature and diversification of our assets, (iii) the amounts we distribute to our stockholders and (iv) the ownership of our stock. In order to meet these tests, we may be required to forgo investments we might otherwise make or liquidate investments from our portfolio that otherwise would be considered attractive. In addition, in order to satisfy the minimum distribution requirements applicable to REITs, we may be required to make distributions to stockholders at disadvantageous times or when we do not have funds readily available for distribution, which could require us to raise capital on unfavorable terms, sell assets at disadvantageous prices, distribute amounts that would otherwise be invested in future acquisitions or issue dividends in the form of shares of our common stock. These actions could reduce our income and amounts available for distribution to our stockholders, and may hinder our ability to grow, which could adversely affect the market price of our common stock.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VICI OP fails to qualify as a partnership for U.S. federal income tax purposes, we would fail to qualify as a REIT and suffer other adverse tax consequences.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that VICI OP has been organized and operated in a manner so as to be treated for U.S. federal income tax purposes as a partnership and not as an association or as a publicly traded partnership taxable as a corporation. As a partnership, VICI OP is not subject to U.S. federal income tax on its income. Instead, each of its partners, including us, will be allocated that partner’s share of the operating partnership’s income. No assurance can be provided, however, that the IRS will not challenge VICI OP’s status as a partnership for U.S. federal income tax purposes, or that a court would not sustain such a challenge. If the IRS were successful in treating VICI OP as an association or a publicly traded partnership taxable as a corporation for U.S. federal income tax purposes, we would fail to meet the gross income tests and certain of the asset tests applicable to REITs and, accordingly, would cease to qualify as a REIT. Additionally, the failure of VICI OP to qualify as a partnership would cause it to become subject to U.S. federal corporate income tax, which would reduce significantly the amount of cash available for distribution to its partners, including 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Even if we qualify as a REIT, we may face other tax liabilities that reduce our cash flow.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Even if we qualify for taxation as a REIT, we may be subject to certain U.S. federal, state, local, and foreign taxes on our income and assets, including taxes on any undistributed income and state, local or foreign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local, and foreign corporate-level income taxes as regular C corporations (i.e., corporations generally subject to corporate-level income tax under Subchapter C of Chapter 1 of the Code). In addition, we may incur a 100% excise tax on transactions with a taxable REIT subsidiary if they are not conducted on an arm’s length basis. Any of these taxes would decrease cash available for distribution to our stockholders.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Complying with REIT requirements may limit our ability to hedge effectively and may cause us to incur tax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REIT provisions of the Code substantially limit our ability to hedge our assets and liabilities. Generally, income from certain hedging transactions will be excluded from “gross income” for purposes of the 75% and 95% gross income tests that apply to REITs if the instrument hedges interest rate risk on liabilities used to carry or acquire real estate assets or manages the risk of certain currency fluctuations, and such instrument is properly identified under applicable Treasury Regulations. Income from hedging transactions that do not meet these requirements will generally constitute non-qualifying income for purposes of both gross income tests. As a result of these rules, we may be required to limit our use of advantageous hedging techniques or implement those hedges through a taxable REIT subsidiary, which could increase the cost of our hedging activities because the taxable REIT subsidiary would be subject to tax on gains or expose us to greater risks associated with changes in interest rates than we would otherwise want to bear.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cash available for distribution to stockholders may not be sufficient to pay dividends at expected levels, nor can we make assurances of our ability to make distributions in the future. We may use borrowed funds to make distributions.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cash available for distribution is less than the amount necessary to make cash distributions, our inability to make the expected distributions could have a material adverse effect on our business, including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 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respectively.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 the event that we recognize a significant gain from cash settlement of a forward sale agreement, the U.S. federal income tax treatment of the cash that we receive in such instance is unclear and could impact our ability to meet the REIT qualification requirements.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enter into forward sale agreements from time to time and, subject to certain conditions, we have the right to elect physical, cash or net share settlement under these agreements at any time and from time to time, in part or in full. In the event that we elect to settle a forward sale agreement for cash and the settlement price is below the forward sale price, we would be entitled to receive a cash payment from the applicable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of a forward sale agreement,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to be taxed as a REIT.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to the U.S. federal income tax laws or global tax laws could have a material and adverse effect on us or our stockholders.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U.S. federal income tax laws governing REITs and other corporations and the administrative interpretations of those laws may be amended at any time, potentially with retroactive effect, which could have a material and adverse effect on us or our stockholders. We cannot predict whether, when, to what extent or with what effective dates new U.S. federal tax laws, regulations, interpretations or rulings will be issued. Prospective investors are urged to consult their tax advisors regarding the effect of potential changes to the U.S. federal tax laws on an investment in our common stock. In addition, changes to global tax laws could have a material and adverse effect on us 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VICI is a holding company with no direct operations and relies on distributions received from VICI OP to make distributions to its stockholders.</w:t>
      </w:r>
    </w:p>
    <w:p>
      <w:pPr>
        <w:pStyle w:val="TextBody"/>
        <w:bidi w:val="0"/>
        <w:spacing w:lineRule="auto" w:line="288" w:before="180" w:after="283"/>
        <w:jc w:val="both"/>
        <w:rPr/>
      </w:pPr>
      <w:r>
        <w:rPr>
          <w:rFonts w:ascii="Times New Roman;serif" w:hAnsi="Times New Roman;serif"/>
          <w:b w:val="false"/>
          <w:color w:val="000000"/>
          <w:sz w:val="20"/>
        </w:rPr>
        <w:t xml:space="preserve">VICI is a holding company and conducts its operations through direct and indirect subsidiaries, including VICI OP and VICI Golf. VICI does not have, apart from the units that it owns in VICI OP and VICI Golf, any independent operations. As a result, VICI relies on distributions from VICI OP to make any distributions to its stockholders it might declare on its common stock and to meet any of its obligations, including any tax liability on taxable income allocated to it from VICI OP (which might not be able to make distributions to VICI equal to the tax on such allocated taxable income). In turn, the ability of subsidiaries of VICI OP to make distributions to VICI OP, and therefore, the ability of VICI OP to make distributions to VICI, depends on the operating results of these subsidiaries and VICI OP and on the terms of any financing arrangements they have entered into. </w:t>
      </w:r>
      <w:r>
        <w:rPr>
          <w:rFonts w:ascii="Times New Roman;serif" w:hAnsi="Times New Roman;serif"/>
          <w:b w:val="false"/>
          <w:color w:val="000000"/>
          <w:sz w:val="20"/>
          <w:shd w:fill="FFFFFF" w:val="clear"/>
        </w:rPr>
        <w:t>In addition, because VICI is a holding company, claims of common stockholders of VICI are structurally subordinated to all existing and future liabilities and other obligations (whether or not for borrowed money) and any preferred equity of VICI OP and its subsidiaries. Therefore, in the event of our bankruptcy, liquidation or reorganization, VICI’s assets and those of VICI OP and its subsidiaries will be available to satisfy the claims of VICI common stockholders only after all of VICI’s, VICI OP’s and its subsidiaries’ liabilities and other obligations and any preferred equity of any of them have been paid in full.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OP may, in connection with its acquisition of additional properties or otherwise, issue additional common units or preferred units to third parties. Such issuances would reduce VICI’s ownership in VICI OP. Because stockholders of VICI do not directly own common units or preferred units of VICI OP, they do not have any voting rights with respect to any such issuances or other partnership level activities of VICI OP.</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Certain provisions in our charter and bylaws, as well as certain provisions of Maryland law, may delay, defer or prevent an acquisition of our common stock or a change in control.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provisions of our charter and bylaws and the Maryland General Corporation Law (“MGCL”) could delay, defer or prevent a transaction or a change in control that might involve a premium price for our stockholders or otherwise be in their best interests, including the following:</w:t>
      </w:r>
    </w:p>
    <w:p>
      <w:pPr>
        <w:pStyle w:val="TextBody"/>
        <w:bidi w:val="0"/>
        <w:spacing w:lineRule="auto" w:line="288" w:before="180" w:after="283"/>
        <w:jc w:val="both"/>
        <w:rPr/>
      </w:pPr>
      <w:r>
        <w:rPr>
          <w:color w:val="000000"/>
        </w:rPr>
        <w:t xml:space="preserve">• </w:t>
      </w:r>
      <w:r>
        <w:rPr>
          <w:rFonts w:ascii="Times New Roman;serif" w:hAnsi="Times New Roman;serif"/>
          <w:b w:val="false"/>
          <w:i/>
          <w:color w:val="000000"/>
          <w:sz w:val="20"/>
        </w:rPr>
        <w:t xml:space="preserve">Our charter contains restrictions on the ownership and transfer of our stock to maintain our qualification as a REIT. </w:t>
      </w:r>
      <w:r>
        <w:rPr>
          <w:rFonts w:ascii="Times New Roman;serif" w:hAnsi="Times New Roman;serif"/>
          <w:b w:val="false"/>
          <w:color w:val="000000"/>
          <w:sz w:val="20"/>
        </w:rPr>
        <w:t>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 Under the constructive ownership rules of the Code, outstanding stock owned by a group of related individuals or entities may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 Our charter provides that our Board of Directors may grant exceptions to the 9.8% ownership limit, subject in each case to certain initial and ongoing conditions designed to protect our status as a REIT. These ownership limits may prevent a third 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of Directors may in the future provide exceptions to the ownership limit for other stockholders, subject to the aforementioned initial and ongoing conditions designed to protect our status as a REIT.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pStyle w:val="TextBody"/>
        <w:bidi w:val="0"/>
        <w:spacing w:lineRule="auto" w:line="288" w:before="180" w:after="283"/>
        <w:jc w:val="both"/>
        <w:rPr/>
      </w:pPr>
      <w:r>
        <w:rPr>
          <w:color w:val="000000"/>
        </w:rPr>
        <w:t xml:space="preserve">• </w:t>
      </w:r>
      <w:r>
        <w:rPr>
          <w:rFonts w:ascii="Times New Roman;serif" w:hAnsi="Times New Roman;serif"/>
          <w:b w:val="false"/>
          <w:i/>
          <w:color w:val="000000"/>
          <w:sz w:val="20"/>
        </w:rPr>
        <w:t xml:space="preserve">Our Board of Directors has the power to cause us to issue and authorize additional shares of our capital stock without stockholder approval. </w:t>
      </w:r>
      <w:r>
        <w:rPr>
          <w:rFonts w:ascii="Times New Roman;serif" w:hAnsi="Times New Roman;serif"/>
          <w:b w:val="false"/>
          <w:color w:val="000000"/>
          <w:sz w:val="20"/>
        </w:rPr>
        <w:t>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pStyle w:val="TextBody"/>
        <w:bidi w:val="0"/>
        <w:spacing w:lineRule="auto" w:line="288" w:before="180" w:after="283"/>
        <w:jc w:val="both"/>
        <w:rPr/>
      </w:pPr>
      <w:r>
        <w:rPr>
          <w:color w:val="000000"/>
        </w:rPr>
        <w:t xml:space="preserve">• </w:t>
      </w:r>
      <w:r>
        <w:rPr>
          <w:rFonts w:ascii="Times New Roman;serif" w:hAnsi="Times New Roman;serif"/>
          <w:b w:val="false"/>
          <w:i/>
          <w:color w:val="000000"/>
          <w:sz w:val="20"/>
        </w:rPr>
        <w:t xml:space="preserve">Certain provisions of Maryland law may limit the ability of a third party to acquire control of us. </w:t>
      </w:r>
      <w:r>
        <w:rPr>
          <w:rFonts w:ascii="Times New Roman;serif" w:hAnsi="Times New Roman;serif"/>
          <w:b w:val="false"/>
          <w:color w:val="000000"/>
          <w:sz w:val="20"/>
        </w:rPr>
        <w:t xml:space="preserve">Certain provisions of the MGCL may have the effect of inhibiting a third party from acquiring us or of impeding a change of control under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otherwise could provide our common stockholders with the opportunity to realize a premium over the then prevailing market price of such shares, including (i) “business combination” provisions that, subject to additional terms and limitations, prohibit certain business combinations between an “interested stockholder” (or affiliate) and us for five years after the most recent date on which the stockholder becomes an interested stockholder; and (ii) “control share” provisions that provide that holders of “control shares” of our company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charter, our bylaws, and Maryland law also contain other provisions that may delay, defer, or prevent a transaction or a change of control that might involve a premium price for our common stock or otherwise be in the best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69" w:type="dxa"/>
        <w:jc w:val="center"/>
        <w:tblInd w:w="0" w:type="dxa"/>
        <w:tblLayout w:type="fixed"/>
        <w:tblCellMar>
          <w:top w:w="28" w:type="dxa"/>
          <w:left w:w="28" w:type="dxa"/>
          <w:bottom w:w="28" w:type="dxa"/>
          <w:right w:w="28" w:type="dxa"/>
        </w:tblCellMar>
      </w:tblPr>
      <w:tblGrid>
        <w:gridCol w:w="423"/>
        <w:gridCol w:w="373"/>
        <w:gridCol w:w="374"/>
        <w:gridCol w:w="877"/>
        <w:gridCol w:w="877"/>
        <w:gridCol w:w="1245"/>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1B.</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Unresolved Staff Comments</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75" w:type="dxa"/>
        <w:jc w:val="center"/>
        <w:tblInd w:w="0" w:type="dxa"/>
        <w:tblLayout w:type="fixed"/>
        <w:tblCellMar>
          <w:top w:w="28" w:type="dxa"/>
          <w:left w:w="28" w:type="dxa"/>
          <w:bottom w:w="28" w:type="dxa"/>
          <w:right w:w="28" w:type="dxa"/>
        </w:tblCellMar>
      </w:tblPr>
      <w:tblGrid>
        <w:gridCol w:w="428"/>
        <w:gridCol w:w="377"/>
        <w:gridCol w:w="379"/>
        <w:gridCol w:w="466"/>
        <w:gridCol w:w="466"/>
        <w:gridCol w:w="659"/>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1C.</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Cybersecurity</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Cybersecurity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and information technology (“IT”) program includes a number of safeguards, such as network segmentation, conditional analysis, external threat monitoring, access and authentication controls, incident response planning and testing of controls and procedures. We assess for internal and external vulnerabilities through the use of quarterly vulnerability scanning, annual third-party penetration testing and periodic cybersecurity maturity assessments. The results from these assessments are comprehensively addressed based on risk priority and are used to continually improve our cybersecurity risk posture.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a risk-based approach with respect to our use and oversight of third-party service providers, tailoring processes according to the nature and sensitivity of the data accessed, processed, or stored by such third-party service provider and performing additional risk screenings and procedures, as appropriate. We use a number of means to assess cyber risks related to our third-party service providers, including vendor questionnaires, conducting due diligence in connection with onboarding new vendors, ongoing monitoring and annual due diligence with respect to key third-party vendors. We also seek to collect and assess cybersecurity audit reports and other supporting documentation when available.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receive regular cybersecurity training to address a broad range of key and emerging issues. In addition, we provide additional periodic training modules to address emerging threats or trends within the cybersecurity environment, perform regular simulated phishing exercises and require comprehensive cybersecurity training for all new employees.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Process for Assessing, Identifying and Managing Material Risks from Cybersecurity Threats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utilize expert cybersecurity independent consultants, including a contracted Chief Information Security Officer (“CISO”) and additional third-party managed service providers, who work with and report to our Vice President of Accounting and Administration (“VPAA”) to identify potential risks from cybersecurity threats and proactively mitigate their potential impact. The CISO and related team have extensive experience in assessing, detecting, responding and mitigating cybersecurity risk, including holding several different relevant certifications as well as extensive experience in assessing and mitigating cybersecurity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CISO and his related team perform regular assessments and vulnerability tests and work with other third-party service providers to perform penetration testing and periodic cyber maturity assessments on our behalf through our Enterprise Risk Management (“ERM”) framework. Our CISO and related team work with our VPAA and third-party managed service provider to manage IT troubleshooting and user experience.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specific cybersecurity risk assessments, which are informed by our ongoing vulnerability assessments, external penetration testing and cybersecurity maturity assessments, among other items. Additionally, cybersecurity and IT is also an element of the ERM assessment performed by management on an annual basis, with quarterly reassessments, under the supervision of the Audit Committee and Board of Directors. </w:t>
      </w:r>
    </w:p>
    <w:p>
      <w:pPr>
        <w:pStyle w:val="TextBody"/>
        <w:bidi w:val="0"/>
        <w:spacing w:lineRule="auto" w:line="288" w:before="180" w:after="283"/>
        <w:jc w:val="both"/>
        <w:rPr/>
      </w:pPr>
      <w:r>
        <w:rPr>
          <w:rFonts w:ascii="Times New Roman;serif" w:hAnsi="Times New Roman;serif"/>
          <w:b w:val="false"/>
          <w:color w:val="000000"/>
          <w:sz w:val="20"/>
        </w:rPr>
        <w:t>In the event of a cybersecurity incident, we maintain a regularly tested incident response program, including response playbooks specifically designed to address our areas of higher risk. Pursuant to our escalation protocols, designated personnel, including our CISO and VPAA, along with appropriate members of our management and executive team, are responsible for assessing the severity/priority of a cybersecurity incident and associated threat, containing the threat, and remediating the threat, including recovery of data and access to systems, analyzing any reporting obligations associated with the incident, and performing post-incident analysis and program enhancements. We also maintain cybersecurity insurance coverage; for more information regarding cybersecurity insurance, see “</w:t>
      </w:r>
      <w:hyperlink w:anchor="i368d3c19aa9d44c4a3d1ba3257c0bdcf_22">
        <w:r>
          <w:rPr>
            <w:rStyle w:val="InternetLink"/>
            <w:rFonts w:ascii="Times New Roman;serif" w:hAnsi="Times New Roman;serif"/>
            <w:b w:val="false"/>
            <w:color w:val="0000FF"/>
            <w:sz w:val="20"/>
            <w:u w:val="single"/>
          </w:rPr>
          <w:t>Item 1A. Risk Factors</w:t>
        </w:r>
      </w:hyperlink>
      <w:r>
        <w:rPr>
          <w:color w:val="000000"/>
        </w:rPr>
        <w:t>”</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Audit Committee, in connection with the Board of Directors, maintains oversight of our ERM framework, including oversight over our cybersecurity and information technology policies and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CISO and VPAA meet with our IT Executive Committee, comprised of all of our executive officers, on at least a quarterly basis to oversee our cybersecurity and IT framework and more frequently in the event of significant cybersecurity developments. Our management team, including our CISO, updates the Audit Committee and Board of Directors at least twice a year with respect to key developments and updates relating to our cybersecurity and IT infrastructure and the overall threat environment, including recent and emerging trends. With respect to significant cybersecurity events or incidents, the VPAA, along with the IT Executive Committee, reports to the Board of Directors promptly in accordance with our escalation protocols, as appropriate, depending on the nature of the events.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Cybersecurity Risks</w:t>
      </w:r>
    </w:p>
    <w:p>
      <w:pPr>
        <w:pStyle w:val="TextBody"/>
        <w:bidi w:val="0"/>
        <w:spacing w:lineRule="auto" w:line="288" w:before="180" w:after="283"/>
        <w:jc w:val="both"/>
        <w:rPr/>
      </w:pPr>
      <w:r>
        <w:rPr>
          <w:rFonts w:ascii="Times New Roman;serif" w:hAnsi="Times New Roman;serif"/>
          <w:b w:val="false"/>
          <w:color w:val="000000"/>
          <w:sz w:val="20"/>
        </w:rPr>
        <w:t>To date,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evolving cybersecurity threats make it increasingly challenging to anticipate, detect, and defend against cybersecurity threats and incidents. For more information regarding cybersecurity risks, see “</w:t>
      </w:r>
      <w:hyperlink w:anchor="i368d3c19aa9d44c4a3d1ba3257c0bdcf_22">
        <w:r>
          <w:rPr>
            <w:rStyle w:val="InternetLink"/>
            <w:rFonts w:ascii="Times New Roman;serif" w:hAnsi="Times New Roman;serif"/>
            <w:b w:val="false"/>
            <w:color w:val="0000FF"/>
            <w:sz w:val="20"/>
            <w:u w:val="single"/>
          </w:rPr>
          <w:t>Item 1A. Risk Factors</w:t>
        </w:r>
      </w:hyperlink>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05" w:type="dxa"/>
        <w:jc w:val="center"/>
        <w:tblInd w:w="0" w:type="dxa"/>
        <w:tblLayout w:type="fixed"/>
        <w:tblCellMar>
          <w:top w:w="28" w:type="dxa"/>
          <w:left w:w="28" w:type="dxa"/>
          <w:bottom w:w="28" w:type="dxa"/>
          <w:right w:w="28" w:type="dxa"/>
        </w:tblCellMar>
      </w:tblPr>
      <w:tblGrid>
        <w:gridCol w:w="363"/>
        <w:gridCol w:w="320"/>
        <w:gridCol w:w="321"/>
        <w:gridCol w:w="351"/>
        <w:gridCol w:w="351"/>
        <w:gridCol w:w="4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2.</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Properties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geographically diverse portfolio consists of 93 experiential assets as of December 31, 2025, consisting of 54 gaming properties and 39 other experiential properties across the United States and Canada, including Caesars Palace Las Vegas, MGM Grand and the Venetian Resort, three of the most iconic entertainment facilities on the Las Vegas Strip, approximately 33 acres of undeveloped or underdeveloped land on and adjacent to the Las Vegas Strip that is leased to Caesars and four championship golf courses located near certain of our properties, two of which are in close proximity to the Las Vegas Strip. </w:t>
      </w:r>
    </w:p>
    <w:p>
      <w:pPr>
        <w:pStyle w:val="TextBody"/>
        <w:bidi w:val="0"/>
        <w:spacing w:lineRule="auto" w:line="288" w:before="180" w:after="283"/>
        <w:jc w:val="both"/>
        <w:rPr/>
      </w:pPr>
      <w:r>
        <w:rPr>
          <w:rFonts w:ascii="Times New Roman;serif" w:hAnsi="Times New Roman;serif"/>
          <w:b w:val="false"/>
          <w:color w:val="000000"/>
          <w:sz w:val="20"/>
        </w:rPr>
        <w:t xml:space="preserve">See </w:t>
      </w:r>
      <w:hyperlink w:anchor="i368d3c19aa9d44c4a3d1ba3257c0bdcf_16">
        <w:r>
          <w:rPr>
            <w:rStyle w:val="InternetLink"/>
            <w:rFonts w:ascii="Times New Roman;serif" w:hAnsi="Times New Roman;serif"/>
            <w:b w:val="false"/>
            <w:color w:val="0000FF"/>
            <w:sz w:val="20"/>
            <w:u w:val="single"/>
          </w:rPr>
          <w:t>Item 1 - “Business - Our Properties”</w:t>
        </w:r>
      </w:hyperlink>
      <w:r>
        <w:rPr>
          <w:color w:val="000000"/>
        </w:rPr>
        <w:t xml:space="preserve"> </w:t>
      </w:r>
      <w:r>
        <w:rPr>
          <w:rFonts w:ascii="Times New Roman;serif" w:hAnsi="Times New Roman;serif"/>
          <w:b w:val="false"/>
          <w:color w:val="000000"/>
          <w:sz w:val="20"/>
        </w:rPr>
        <w:t>for further information pertaining to our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14" w:type="dxa"/>
        <w:jc w:val="center"/>
        <w:tblInd w:w="0" w:type="dxa"/>
        <w:tblLayout w:type="fixed"/>
        <w:tblCellMar>
          <w:top w:w="28" w:type="dxa"/>
          <w:left w:w="28" w:type="dxa"/>
          <w:bottom w:w="28" w:type="dxa"/>
          <w:right w:w="28" w:type="dxa"/>
        </w:tblCellMar>
      </w:tblPr>
      <w:tblGrid>
        <w:gridCol w:w="363"/>
        <w:gridCol w:w="320"/>
        <w:gridCol w:w="321"/>
        <w:gridCol w:w="588"/>
        <w:gridCol w:w="588"/>
        <w:gridCol w:w="83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Legal Proceedings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from time to time, we may be subject to legal claims and administrative proceedings. As of December 31, 2025, we are not subject to any litigation that we believe could have, individually or in the aggregate, a material adverse effect on our business, financial condition or results of operations, liquidity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68" w:type="dxa"/>
        <w:jc w:val="center"/>
        <w:tblInd w:w="0" w:type="dxa"/>
        <w:tblLayout w:type="fixed"/>
        <w:tblCellMar>
          <w:top w:w="28" w:type="dxa"/>
          <w:left w:w="28" w:type="dxa"/>
          <w:bottom w:w="28" w:type="dxa"/>
          <w:right w:w="28" w:type="dxa"/>
        </w:tblCellMar>
      </w:tblPr>
      <w:tblGrid>
        <w:gridCol w:w="363"/>
        <w:gridCol w:w="320"/>
        <w:gridCol w:w="321"/>
        <w:gridCol w:w="751"/>
        <w:gridCol w:w="751"/>
        <w:gridCol w:w="106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4.</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rFonts w:ascii="Times New Roman;serif" w:hAnsi="Times New Roman;serif"/>
                <w:b/>
                <w:color w:val="000000"/>
                <w:sz w:val="24"/>
              </w:rPr>
            </w:pPr>
            <w:r>
              <w:rPr>
                <w:rFonts w:ascii="Times New Roman;serif" w:hAnsi="Times New Roman;serif"/>
                <w:b/>
                <w:color w:val="000000"/>
                <w:sz w:val="24"/>
              </w:rPr>
              <w:t>Mine Safety Disclosures</w:t>
            </w:r>
          </w:p>
        </w:tc>
      </w:tr>
    </w:tbl>
    <w:p>
      <w:pPr>
        <w:pStyle w:val="TextBody"/>
        <w:bidi w:val="0"/>
        <w:spacing w:lineRule="auto" w:line="288" w:before="12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1"/>
        <w:gridCol w:w="300"/>
        <w:gridCol w:w="301"/>
        <w:gridCol w:w="2709"/>
        <w:gridCol w:w="2709"/>
        <w:gridCol w:w="384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5.</w:t>
            </w:r>
          </w:p>
        </w:tc>
        <w:tc>
          <w:tcPr>
            <w:tcW w:w="9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Market for the Company’s Common Equity, Related Stockholder Matters and Issuer Purchases of Equity Securities</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VICI Properties Inc.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Market Information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New York Stock Exchange (“NYSE”) under the symbol “VICI.”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Holders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February 24, 2026, there were 1,068,737,299 shares of common stock issued and outstanding that were held by 350 stockholders of record. The number of stockholders of record does not include beneficial owners of shares registered in nominee or street name.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Distribution Policy</w:t>
      </w:r>
    </w:p>
    <w:p>
      <w:pPr>
        <w:pStyle w:val="TextBody"/>
        <w:bidi w:val="0"/>
        <w:spacing w:lineRule="auto" w:line="288" w:before="180" w:after="283"/>
        <w:jc w:val="both"/>
        <w:rPr/>
      </w:pPr>
      <w:r>
        <w:rPr>
          <w:rFonts w:ascii="Times New Roman;serif" w:hAnsi="Times New Roman;serif"/>
          <w:b w:val="false"/>
          <w:color w:val="000000"/>
          <w:sz w:val="20"/>
        </w:rPr>
        <w:t>VICI intends to make regular quarterly distributions to holders of shares of its common stock. Any distributions will be at the sole discretion of its Board of Directors, and the form, timing and amount of such distributions, if any, will depend upon a number of factors, including VICI’s actual and projected results of operations, Funds From Operations (“FFO”), Adjusted Funds From Operations (“AFFO”), liquidity, cash flows and financial condition, the revenue it actually receives from its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 For more information regarding risk factors that could materially and adversely affect us and our ability to make cash distributions refer to “</w:t>
      </w:r>
      <w:hyperlink w:anchor="i368d3c19aa9d44c4a3d1ba3257c0bdcf_22">
        <w:r>
          <w:rPr>
            <w:rStyle w:val="InternetLink"/>
            <w:rFonts w:ascii="Times New Roman;serif" w:hAnsi="Times New Roman;serif"/>
            <w:b w:val="false"/>
            <w:color w:val="0000FF"/>
            <w:sz w:val="20"/>
            <w:u w:val="single"/>
          </w:rPr>
          <w:t>Part I – Item 1A. Risk Factors</w:t>
        </w:r>
      </w:hyperlink>
      <w:r>
        <w:rPr>
          <w:color w:val="000000"/>
        </w:rPr>
        <w:t>”</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intends to make distributions to its stockholders to comply with the REIT requirements of the Code and to avoid or otherwise minimize paying entity-level federal or excise tax (other than at any TRS). 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did not sell any unregistered equity securities during the year ended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Issuer Repurchases of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VICI did not repurchase any equity securities registered pursuant to Section 12 of the Exchange Act.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Registered Offering of Securities -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VICI Properties LP</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Market Information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is no established public trading market for limited partnership units of VICI LP.</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Holders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February 24, 2026, there was one holder of record of limited partnership units of VICI LP.</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Distribution Policy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LP intends to make regular quarterly distributions to holders of its units. Any distributions will be at VICI LP’s sole discretion, and the form, timing and amount of such distributions, if any, will depend upon a number of factors, including VICI LP’s actual and projected results of operations, FFO, AFFO, liquidity, cash flows and financial condition, the revenue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actually receives from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VICI LP intends to make distributions to its unit holders to comply with the REIT requirements of VICI and to avoid or otherwise minimize paying entity level federal or excise tax.</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VICI LP did not sell any unregistered equity securities during the year ended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Issuer Repurchases of Equity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VICI LP did not repurchase any equity securities registered pursuant to Section 12 of the Exchange Act.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Registered Offering of Securities - Use of Proceeds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graph below compares our cumulative total stockholder return for the period from December 31, 2020 to December 31, 2025 on our common stock with the cumulative total returns of the S&amp;P 500 Index and the MSCI US REIT index. The graph tracks the performance of a $100 investment in our common stock and in each index (with the reinvestment of all dividends as required by the SEC) from December 31, 2020 until December 31, 2025. The return shown on the graph is not necessarily indicative of future performance.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pStyle w:val="TextBody"/>
        <w:bidi w:val="0"/>
        <w:spacing w:before="0" w:after="0"/>
        <w:jc w:val="center"/>
        <w:rPr/>
      </w:pPr>
      <w:r>
        <w:rPr/>
        <w:drawing>
          <wp:inline distT="0" distB="0" distL="0" distR="0">
            <wp:extent cx="6448425" cy="383857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448425" cy="3838575"/>
                    </a:xfrm>
                    <a:prstGeom prst="rect">
                      <a:avLst/>
                    </a:prstGeom>
                  </pic:spPr>
                </pic:pic>
              </a:graphicData>
            </a:graphic>
          </wp:inline>
        </w:drawing>
      </w:r>
      <w:bookmarkStart w:id="1" w:name="i-2"/>
      <w:bookmarkEnd w:id="1"/>
    </w:p>
    <w:tbl>
      <w:tblPr>
        <w:tblW w:w="9498" w:type="dxa"/>
        <w:jc w:val="center"/>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12/31/25</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MSCI US REIT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2308" w:type="dxa"/>
        <w:jc w:val="center"/>
        <w:tblInd w:w="0" w:type="dxa"/>
        <w:tblLayout w:type="fixed"/>
        <w:tblCellMar>
          <w:top w:w="28" w:type="dxa"/>
          <w:left w:w="28" w:type="dxa"/>
          <w:bottom w:w="28" w:type="dxa"/>
          <w:right w:w="28" w:type="dxa"/>
        </w:tblCellMar>
      </w:tblPr>
      <w:tblGrid>
        <w:gridCol w:w="363"/>
        <w:gridCol w:w="320"/>
        <w:gridCol w:w="321"/>
        <w:gridCol w:w="381"/>
        <w:gridCol w:w="381"/>
        <w:gridCol w:w="54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6.</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68" w:type="dxa"/>
        <w:jc w:val="center"/>
        <w:tblInd w:w="0" w:type="dxa"/>
        <w:tblLayout w:type="fixed"/>
        <w:tblCellMar>
          <w:top w:w="28" w:type="dxa"/>
          <w:left w:w="28" w:type="dxa"/>
          <w:bottom w:w="28" w:type="dxa"/>
          <w:right w:w="28" w:type="dxa"/>
        </w:tblCellMar>
      </w:tblPr>
      <w:tblGrid>
        <w:gridCol w:w="363"/>
        <w:gridCol w:w="320"/>
        <w:gridCol w:w="321"/>
        <w:gridCol w:w="2681"/>
        <w:gridCol w:w="2681"/>
        <w:gridCol w:w="380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7.</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Management’s Discussion and Analysis of Financial Condition and Results of Operations</w:t>
            </w:r>
          </w:p>
        </w:tc>
      </w:tr>
    </w:tbl>
    <w:p>
      <w:pPr>
        <w:pStyle w:val="TextBody"/>
        <w:bidi w:val="0"/>
        <w:spacing w:lineRule="auto" w:line="288" w:before="60" w:after="283"/>
        <w:jc w:val="both"/>
        <w:rPr/>
      </w:pPr>
      <w:r>
        <w:rPr>
          <w:rFonts w:ascii="Times New Roman;serif" w:hAnsi="Times New Roman;serif"/>
          <w:b w:val="false"/>
          <w:i/>
          <w:color w:val="000000"/>
          <w:sz w:val="20"/>
        </w:rPr>
        <w:t xml:space="preserve">The following discussion and analysis of the financial condition and results of operations of VICI Properties Inc. and VICI Properties L.P. for the year ended December 31, 2025 should be read in conjunction with the audited consolidated Financial Statements and notes thereto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hyperlink w:anchor="i368d3c19aa9d44c4a3d1ba3257c0bdcf_22">
        <w:r>
          <w:rPr>
            <w:rStyle w:val="InternetLink"/>
            <w:color w:val="0000FF"/>
            <w:u w:val="single"/>
          </w:rPr>
          <w:t>“</w:t>
        </w:r>
      </w:hyperlink>
      <w:hyperlink w:anchor="i368d3c19aa9d44c4a3d1ba3257c0bdcf_22">
        <w:r>
          <w:rPr>
            <w:rStyle w:val="InternetLink"/>
            <w:rFonts w:ascii="Times New Roman;serif" w:hAnsi="Times New Roman;serif"/>
            <w:b w:val="false"/>
            <w:i/>
            <w:color w:val="0000FF"/>
            <w:sz w:val="20"/>
            <w:u w:val="single"/>
          </w:rPr>
          <w:t>Risk Factors”</w:t>
        </w:r>
      </w:hyperlink>
      <w:r>
        <w:rPr>
          <w:color w:val="000000"/>
        </w:rPr>
        <w:t xml:space="preserve"> </w:t>
      </w:r>
      <w:r>
        <w:rPr>
          <w:rFonts w:ascii="Times New Roman;serif" w:hAnsi="Times New Roman;serif"/>
          <w:b w:val="false"/>
          <w:i/>
          <w:color w:val="000000"/>
          <w:sz w:val="20"/>
        </w:rPr>
        <w:t>section in Item 1A. of this Annual Report on Form 10-K for a discussion of important factors that could cause actual results to differ materially from the results described in or implied by such forward-looking statements</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80" w:after="283"/>
        <w:jc w:val="both"/>
        <w:rPr/>
      </w:pPr>
      <w:r>
        <w:rPr>
          <w:rFonts w:ascii="Times New Roman;serif" w:hAnsi="Times New Roman;serif"/>
          <w:b w:val="false"/>
          <w:color w:val="000000"/>
          <w:sz w:val="20"/>
        </w:rPr>
        <w:t xml:space="preserve">We are an owner and acquirer of experiential real estate assets across leading gaming, hospitality, wellness, entertainment and leisure destinations. Our geographically diverse portfolio currently consists of 93 experiential assets consisting of 54 gaming properties and 39 other experiential properties across the United States and Canada. Our portfolio also includes certain real estate debt investments, most of which we have originated for strategic reasons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We also own four championship golf courses located near certain of our properties, two of which are in close proximity to the Las Vegas Strip. We conduct our operations as a REIT for U.S. federal income tax purposes. We conduct our real property business through our operating partnership, VICI OP, and our golf course business through a TRS, VICI Golf. For additional information with respect to our business and operations, refer to </w:t>
      </w:r>
      <w:hyperlink w:anchor="i368d3c19aa9d44c4a3d1ba3257c0bdcf_16">
        <w:r>
          <w:rPr>
            <w:rStyle w:val="InternetLink"/>
            <w:rFonts w:ascii="Times New Roman;serif" w:hAnsi="Times New Roman;serif"/>
            <w:b w:val="false"/>
            <w:color w:val="0000FF"/>
            <w:sz w:val="20"/>
            <w:u w:val="single"/>
          </w:rPr>
          <w:t>Item 1. - Business</w:t>
        </w:r>
      </w:hyperlink>
      <w:r>
        <w:rPr>
          <w:rFonts w:ascii="Times New Roman;serif" w:hAnsi="Times New Roman;serif"/>
          <w:b w:val="false"/>
          <w:color w:val="000000"/>
          <w:sz w:val="2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2025 Highlights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revenues increased 4.1% year-over-year to $4.0 billion.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income attributable to common stockholders increased 3.6% year-over-year to $2.8 billion, and net income attributable to common stockholders per diluted share increased 2.1% to $2.61.</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AFFO increased 6.6% year-over-year to $2.5 billion and AFFO per diluted share increased 5.1% to $2.38.</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Significant Achievements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Announced a $1.16 billion transaction to acquire seven casino properties from Golden and enter into the Golden Master Lease with a newly formed entity that will be owned and controlled by Blake L. Sartini, current chairman and chief executive officer of Golden, with an initial annual rent of $87.0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Made three real estate debt investments totaling $966.0 million of commitments.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Funded new and existing loan commitments totaling $883.4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Announced an increase in our quarterly cash dividend to $0.45 per share (or $1.80 per share on an annualized basis) in the third quarter of 2025, representing a 4.0% increase compared to our previous quarterly dividend.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Issued $1,300.0 million of investment grade senior unsecured notes in April 2025 to refinance existing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Sold 7,835,973 forward shares under our ATM Program (as defined in </w:t>
      </w:r>
      <w:hyperlink w:anchor="i368d3c19aa9d44c4a3d1ba3257c0bdcf_181">
        <w:r>
          <w:rPr>
            <w:rStyle w:val="InternetLink"/>
            <w:rFonts w:ascii="Times New Roman;serif" w:hAnsi="Times New Roman;serif"/>
            <w:b w:val="false"/>
            <w:color w:val="0000FF"/>
            <w:sz w:val="20"/>
            <w:u w:val="single"/>
          </w:rPr>
          <w:t>Note 11 - Stockholders' Equity</w:t>
        </w:r>
      </w:hyperlink>
      <w:r>
        <w:rPr>
          <w:rFonts w:ascii="Times New Roman;serif" w:hAnsi="Times New Roman;serif"/>
          <w:b w:val="false"/>
          <w:color w:val="000000"/>
          <w:sz w:val="20"/>
        </w:rPr>
        <w:t>) during the year with an estimated aggregate net offering value of $252.8 million and settled 12,101,372 forward shares outstanding under our ATM Program for aggregate net proceeds of $375.7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SUMMARY OF SIGNIFICANT ACTIVITIES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PENN Lease Combination. </w:t>
      </w:r>
      <w:r>
        <w:rPr>
          <w:rFonts w:ascii="Times New Roman;serif" w:hAnsi="Times New Roman;serif"/>
          <w:b w:val="false"/>
          <w:color w:val="000000"/>
          <w:sz w:val="20"/>
        </w:rPr>
        <w:t xml:space="preserve">On December 4, 2025, we and PENN combined the existing individual leases with respect to the Hollywood Casino at Greektown (the “Greektown Lease”) in Detroit, Michigan, and the Margaritaville Resort Casino (the “Margaritaville Lease”) in Bossier City, Louisiana, into one master lease for both properties (the “PENN Master Lease”). The PENN Master Lease has total annual rent equal to $80.7 million (the “Combined Rent”), representing the combined annual rent amounts under the Greektown Lease and the Margaritaville Lease as of December 4, 2025. There was no change to the aggregate amount of rent collected by us as a result of the combination. Annual rent escalation on the Combined Rent will occur on June 1 of each year based on the following construct: on June 1, 2026, the Combined Rent will escalate at a fixed 1.0%, and beginning on June 1, 2027, and for each year thereafter, the Combined Rent will escalate at 1.0% if the minimum net revenue to rent ratio (the “Minimum Ratio”) is achieved. The Minimum Ratio will be set as of June 1, 2026 and will be based on the sum of net revenues generated by the two assets over the performance period from June 1, 2025 to May 31, 2026, divided by the Combined Rent. The PENN Master Lease has an initial maturity on May 23, 2034 with four 5-year tenant renewal options. The existing guarantor under the Greektown Lease and Margaritaville Lease remains the same for the PENN Master Lease with PENN continuing to guarantee all obligations. </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Golden Entertainment Transaction. </w:t>
      </w:r>
      <w:r>
        <w:rPr>
          <w:rFonts w:ascii="Times New Roman;serif" w:hAnsi="Times New Roman;serif"/>
          <w:b w:val="false"/>
          <w:color w:val="000000"/>
          <w:sz w:val="20"/>
        </w:rPr>
        <w:t xml:space="preserve">On November 6, 2025, we announced that we entered into an agreement to acquire 100% of the land, real property and improvements of seven casino properties (the “Golden Portfolio”) from Golden for $1.16 billion and to enter into the Golden Master Lease with a newly formed entity that will be owned and controlled by Blake L. Sartini, current chairman and chief executive officer of Golden, which entity will acquire the operating business of Golden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Portfolio features approximately 362,000 square feet of casino space, over 6,000 hotel rooms, 4,306 slot machines and 78 table games.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Golden Master Lease will have an initial total annual rent of $87.0 million and an initial term of 30 years, with four 5-year tenant renewal options. Rent under the Golden Master Lease will escalate annually at 2.0% beginning in Lease Year 3. The obligations of Golden OpCo under the Golden Master Lease will be guaranteed by a holding company that is owned and controlled by Mr. Sartini and owns all of the gaming and operating assets of Golden, with additional credit support provided by financial covenants within the lease. Golden shareholders will receive approximately 24.3 million shares of newly issued VICI stock in exchange for the outstanding shares of Golden stock, which represents an agreed-upon exchange ratio of 0.902 per share of Golden’s common stock based on VICI’s 10-day volume weighted average price as of November 5, 2025, as well as cash consideration that is payable by an affiliate of the Golden OpCo. In connection with the transaction, we will assume and immediately retire Golden’s outstanding $426.0 million of debt using a combination of cash on hand, net proceeds available pursuant to forward sale agreements and/or drawing down funds available under our revolving credit facility. We do not expect to require additional financing, including capital markets activity, to complete the transaction. The transaction is expected to close in mid-2026, subject to the approval of the Golden stockholders, as well as customary closing conditions and regulatory approvals.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Northfield Park Severance Lease. </w:t>
      </w:r>
      <w:r>
        <w:rPr>
          <w:rFonts w:ascii="Times New Roman;serif" w:hAnsi="Times New Roman;serif"/>
          <w:b w:val="false"/>
          <w:color w:val="000000"/>
          <w:sz w:val="20"/>
        </w:rPr>
        <w:t xml:space="preserve">On October 16, 2025, we announced that, in connection with MGM’s agreement to sell the operations of Northfield Park (“Northfield Park”), located in Northfield, Ohio, to an affiliate of funds managed by Clairvest Group Inc. (“Clairvest”), we agreed to enter into (i) a new triple-net lease agreement with an affiliate of Clairvest with respect to the real property of Northfield Park (“Northfield Park Lease”) and (ii) an amendment to the existing MGM Master Lease in order to account for MGM’s divestiture of the operations of Northfield Park and to reduce the annual base rent under the MGM Master Lease by the initial base rent under the Northfield Park Lease. The Northfield Park Lease will have an initial annual base rent of $53.0 million (or $54.0 million if the transaction closes on or after May 1, 2026 to reflect the 2.0% annual escalation provided under the MGM Master Lease). Upon closing, the Northfield Park Lease will begin a new 25-year lease term with three 10-year tenant renewal options, with other economic terms substantially similar to the MGM Master Lease, including escalation of 2.0% per annum (with escalation equal to the greater of 2.0% and the change in CPI (capped at 3.0%) beginning at the same time as the MGM Master Lease in 2032) and a minimum capital expenditure requirement equal to 1.0% of annual net revenue. The Northfield Park Lease will be guaranteed by an affiliate of funds managed by Clairvest that will own the operations of Northfield Park. The transaction is subject to customary closing conditions and regulatory approvals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is expected to be completed in the first half of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Real Estate Debt Investment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 xml:space="preserve">One Beverly Hills Mezzanine Loan. </w:t>
      </w:r>
      <w:r>
        <w:rPr>
          <w:rFonts w:ascii="Times New Roman;serif" w:hAnsi="Times New Roman;serif"/>
          <w:b w:val="false"/>
          <w:color w:val="000000"/>
          <w:sz w:val="20"/>
        </w:rPr>
        <w:t xml:space="preserve">On February 19, 2025, we purchased a $300.0 million interest in an existing mezzanine loan related to the development of One Beverly Hills, a landmark 17.5-acre luxury experiential lifestyle hub in Beverly Hills, California. On June 23, 2025, we purchased an additional $150.0 million interest in the existing mezzanine loan, </w:t>
      </w:r>
      <w:r>
        <w:rPr>
          <w:rFonts w:ascii="Times New Roman;serif" w:hAnsi="Times New Roman;serif"/>
          <w:b w:val="false"/>
          <w:color w:val="231F20"/>
          <w:sz w:val="20"/>
        </w:rPr>
        <w:t>concurrent with a commensurate increase in the total size of the mezzanine loan</w:t>
      </w:r>
      <w:r>
        <w:rPr>
          <w:rFonts w:ascii="Times New Roman;serif" w:hAnsi="Times New Roman;serif"/>
          <w:b w:val="false"/>
          <w:color w:val="000000"/>
          <w:sz w:val="20"/>
        </w:rPr>
        <w:t xml:space="preserve">. One Beverly Hills is being developed by Cain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2028. </w:t>
      </w:r>
    </w:p>
    <w:p>
      <w:pPr>
        <w:pStyle w:val="TextBody"/>
        <w:bidi w:val="0"/>
        <w:spacing w:lineRule="auto" w:line="288" w:before="160" w:after="283"/>
        <w:jc w:val="both"/>
        <w:rPr/>
      </w:pPr>
      <w:r>
        <w:rPr>
          <w:rFonts w:ascii="Times New Roman;serif" w:hAnsi="Times New Roman;serif"/>
          <w:b w:val="false"/>
          <w:color w:val="000000"/>
          <w:sz w:val="20"/>
        </w:rPr>
        <w:t>The mezzanine loan has an initial maturity in March 2026 and one 12-month extension option, subject to certain conditions. Under the provisions of the existing mezzanine loan, interest is paid-in-kind and added to the outstanding principal balance. We funded each of the investments with a combination of cash on hand and a draw under the Revolving Credit Facility (as defined in</w:t>
      </w:r>
      <w:r>
        <w:rPr>
          <w:color w:val="000000"/>
        </w:rPr>
        <w:t xml:space="preserve">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North Fork Casino Loan. </w:t>
      </w:r>
      <w:r>
        <w:rPr>
          <w:rFonts w:ascii="Times New Roman;serif" w:hAnsi="Times New Roman;serif"/>
          <w:b w:val="false"/>
          <w:color w:val="000000"/>
          <w:sz w:val="20"/>
        </w:rPr>
        <w:t>On April 4, 2025, we provided a commitment of up to $510.0 million of a $725.0 million delayed draw term loan facility (the “Term Loan Arrangement”) to the North Fork Rancheria Economic Development Authority, a wholly owned entity of the North Fork Rancheria of Mono Indians of California. Proceeds from the Term Loan Arrangement will be used for the development of the North Fork Mono Casino &amp; Resort (“North Fork”) located near Madera, California, which will be developed and managed by affiliates of Red Rock Resorts, Inc.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 and is expected to be completed in the second half of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real estate debt investment activity (each as defined in the column titled “Real Estate Debt Investment”) for the year ended December 31, 2025:</w:t>
      </w:r>
    </w:p>
    <w:tbl>
      <w:tblPr>
        <w:tblW w:w="10205" w:type="dxa"/>
        <w:jc w:val="left"/>
        <w:tblInd w:w="0" w:type="dxa"/>
        <w:tblLayout w:type="fixed"/>
        <w:tblCellMar>
          <w:top w:w="28" w:type="dxa"/>
          <w:left w:w="28" w:type="dxa"/>
          <w:bottom w:w="28" w:type="dxa"/>
          <w:right w:w="28" w:type="dxa"/>
        </w:tblCellMar>
      </w:tblPr>
      <w:tblGrid>
        <w:gridCol w:w="653"/>
        <w:gridCol w:w="563"/>
        <w:gridCol w:w="481"/>
        <w:gridCol w:w="109"/>
        <w:gridCol w:w="109"/>
        <w:gridCol w:w="109"/>
        <w:gridCol w:w="354"/>
        <w:gridCol w:w="354"/>
        <w:gridCol w:w="359"/>
        <w:gridCol w:w="109"/>
        <w:gridCol w:w="109"/>
        <w:gridCol w:w="109"/>
        <w:gridCol w:w="430"/>
        <w:gridCol w:w="410"/>
        <w:gridCol w:w="411"/>
        <w:gridCol w:w="109"/>
        <w:gridCol w:w="109"/>
        <w:gridCol w:w="109"/>
        <w:gridCol w:w="253"/>
        <w:gridCol w:w="741"/>
        <w:gridCol w:w="132"/>
        <w:gridCol w:w="109"/>
        <w:gridCol w:w="109"/>
        <w:gridCol w:w="109"/>
        <w:gridCol w:w="1182"/>
        <w:gridCol w:w="1060"/>
        <w:gridCol w:w="1514"/>
      </w:tblGrid>
      <w:tr>
        <w:trPr/>
        <w:tc>
          <w:tcPr>
            <w:tcW w:w="65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Fork Casino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personal property and revenues of the North Fork Mono Casino &amp; Resort located near Madera, California</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Greenwich Village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the Greenwich Village neighborhood in New York, NY</w:t>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and Capital Markets Activity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At-The-Market Offering Programs. </w:t>
      </w:r>
      <w:r>
        <w:rPr>
          <w:rFonts w:ascii="Times New Roman;serif" w:hAnsi="Times New Roman;serif"/>
          <w:b w:val="false"/>
          <w:color w:val="000000"/>
          <w:sz w:val="20"/>
        </w:rPr>
        <w:t>During the year ended December 31, 2025, we sold an aggregate of 7,835,973 shares under the ATM Program, all of which were subject to forward sale agreements, for estimated aggregate net offering value of $252.8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 In July and August 2025, we physically settled certain outstanding forward shares issued under the ATM Program in exchange for aggregate net proceeds of approximately $375.7 million.</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Senior Unsecured Notes Offering. </w:t>
      </w:r>
      <w:r>
        <w:rPr>
          <w:rFonts w:ascii="Times New Roman;serif" w:hAnsi="Times New Roman;serif"/>
          <w:b w:val="false"/>
          <w:color w:val="000000"/>
          <w:sz w:val="20"/>
        </w:rPr>
        <w:t>On April 7, 2025, VICI LP issued $1.3 billion in aggregate principal amount of April 2025 Notes comprised of (i) $400.0 million in aggregate principal amount of 4.750% Senior Notes due 2028, which mature on April 1, 2028 and (ii) $900.0 million in aggregate principal amount of 5.625% Senior Notes due 2035, which mature on April 1, 2035, in each case under a supplemental indenture dated as of April, 7, 2025, between VICI LP and the trustee. We used the net proceeds of the offering to redeem $800.0 million in aggregate principal amount of 4.625% senior unsecured notes due 2025 and $500.0 million in aggregate principal amount of the 4.375% senior unsecured notes due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Forward-Starting Interest Rate Swap Agreements. </w:t>
      </w:r>
      <w:r>
        <w:rPr>
          <w:rFonts w:ascii="Times New Roman;serif" w:hAnsi="Times New Roman;serif"/>
          <w:b w:val="false"/>
          <w:color w:val="000000"/>
          <w:sz w:val="20"/>
        </w:rPr>
        <w:t xml:space="preserve">During the year ended December 31, 2025, we entered into eight forward-starting interest rate swap agreements for an aggregate notional amount of $400.0 million and three U.S. Treasury Rate Lock agreements for an aggregate notional amount of $150.0 million to hedge against changes in future cash flows resulting from changes in interest rates from the trade date through the forecasted issuance of senior unsecured notes expected to be issued in connection with the refinancing of our senior unsecured notes maturing in May 2025 and June 2025, which April 2025 Notes were issued on April 7, 2025. On March 28, 2025, we settled twelve outstanding forward-starting interest rate swap agreements with an aggregate notional amount of $600.0 million and the three U.S. Treasury Rate Lock agreements with an aggregate notional amount of $150.0 million, resulting in net proceeds of $1.8 million. Since the forward-starting swaps were hedging the interest rate risk on the April 2025 Notes offering, the unrealized gain in Accumulated other comprehensive income will be amortized over the term of the respective derivative instruments, which matches that of the underlying note, as a decrease in interest expense.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New Revolving Credit Facility. </w:t>
      </w:r>
      <w:r>
        <w:rPr>
          <w:rFonts w:ascii="Times New Roman;serif" w:hAnsi="Times New Roman;serif"/>
          <w:b w:val="false"/>
          <w:color w:val="000000"/>
          <w:sz w:val="20"/>
        </w:rPr>
        <w:t>On February 3, 2025, we entered into the Credit Agreement (as defined in</w:t>
      </w:r>
      <w:r>
        <w:rPr>
          <w:color w:val="000000"/>
        </w:rPr>
        <w:t xml:space="preserve">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xml:space="preserve">) providing for the Revolving Credit Facility in the amount of $2.5 billion scheduled to mature on February 3, 2029. Concurrently, we terminated our 2022 Revolving Credit Facility and 2022 Credit Agreement (each as defined in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231F20"/>
          <w:sz w:val="20"/>
        </w:rPr>
        <w:t xml:space="preserve">). </w:t>
      </w:r>
      <w:r>
        <w:rPr>
          <w:rFonts w:ascii="Times New Roman;serif" w:hAnsi="Times New Roman;serif"/>
          <w:b w:val="false"/>
          <w:color w:val="000000"/>
          <w:sz w:val="20"/>
        </w:rPr>
        <w:t>The Revolving Credit Facility includes two six-month maturity extension options (or one twelve-month extension option), the exercise of which in each case is subject to customary conditions and the payment of an extension fee. The Revolving Credit Facility includes the option to increase the revolving loan commitments by up to $1.0 billion in the aggregate to the extent that any one or more lenders (from the syndicate or otherwise) agree to provide such additional credit extension. 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Credit Agreement includes the option to add one or more tranches of term loans of up to $2.0 billion in the aggregate, in each case, to the extent that any one or more lenders (from the syndicate or otherwise) agree to provide such additional credit extensions. Re</w:t>
      </w:r>
      <w:r>
        <w:rPr>
          <w:rFonts w:ascii="Times New Roman;serif" w:hAnsi="Times New Roman;serif"/>
          <w:b w:val="false"/>
          <w:color w:val="000000"/>
          <w:sz w:val="20"/>
          <w:shd w:fill="FFFFFF" w:val="clear"/>
        </w:rPr>
        <w:t xml:space="preserve">fer to </w:t>
      </w:r>
      <w:hyperlink w:anchor="i368d3c19aa9d44c4a3d1ba3257c0bdcf_169">
        <w:r>
          <w:rPr>
            <w:rStyle w:val="InternetLink"/>
            <w:rFonts w:ascii="Times New Roman;serif" w:hAnsi="Times New Roman;serif"/>
            <w:b w:val="false"/>
            <w:color w:val="0000FF"/>
            <w:sz w:val="20"/>
            <w:u w:val="single"/>
          </w:rPr>
          <w:t>Note 7 - Debt</w:t>
        </w:r>
      </w:hyperlink>
      <w:r>
        <w:rPr>
          <w:color w:val="000000"/>
        </w:rPr>
        <w:t xml:space="preserve"> </w:t>
      </w:r>
      <w:r>
        <w:rPr>
          <w:rFonts w:ascii="Times New Roman;serif" w:hAnsi="Times New Roman;serif"/>
          <w:b w:val="false"/>
          <w:color w:val="000000"/>
          <w:sz w:val="20"/>
        </w:rPr>
        <w:t xml:space="preserve">included in this Annual Report on Form 10-K </w:t>
      </w:r>
      <w:r>
        <w:rPr>
          <w:rFonts w:ascii="Times New Roman;serif" w:hAnsi="Times New Roman;serif"/>
          <w:b w:val="false"/>
          <w:color w:val="000000"/>
          <w:sz w:val="20"/>
          <w:shd w:fill="FFFFFF" w:val="clear"/>
        </w:rPr>
        <w:t>for additional information.</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KEY TRENDS THAT MAY AFFECT OUR BUSINESS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Tenant, Borrower and Industry Performance</w:t>
      </w:r>
    </w:p>
    <w:p>
      <w:pPr>
        <w:pStyle w:val="TextBody"/>
        <w:bidi w:val="0"/>
        <w:spacing w:lineRule="auto" w:line="288" w:before="180" w:after="283"/>
        <w:jc w:val="both"/>
        <w:rPr/>
      </w:pPr>
      <w:r>
        <w:rPr>
          <w:rFonts w:ascii="Times New Roman;serif" w:hAnsi="Times New Roman;serif"/>
          <w:b w:val="false"/>
          <w:color w:val="000000"/>
          <w:sz w:val="20"/>
          <w:shd w:fill="FFFFFF" w:val="clear"/>
        </w:rPr>
        <w:t>Our tenants and borrowers (and in each case, their respective guarantors, as applicable) under our lease and loan agreements are gaming and other experiential operators across the United States, Canada and abroad. Payments under our</w:t>
      </w:r>
      <w:r>
        <w:rPr>
          <w:color w:val="000000"/>
        </w:rPr>
        <w:t xml:space="preserve"> </w:t>
      </w:r>
      <w:r>
        <w:rPr>
          <w:rFonts w:ascii="Times New Roman;serif" w:hAnsi="Times New Roman;serif"/>
          <w:b w:val="false"/>
          <w:color w:val="000000"/>
          <w:sz w:val="20"/>
        </w:rPr>
        <w:t xml:space="preserve">lease and loan agreements comprise, and are expected to continue to comprise, a substantial majority of our revenues. Accordingly, we are dependent on, among other things, our tenants’ and borrowers’ financial performance, the performance of the gaming and other experiential industries and the health of the economies in the areas where our investments are located for the foreseeable future, and an event that has a material adverse effect on any of our tenant’s or borrowers’ business, financial condition, liquidity, results of operations or prospects could have a material adverse effect on our business, financial condition, liquidity, results of operations and prospects. In addition, the financial performance of our tenants and borrowers also has a direct impact on our financial results in a given reporting period due to the impact of ASC 326 “Credit Losses” (“ASC 326”), which requires us to estimate and record non-cash expected credit losses related to our investments, including changes on a quarterly basis, that are recorded in our Statement of Operations and impact our reported net income. The change in non-cash allowance for credit losses for a given period is dependent upon, among other things, our tenants’ and borrowers’ financial performance. For more information regarding ASC 326, refer to </w:t>
      </w:r>
      <w:hyperlink w:anchor="i368d3c19aa9d44c4a3d1ba3257c0bdcf_160">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included in this Annual Report on Form 10-K.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tenants’ and borrowers’ business strategies and their ability to execute their business plans effectively, including in response to evolving competitive, regulatory and consumer dynamics, may also impact our performance, especially over the long-term. The gaming industry continues to experience intensifying competition from multiple sources, including the expansion of gaming in new jurisdictions, the growth of internet gaming, sports betting and other alternatives and accompanying regulatory developments, and evolving consumer preferences and behaviors. Other experiential industries also face varying degrees of competition and other emerging developments that require strategic engagement.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to which individual operators successfully execute their business plans, including navigating these competitive challenges, varies significantly. Strategies that lack sufficient investment in revenue growth, marketing and customer reinvestment, product offering and amenity enhancements, and competitive positioning may result in performance declines over time. These strategic decisions by our tenants and borrowers regarding, among other things, capital allocation,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improvements, technology investments, and marketing, and their ability to successfully implement such initiatives, may influence their ability to maintain market position and financial performance, which in turn may affect their ability to fulfill their contractual obligations pursuant to our lease and loan agreements, as applicable, and therefore, the value of our properties and our overall financial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our portfolio and asset management function, we monitor all of our tenants’ performance at our properties, as well as our borrowers’ performance under our investments, on an ongoing basis to evaluate the near-term financial health of these assets and investments and seek to ensure their long-term viability. Through these efforts, we have observed, and Caesars management has publicly reported, declining profitability of their operations at certain properties we lease to Caesars under the Caesars Regional Master Lease. Accordingly, we continue to evaluate Caesars’ financial performance and ability to maintain compliance with the terms of the Caesars Regional Master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remain structurally insulated from short-term operational and financial disruptions in light of the Caesars Regional Master Lease’s remaining nine years in its initial lease term with an initial maturity in July 2035. This is further reinforced by the contractual parent guarantee, pursuant to which Caesars Entertainment, Inc. guarantees throughout the entire lease term the prompt and complete payment and performance in full of all monetary and non-monetary obligations of the tenants under the Caesars leases. However, Caesars’ continued underperformance within the regional portfolio leased from VICI and related market narratives have, and may continue to have, an adverse effect on our stock performance and, accordingly, our cost of capital. In particular, market commentary has arisen regarding the potential impact of such performance trends, including questions from investors and analysts regarding, among other things, the long-term viability of the Caesars Regional Master Lease and potential modifications to address such concerns.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core component of our asset management function is active engagement and discussion with our tenants regarding matters of strategic importance, including with respect to our tenants’ operations and financial performance at our properties. Our framework with respect to how we approach discussions with our tenants regarding any strategic matter is to consider such matter in light of our long-term economic interests and the interests of our shareholders.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this framework, we have engaged in preliminary discussions with Caesars regarding its recent operating performance and the Caesars Regional Master Lease and may continue to do so from time to time. There can be no assurance that these or future discussions will result in any particular outcome or as to the scope, terms or parameters of any such outcome, including with respect to the Caesars Regional Master Lease and our other contractual arrangements with Caesars, or as to the impact of any of the foregoing on us. </w:t>
      </w:r>
    </w:p>
    <w:p>
      <w:pPr>
        <w:pStyle w:val="TextBody"/>
        <w:bidi w:val="0"/>
        <w:spacing w:lineRule="auto" w:line="288" w:before="180" w:after="283"/>
        <w:jc w:val="both"/>
        <w:rPr/>
      </w:pPr>
      <w:r>
        <w:rPr>
          <w:rFonts w:ascii="Times New Roman;serif" w:hAnsi="Times New Roman;serif"/>
          <w:b w:val="false"/>
          <w:color w:val="000000"/>
          <w:sz w:val="20"/>
        </w:rPr>
        <w:t>For more information, refer to “Financial difficulties experienced by any of our tenants, borrowers or guarantors, including their potential bankruptcy or insolvency, could result in defaults under, or requests to modify or terminate, their lease agreements, related guarantees or loan agreements, or otherwise have a material adverse effect on our business.” in “</w:t>
      </w:r>
      <w:hyperlink w:anchor="i368d3c19aa9d44c4a3d1ba3257c0bdcf_22">
        <w:r>
          <w:rPr>
            <w:rStyle w:val="InternetLink"/>
            <w:rFonts w:ascii="Times New Roman;serif" w:hAnsi="Times New Roman;serif"/>
            <w:b w:val="false"/>
            <w:color w:val="0000FF"/>
            <w:sz w:val="20"/>
            <w:u w:val="single"/>
          </w:rPr>
          <w:t>Part I – Item 1A. Risk Factors</w:t>
        </w:r>
      </w:hyperlink>
      <w:r>
        <w:rPr>
          <w:color w:val="000000"/>
        </w:rPr>
        <w:t xml:space="preserve">” </w:t>
      </w:r>
      <w:r>
        <w:rPr>
          <w:rFonts w:ascii="Times New Roman;serif" w:hAnsi="Times New Roman;serif"/>
          <w:b w:val="false"/>
          <w:color w:val="000000"/>
          <w:sz w:val="20"/>
        </w:rPr>
        <w:t>included in this Annual Report on Form 10-K.</w:t>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Strategy</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prospects and future growth will be significantly influenced by the success of our business strategy, and the timing, availability and terms of financing, and overall cost of capital in connection with any acquisitions and investments that we may complete, as well as broader macroeconomic and other conditions that affect our tenants’ and borrowers’ operating and financial performance and the gaming and other experiential industries in which they operate, including those described herein. Further, the pricing of any acquisitions or other investments we may consummate and the terms of any leases and loan agreements that we may enter into may significantly impact our future results. Competition to enter into transactions with respect to attractive real estate, desirable tenants and appropriate terms is intense, and we can provide no assurance that any future acquisitions, investments, leases or loan agreements will be on terms as favorable to us as those from comparable recent or historical transactions.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180" w:after="283"/>
        <w:jc w:val="both"/>
        <w:rPr/>
      </w:pPr>
      <w:r>
        <w:rPr>
          <w:rFonts w:ascii="Times New Roman;serif" w:hAnsi="Times New Roman;serif"/>
          <w:b w:val="false"/>
          <w:color w:val="000000"/>
          <w:sz w:val="20"/>
          <w:shd w:fill="FFFFFF" w:val="clear"/>
        </w:rPr>
        <w:t>We anticipate that we will finance our future growth with a combination of debt and equity, although no assurance can be given that we will be able to issue equity and/or debt in such amounts on favorable terms and at a favorable cost of capital, or at all, or that we would not determine to incur more debt on a relative basis at the relevant time due to market conditions or otherwise. The m</w:t>
      </w:r>
      <w:r>
        <w:rPr>
          <w:rFonts w:ascii="Times New Roman;serif" w:hAnsi="Times New Roman;serif"/>
          <w:b w:val="false"/>
          <w:color w:val="000000"/>
          <w:sz w:val="20"/>
        </w:rPr>
        <w:t xml:space="preserve">acroeconomic environment has introduced significant uncertainty and heightened risk for businesses, including us and our tenants, including the impact of changing interest rates, inflationary and recessionary threats, geopolitical and regulatory uncertainty, and increased cost of capital. Our tenants also face additional challenges, including potential changes in consumer confidence levels, behavior and spending, increasing competition from a variety of sources, and increased operational expenses, such as with respect to the impact of tariffs or trade barriers, labor, insurance or energy costs. As a triple-net lessor,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operational expenses at our leased properties are borne by our tenants and do not directly impact their rent obligations (other than with respect to underlying inflation as applied to the CPI-based escalators described below) or other obligations under our lease agreements. Similarly, our borrowers are responsible for operating their businesses, subject to compliance with the terms of our loan agreements.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 current macroeconomic environment, including uncertainty around changing interest rates and inflationary or recessionary threats, impacts our business in certain respects, such as our interest expense with respect to the refinancing of recent and upcoming debt maturities, any borrowings under our Revolving Credit Facility, the impact of CPI-based annual rent escalation under certain of our leases, volatility of our share price with respect to sales of common stock, and, with respect to potential transactions, evaluating asset and property values in discussions with potential counterparties and obtaining transaction financing on attractive terms, all of which could increase our cost of capital, limit the benefits of any such transactions, and negatively impact our growth prospects and financial performance.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Overall Implications of Such Material Trends on Our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triple-net lessor, we believe we are generally in a strong position relative to other creditors given our ownership of the real estate on and in which our tenants’ operations take place and are structurally insulated from our tenants’ short-term operational and performance fluctuations, both positive and negative. However, if our tenants experienced significant negative operational and financial performance over longer, extended periods of time, such performance may have an adverse effect on our business. Our loan investments are similarly subject to risks related to borrower performance. The full extent to which the trends described herein adversely affect our tenants and borrowers, the industries in which they operate, and/or ultimately impact our business depends on future developments that cannot be predicted with confidence, including our tenants’ and borrowers’ business strategy and financial performance, the direct and indirect effects of the trends discussed in this section and the impact of any future measures taken in response to such trends. </w:t>
      </w:r>
    </w:p>
    <w:p>
      <w:pPr>
        <w:pStyle w:val="TextBody"/>
        <w:bidi w:val="0"/>
        <w:spacing w:lineRule="auto" w:line="288" w:before="180" w:after="283"/>
        <w:jc w:val="both"/>
        <w:rPr/>
      </w:pPr>
      <w:r>
        <w:rPr>
          <w:rFonts w:ascii="Times New Roman;serif" w:hAnsi="Times New Roman;serif"/>
          <w:b w:val="false"/>
          <w:color w:val="000000"/>
          <w:sz w:val="20"/>
        </w:rPr>
        <w:t>For more information, refer to “</w:t>
      </w:r>
      <w:hyperlink w:anchor="i368d3c19aa9d44c4a3d1ba3257c0bdcf_22">
        <w:r>
          <w:rPr>
            <w:rStyle w:val="InternetLink"/>
            <w:rFonts w:ascii="Times New Roman;serif" w:hAnsi="Times New Roman;serif"/>
            <w:b w:val="false"/>
            <w:color w:val="0000FF"/>
            <w:sz w:val="20"/>
            <w:u w:val="single"/>
          </w:rPr>
          <w:t>Part I – Item 1A. Risk Factors</w:t>
        </w:r>
      </w:hyperlink>
      <w:r>
        <w:rPr>
          <w:color w:val="000000"/>
        </w:rPr>
        <w:t xml:space="preserve">” </w:t>
      </w:r>
      <w:r>
        <w:rPr>
          <w:rFonts w:ascii="Times New Roman;serif" w:hAnsi="Times New Roman;serif"/>
          <w:b w:val="false"/>
          <w:color w:val="000000"/>
          <w:sz w:val="20"/>
        </w:rPr>
        <w:t>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DISCUSSION OF OPERATING RESULTS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Years Ended December 31, 2025 and December 31, 2024 </w:t>
      </w:r>
    </w:p>
    <w:tbl>
      <w:tblPr>
        <w:tblW w:w="9387" w:type="dxa"/>
        <w:jc w:val="center"/>
        <w:tblInd w:w="0" w:type="dxa"/>
        <w:tblLayout w:type="fixed"/>
        <w:tblCellMar>
          <w:top w:w="28" w:type="dxa"/>
          <w:left w:w="28" w:type="dxa"/>
          <w:bottom w:w="28" w:type="dxa"/>
          <w:right w:w="28" w:type="dxa"/>
        </w:tblCellMar>
      </w:tblPr>
      <w:tblGrid>
        <w:gridCol w:w="1829"/>
        <w:gridCol w:w="1609"/>
        <w:gridCol w:w="1617"/>
        <w:gridCol w:w="211"/>
        <w:gridCol w:w="976"/>
        <w:gridCol w:w="109"/>
        <w:gridCol w:w="109"/>
        <w:gridCol w:w="109"/>
        <w:gridCol w:w="109"/>
        <w:gridCol w:w="211"/>
        <w:gridCol w:w="976"/>
        <w:gridCol w:w="109"/>
        <w:gridCol w:w="109"/>
        <w:gridCol w:w="109"/>
        <w:gridCol w:w="109"/>
        <w:gridCol w:w="211"/>
        <w:gridCol w:w="721"/>
        <w:gridCol w:w="154"/>
      </w:tblGrid>
      <w:tr>
        <w:trPr/>
        <w:tc>
          <w:tcPr>
            <w:tcW w:w="182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 xml:space="preserve">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our revenue was comprised of the following items:</w:t>
      </w:r>
    </w:p>
    <w:tbl>
      <w:tblPr>
        <w:tblW w:w="6057" w:type="dxa"/>
        <w:jc w:val="center"/>
        <w:tblInd w:w="0" w:type="dxa"/>
        <w:tblLayout w:type="fixed"/>
        <w:tblCellMar>
          <w:top w:w="28" w:type="dxa"/>
          <w:left w:w="28" w:type="dxa"/>
          <w:bottom w:w="28" w:type="dxa"/>
          <w:right w:w="28" w:type="dxa"/>
        </w:tblCellMar>
      </w:tblPr>
      <w:tblGrid>
        <w:gridCol w:w="587"/>
        <w:gridCol w:w="516"/>
        <w:gridCol w:w="517"/>
        <w:gridCol w:w="211"/>
        <w:gridCol w:w="976"/>
        <w:gridCol w:w="109"/>
        <w:gridCol w:w="109"/>
        <w:gridCol w:w="109"/>
        <w:gridCol w:w="109"/>
        <w:gridCol w:w="211"/>
        <w:gridCol w:w="976"/>
        <w:gridCol w:w="109"/>
        <w:gridCol w:w="109"/>
        <w:gridCol w:w="109"/>
        <w:gridCol w:w="109"/>
        <w:gridCol w:w="211"/>
        <w:gridCol w:w="82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lease and lease financing receivables:</w:t>
      </w:r>
    </w:p>
    <w:tbl>
      <w:tblPr>
        <w:tblW w:w="7916" w:type="dxa"/>
        <w:jc w:val="center"/>
        <w:tblInd w:w="0" w:type="dxa"/>
        <w:tblLayout w:type="fixed"/>
        <w:tblCellMar>
          <w:top w:w="28" w:type="dxa"/>
          <w:left w:w="28" w:type="dxa"/>
          <w:bottom w:w="28" w:type="dxa"/>
          <w:right w:w="28" w:type="dxa"/>
        </w:tblCellMar>
      </w:tblPr>
      <w:tblGrid>
        <w:gridCol w:w="1299"/>
        <w:gridCol w:w="1141"/>
        <w:gridCol w:w="1144"/>
        <w:gridCol w:w="211"/>
        <w:gridCol w:w="976"/>
        <w:gridCol w:w="109"/>
        <w:gridCol w:w="109"/>
        <w:gridCol w:w="109"/>
        <w:gridCol w:w="109"/>
        <w:gridCol w:w="211"/>
        <w:gridCol w:w="976"/>
        <w:gridCol w:w="109"/>
        <w:gridCol w:w="109"/>
        <w:gridCol w:w="109"/>
        <w:gridCol w:w="109"/>
        <w:gridCol w:w="211"/>
        <w:gridCol w:w="7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w:t>
            </w:r>
            <w:r>
              <w:rPr>
                <w:rFonts w:ascii="Times New Roman;serif" w:hAnsi="Times New Roman;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leasing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Leasing revenue is generated from rent from our lease agreements. Total leasing revenue increased $73.6 million during the year ended December 31, 2025 compared to the year ended December 31, 2024. Total contractual leasing revenue increased $87.2 million during the year ended December 31, 2025 compared to the year ended December 31, 2024. The increases were primarily driven by the incremental rent increase from funding $400.0 million of capital investments into the Venetian Resort for extensive reinvestment projects through our Partner Property Growth Fund strategy (the “Venetian Capital Investment”) in July and October 2024 and January 2025, as well as the annual rent escalators from certain of our other lease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loans increased $83.9 million during the year ended December 31, 2025 compared to the year ended December 31, 2024. The increase was driven by the origination and subsequent funding, as applicable, of our debt investments and the related interest income from the increased principal balances outstanding under such debt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our expenses were comprised of the following items:</w:t>
      </w:r>
    </w:p>
    <w:tbl>
      <w:tblPr>
        <w:tblW w:w="7196" w:type="dxa"/>
        <w:jc w:val="center"/>
        <w:tblInd w:w="0" w:type="dxa"/>
        <w:tblLayout w:type="fixed"/>
        <w:tblCellMar>
          <w:top w:w="28" w:type="dxa"/>
          <w:left w:w="28" w:type="dxa"/>
          <w:bottom w:w="28" w:type="dxa"/>
          <w:right w:w="28" w:type="dxa"/>
        </w:tblCellMar>
      </w:tblPr>
      <w:tblGrid>
        <w:gridCol w:w="1145"/>
        <w:gridCol w:w="1007"/>
        <w:gridCol w:w="1012"/>
        <w:gridCol w:w="211"/>
        <w:gridCol w:w="826"/>
        <w:gridCol w:w="109"/>
        <w:gridCol w:w="109"/>
        <w:gridCol w:w="109"/>
        <w:gridCol w:w="109"/>
        <w:gridCol w:w="211"/>
        <w:gridCol w:w="826"/>
        <w:gridCol w:w="109"/>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$4.0 million during the year ended December 31, 2025 compared to the year ended December 31, 2024. The decrease was primarily driven by a large one-time charitable contribution in 2024 to facilitate the Company’s corporate giving initiatives and by a decrease in compensation, including stock-based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 in Allowance for Credit Losses</w:t>
      </w:r>
    </w:p>
    <w:p>
      <w:pPr>
        <w:pStyle w:val="TextBody"/>
        <w:bidi w:val="0"/>
        <w:spacing w:lineRule="auto" w:line="288" w:before="180" w:after="283"/>
        <w:jc w:val="both"/>
        <w:rPr/>
      </w:pPr>
      <w:r>
        <w:rPr>
          <w:rFonts w:ascii="Times New Roman;serif" w:hAnsi="Times New Roman;serif"/>
          <w:b w:val="false"/>
          <w:color w:val="000000"/>
          <w:sz w:val="20"/>
        </w:rPr>
        <w:t xml:space="preserve">Change in allowance for credit losses increased $51.2 million during the year ended December 31, 2025 compared to the year ended December 31, 2024, </w:t>
      </w:r>
      <w:r>
        <w:rPr>
          <w:rFonts w:ascii="Times New Roman;serif" w:hAnsi="Times New Roman;serif"/>
          <w:b w:val="false"/>
          <w:color w:val="000000"/>
          <w:sz w:val="20"/>
          <w:shd w:fill="FFFFFF" w:val="clear"/>
        </w:rPr>
        <w:t xml:space="preserve">primarily driven by changes to the reasonable and supportable period, or R&amp;S Period probability of default, or PD, and loss given default, or LGD, of our existing tenants and their parent guarantors (as applicable) as a result of market performance, changes in the macroeconomic model used to scenario condition such inputs, and higher initial CECL allowances recorded on our loan origination activity.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Further fluctuations in the change in allowance for credit losses are the result of (i) changes to the long-term period PD as a result of changes in the credit ratings of our existing tenants and their parent guarantors, which are used to estimate the long-term PD and (ii) annual standard updates to the model used to estimate the CECL allowance. Refer to </w:t>
      </w:r>
      <w:hyperlink w:anchor="i368d3c19aa9d44c4a3d1ba3257c0bdcf_160">
        <w:r>
          <w:rPr>
            <w:rStyle w:val="InternetLink"/>
            <w:rFonts w:ascii="Times New Roman;serif" w:hAnsi="Times New Roman;serif"/>
            <w:b w:val="false"/>
            <w:color w:val="0000FF"/>
            <w:sz w:val="20"/>
            <w:u w:val="single"/>
          </w:rPr>
          <w:t>Note 5 - Allowance for Credit Losses</w:t>
        </w:r>
      </w:hyperlink>
      <w:r>
        <w:rPr>
          <w:color w:val="000000"/>
          <w:shd w:fill="FFFFFF" w:val="clear"/>
        </w:rPr>
        <w:t xml:space="preserve"> </w:t>
      </w:r>
      <w:r>
        <w:rPr>
          <w:rFonts w:ascii="Times New Roman;serif" w:hAnsi="Times New Roman;serif"/>
          <w:b w:val="false"/>
          <w:color w:val="000000"/>
          <w:sz w:val="20"/>
          <w:shd w:fill="FFFFFF" w:val="clear"/>
        </w:rPr>
        <w:t>for further details.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Transaction and Acquisition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Transaction and acquisition costs increased $3.2 million during the year ended December 31, 2025 compared to the year ended December 31, 2024.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Other Income and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our non-operating income and expenses were comprised of the following items:</w:t>
      </w:r>
    </w:p>
    <w:tbl>
      <w:tblPr>
        <w:tblW w:w="5682" w:type="dxa"/>
        <w:jc w:val="center"/>
        <w:tblInd w:w="0" w:type="dxa"/>
        <w:tblLayout w:type="fixed"/>
        <w:tblCellMar>
          <w:top w:w="28" w:type="dxa"/>
          <w:left w:w="28" w:type="dxa"/>
          <w:bottom w:w="28" w:type="dxa"/>
          <w:right w:w="28" w:type="dxa"/>
        </w:tblCellMar>
      </w:tblPr>
      <w:tblGrid>
        <w:gridCol w:w="516"/>
        <w:gridCol w:w="454"/>
        <w:gridCol w:w="455"/>
        <w:gridCol w:w="211"/>
        <w:gridCol w:w="901"/>
        <w:gridCol w:w="109"/>
        <w:gridCol w:w="109"/>
        <w:gridCol w:w="109"/>
        <w:gridCol w:w="109"/>
        <w:gridCol w:w="211"/>
        <w:gridCol w:w="901"/>
        <w:gridCol w:w="109"/>
        <w:gridCol w:w="109"/>
        <w:gridCol w:w="109"/>
        <w:gridCol w:w="109"/>
        <w:gridCol w:w="211"/>
        <w:gridCol w:w="79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$17.5 million during the year ended December 31, 2025 compared to the year ended December 31, 2024. The increase was primarily driven by an increase in the weighted average annualized interest rate of our debt, net of the impact of the forward-starting interest rate swaps and treasury locks, to 4.46% during the year ended December 31, 2025 compared to 4.34% during the year ended December 31, 2024, as a result of a higher effective interest rate on the March 2024 Notes, the December 2024 Notes and the April 2025 Notes as compared to the debt that was refinanced by such notes.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$1.7 million during the year ended December 31, 2025 compared to the year ended December 31, 2024. The decrease was primarily driven by an overall decrease in our cash on hand throughout the current year as compared to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Gains</w:t>
      </w:r>
    </w:p>
    <w:p>
      <w:pPr>
        <w:pStyle w:val="TextBody"/>
        <w:bidi w:val="0"/>
        <w:spacing w:lineRule="auto" w:line="288" w:before="180" w:after="283"/>
        <w:jc w:val="both"/>
        <w:rPr/>
      </w:pPr>
      <w:r>
        <w:rPr>
          <w:rFonts w:ascii="Times New Roman;serif" w:hAnsi="Times New Roman;serif"/>
          <w:b w:val="false"/>
          <w:color w:val="000000"/>
          <w:sz w:val="20"/>
        </w:rPr>
        <w:t xml:space="preserve">Other gains increased $2.1 million during the year ended December 31, 2025 compared to the year ended December 31, 2024. The change primarily relates to the gain or loss from the sale of certain excess land. Additional fluctuations result from our foreign currency remeasurement adjustments associated with our investments in Canada and the United Kingdom. In connection with such investments, we entered into foreign-denominated debt on the Revolving Credit Facility, of which </w:t>
      </w:r>
      <w:r>
        <w:rPr>
          <w:rFonts w:ascii="Times New Roman;serif" w:hAnsi="Times New Roman;serif"/>
          <w:b w:val="false"/>
          <w:color w:val="000000"/>
          <w:sz w:val="20"/>
          <w:shd w:fill="FFFFFF" w:val="clear"/>
        </w:rPr>
        <w:t>C$165.0 million and £16.5 million</w:t>
      </w:r>
      <w:r>
        <w:rPr>
          <w:color w:val="000000"/>
        </w:rPr>
        <w:t xml:space="preserve"> </w:t>
      </w:r>
      <w:r>
        <w:rPr>
          <w:rFonts w:ascii="Times New Roman;serif" w:hAnsi="Times New Roman;serif"/>
          <w:b w:val="false"/>
          <w:color w:val="000000"/>
          <w:sz w:val="20"/>
        </w:rPr>
        <w:t>is currently outstanding on the Revolving Credit Facility and, since such debt is held at entities with USD as their functional currency, certain of the related assets and liabilities are remeasured through the Statement of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of VICI Properties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operating results of VICI LP are materially consistent with those of the consolidated results of operations of VICI. However, certain differences arise primarily related to the operations of VICI Golf which resulted in additional revenue and income to VICI which are not recognized at VICI LP, partially offset by additional VICI Golf expenses, including depreciation and income taxes and certain general and administrative expenses recognized at VICI but not recognized at VICI LP. Refer to the Explanatory Note at the beginning of this Form 10-K for additional information on the presentation of VICI and VICI LP and the differences between the two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for the Years Ended December 31, 2024 and 2023</w:t>
      </w:r>
    </w:p>
    <w:p>
      <w:pPr>
        <w:pStyle w:val="TextBody"/>
        <w:bidi w:val="0"/>
        <w:spacing w:lineRule="auto" w:line="288" w:before="180" w:after="283"/>
        <w:jc w:val="both"/>
        <w:rPr/>
      </w:pPr>
      <w:r>
        <w:rPr>
          <w:rFonts w:ascii="Times New Roman;serif" w:hAnsi="Times New Roman;serif"/>
          <w:b w:val="false"/>
          <w:color w:val="000000"/>
          <w:sz w:val="20"/>
        </w:rPr>
        <w:t>For a comparison of our results of operations for the fiscal years ended December 31, 2024 and 2023, see “</w:t>
      </w:r>
      <w:hyperlink r:id="rId4">
        <w:r>
          <w:rPr>
            <w:rStyle w:val="InternetLink"/>
            <w:rFonts w:ascii="Times New Roman;serif" w:hAnsi="Times New Roman;serif"/>
            <w:b w:val="false"/>
            <w:color w:val="0000FF"/>
            <w:sz w:val="20"/>
            <w:u w:val="single"/>
          </w:rPr>
          <w:t>Part II, 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of our annual report on Form 10-K for the fiscal year ended December 31, 2024, filed with the SEC on February 20, 2025 and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Reconciliation of VICI’s Net Income to FFO, FFO per Share, AFFO, AFFO per Share and Adjusted EBITDA</w:t>
      </w:r>
    </w:p>
    <w:tbl>
      <w:tblPr>
        <w:tblW w:w="9037" w:type="dxa"/>
        <w:jc w:val="left"/>
        <w:tblInd w:w="0" w:type="dxa"/>
        <w:tblLayout w:type="fixed"/>
        <w:tblCellMar>
          <w:top w:w="28" w:type="dxa"/>
          <w:left w:w="28" w:type="dxa"/>
          <w:bottom w:w="28" w:type="dxa"/>
          <w:right w:w="28" w:type="dxa"/>
        </w:tblCellMar>
      </w:tblPr>
      <w:tblGrid>
        <w:gridCol w:w="2089"/>
        <w:gridCol w:w="1836"/>
        <w:gridCol w:w="1850"/>
        <w:gridCol w:w="234"/>
        <w:gridCol w:w="1102"/>
        <w:gridCol w:w="109"/>
        <w:gridCol w:w="109"/>
        <w:gridCol w:w="109"/>
        <w:gridCol w:w="109"/>
        <w:gridCol w:w="234"/>
        <w:gridCol w:w="1102"/>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2,775,493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2,678,810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gains </w:t>
            </w:r>
            <w:r>
              <w:rPr>
                <w:rFonts w:ascii="Times New Roman;serif" w:hAnsi="Times New Roman;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provision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2,526,256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2,370,793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3,278,709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3,104,917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shares outstanding</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1,062,006,448 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1,046,739,537 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1,062,693,062 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1,047,675,111 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Represents non-cash foreign currency remeasurement adjustments and gain on sale of 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our available cash and cash equivalents balance, short-term investments and capacity under our Revolving Credit Facility were as follows:</w:t>
      </w:r>
    </w:p>
    <w:tbl>
      <w:tblPr>
        <w:tblW w:w="7228" w:type="dxa"/>
        <w:jc w:val="center"/>
        <w:tblInd w:w="0" w:type="dxa"/>
        <w:tblLayout w:type="fixed"/>
        <w:tblCellMar>
          <w:top w:w="28" w:type="dxa"/>
          <w:left w:w="28" w:type="dxa"/>
          <w:bottom w:w="28" w:type="dxa"/>
          <w:right w:w="28" w:type="dxa"/>
        </w:tblCellMar>
      </w:tblPr>
      <w:tblGrid>
        <w:gridCol w:w="1975"/>
        <w:gridCol w:w="1739"/>
        <w:gridCol w:w="1745"/>
        <w:gridCol w:w="278"/>
        <w:gridCol w:w="1288"/>
        <w:gridCol w:w="203"/>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Capacity under Revolving Credit Facility </w:t>
            </w:r>
            <w:r>
              <w:rPr>
                <w:rFonts w:ascii="Times New Roman;serif" w:hAnsi="Times New Roman;serif"/>
                <w:b w:val="false"/>
                <w:i/>
                <w:color w:val="000000"/>
                <w:sz w:val="13"/>
              </w:rPr>
              <w:t>(1)</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Proceeds available from settlement of Forward Sale Agreements </w:t>
            </w:r>
            <w:r>
              <w:rPr>
                <w:rFonts w:ascii="Times New Roman;serif" w:hAnsi="Times New Roman;serif"/>
                <w:b w:val="false"/>
                <w:i/>
                <w:color w:val="000000"/>
                <w:sz w:val="13"/>
              </w:rPr>
              <w:t>(2)</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3,208,853 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pPr>
      <w:r>
        <w:rPr>
          <w:rFonts w:ascii="Times New Roman;serif" w:hAnsi="Times New Roman;serif"/>
          <w:b w:val="false"/>
          <w:i/>
          <w:color w:val="231F20"/>
          <w:sz w:val="16"/>
        </w:rPr>
        <w:t>(1)</w:t>
      </w:r>
      <w:r>
        <w:rPr>
          <w:rFonts w:ascii="Times New Roman;serif" w:hAnsi="Times New Roman;serif"/>
          <w:b w:val="false"/>
          <w:i/>
          <w:color w:val="000000"/>
          <w:sz w:val="16"/>
        </w:rPr>
        <w:t xml:space="preserve">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(2)Assumes the physical settlement of the 7,750,000 outstanding forward shares as of December 31, 2025 under our at-the-market forward sale agreements at a forward sales price of $31.40 calculated as of December 31,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any future issuances of debt and equity securities (including issuances under any future “at-the-market” program) for the next 12 months and in future periods. </w:t>
      </w:r>
    </w:p>
    <w:p>
      <w:pPr>
        <w:pStyle w:val="TextBody"/>
        <w:bidi w:val="0"/>
        <w:spacing w:lineRule="auto" w:line="288" w:before="180" w:after="283"/>
        <w:jc w:val="both"/>
        <w:rPr/>
      </w:pPr>
      <w:r>
        <w:rPr>
          <w:rFonts w:ascii="Times New Roman;serif" w:hAnsi="Times New Roman;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368d3c19aa9d44c4a3d1ba3257c0bdcf_22">
        <w:r>
          <w:rPr>
            <w:rStyle w:val="InternetLink"/>
            <w:rFonts w:ascii="Times New Roman;serif" w:hAnsi="Times New Roman;serif"/>
            <w:b w:val="false"/>
            <w:color w:val="0000FF"/>
            <w:sz w:val="20"/>
            <w:u w:val="single"/>
          </w:rPr>
          <w:t>Part I. Item 1A. Risk Factors</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Our short-term obligations consist primarily of regular interest payments on our debt obligations, dividends to our common stockholders, distributions to the VICI OP Unit holders, the holders of the Lucky Strike OP Units (as defined in </w:t>
      </w:r>
      <w:hyperlink w:anchor="i368d3c19aa9d44c4a3d1ba3257c0bdcf_148">
        <w:r>
          <w:rPr>
            <w:rStyle w:val="InternetLink"/>
            <w:rFonts w:ascii="Times New Roman;serif" w:hAnsi="Times New Roman;serif"/>
            <w:b w:val="false"/>
            <w:color w:val="0000FF"/>
            <w:sz w:val="20"/>
            <w:u w:val="single"/>
          </w:rPr>
          <w:t>Note 2 - Summary of Significant Accounting Policies</w:t>
        </w:r>
      </w:hyperlink>
      <w:r>
        <w:rPr>
          <w:rFonts w:ascii="Times New Roman;serif" w:hAnsi="Times New Roman;serif"/>
          <w:b w:val="false"/>
          <w:color w:val="000000"/>
          <w:sz w:val="20"/>
        </w:rPr>
        <w:t xml:space="preserve">)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368d3c19aa9d44c4a3d1ba3257c0bdcf_178">
        <w:r>
          <w:rPr>
            <w:rStyle w:val="InternetLink"/>
            <w:rFonts w:ascii="Times New Roman;serif" w:hAnsi="Times New Roman;serif"/>
            <w:b w:val="false"/>
            <w:color w:val="0000FF"/>
            <w:sz w:val="20"/>
            <w:u w:val="single"/>
          </w:rPr>
          <w:t>Note 10 - Commitments and Contingent Liabilities</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obligations consist primarily of principal payments on our outstanding debt obligations and future funding commitments under our lease and loan agreements. As of December 31, 2025, we had $17.1 billion of debt obligations outstanding, of which $500.0 million matures on September 1, 2026 and $1.25 billion matures on December 1, 2026.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summary of principal debt balances and their maturity dates and principal terms, refer to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xml:space="preserve">. For a summary of our future funding commitments under our loan portfolio, refer to </w:t>
      </w:r>
      <w:hyperlink w:anchor="i368d3c19aa9d44c4a3d1ba3257c0bdcf_157">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368d3c19aa9d44c4a3d1ba3257c0bdcf_157">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our material contractual obligations and commitments to make future payments under contracts such as our indebtedness, future funding commitments under our loans, and future contractual operating commitments (such as future lease payments under our corporate lease) are included in the following table as of December 31, 2025.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627"/>
        <w:gridCol w:w="357"/>
        <w:gridCol w:w="21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Scheduled interest payments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Leases and contracts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 loan investments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 and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12,687,307 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Estimated interest payments on variable interest debt under our Revolving Credit Facility are based on the CORRA and SONIA rates as of December 31, 2025.</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Excludes ground and use leases which are paid directly by our tenants to the primary lease holder.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The allocation of our future funding commitments is based on construction draw schedules, commitment funding dates, expiration dates or other information, as applicable; however, we may be obligated to fund these commitments earlier than such applicable date.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Additional Funding Requirements</w:t>
      </w:r>
    </w:p>
    <w:p>
      <w:pPr>
        <w:pStyle w:val="TextBody"/>
        <w:bidi w:val="0"/>
        <w:spacing w:lineRule="auto" w:line="288" w:before="180" w:after="283"/>
        <w:jc w:val="both"/>
        <w:rPr/>
      </w:pPr>
      <w:r>
        <w:rPr>
          <w:rFonts w:ascii="Times New Roman;serif" w:hAnsi="Times New Roman;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As of December 31, 2025, we had $300.0 million of additional potential future funding commitments in connection with the Venetian Capital Investment entered into on May 1, 2024, pursuant to which the tenant has the option, but not the obligation, to draw such future funds, prior to November 1, 2026.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For further information, refer to </w:t>
      </w:r>
      <w:hyperlink w:anchor="i368d3c19aa9d44c4a3d1ba3257c0bdcf_151">
        <w:r>
          <w:rPr>
            <w:rStyle w:val="InternetLink"/>
            <w:rFonts w:ascii="Times New Roman;serif" w:hAnsi="Times New Roman;serif"/>
            <w:b w:val="false"/>
            <w:color w:val="0000FF"/>
            <w:sz w:val="20"/>
            <w:u w:val="single"/>
          </w:rPr>
          <w:t>Note 3 – Real Estate Transactions</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584"/>
        <w:gridCol w:w="512"/>
        <w:gridCol w:w="512"/>
        <w:gridCol w:w="1432"/>
        <w:gridCol w:w="1350"/>
        <w:gridCol w:w="1375"/>
        <w:gridCol w:w="211"/>
        <w:gridCol w:w="976"/>
        <w:gridCol w:w="109"/>
        <w:gridCol w:w="109"/>
        <w:gridCol w:w="109"/>
        <w:gridCol w:w="109"/>
        <w:gridCol w:w="211"/>
        <w:gridCol w:w="976"/>
        <w:gridCol w:w="109"/>
        <w:gridCol w:w="109"/>
        <w:gridCol w:w="109"/>
        <w:gridCol w:w="109"/>
        <w:gridCol w:w="211"/>
        <w:gridCol w:w="826"/>
        <w:gridCol w:w="157"/>
      </w:tblGrid>
      <w:tr>
        <w:trPr/>
        <w:tc>
          <w:tcPr>
            <w:tcW w:w="58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 ($)</w:t>
            </w:r>
          </w:p>
        </w:tc>
      </w:tr>
      <w:tr>
        <w:trPr/>
        <w:tc>
          <w:tcPr>
            <w:tcW w:w="57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$128.5 million for the year ended December 31, 2025 compared with the year ended December 31, 2024. The increase was primarily driven by the annual rent escalators on certain of our lease agreements and the incremental rent increases from the Venetian Capital Investment (which occurred in July and October 2024 and January 2025), as well as the incremental interest income associated with additional loan fundings and originations.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$18.0 million for the year ended December 31, 2025 compared with the year ended December 31, 2024.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primary sources and uses of cash from investing activities included: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Disbursements to fund investments in our loan and securities portfolio in the amount of $887.2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Investment in short-term investments of </w:t>
      </w:r>
      <w:r>
        <w:rPr>
          <w:rFonts w:ascii="Times New Roman;serif" w:hAnsi="Times New Roman;serif"/>
          <w:b w:val="false"/>
          <w:color w:val="000000"/>
          <w:sz w:val="20"/>
        </w:rPr>
        <w:t>$44.5 million</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the partial repayment of certain debt investments and deferred fees in the amount of </w:t>
      </w:r>
      <w:r>
        <w:rPr>
          <w:rFonts w:ascii="Times New Roman;serif" w:hAnsi="Times New Roman;serif"/>
          <w:b w:val="false"/>
          <w:color w:val="000000"/>
          <w:sz w:val="20"/>
        </w:rPr>
        <w:t>$27.5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Capitalized transaction costs of $4.7 million;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Acquisition of property and equipment costs of $1.3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primary sources and uses of cash from investing activities included: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$579.1 million</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Payments to fund the Venetian Capital Investment and Partner Property Growth Fund investment at Caruthersville in the aggregate amount of </w:t>
      </w:r>
      <w:r>
        <w:rPr>
          <w:rFonts w:ascii="Times New Roman;serif" w:hAnsi="Times New Roman;serif"/>
          <w:b w:val="false"/>
          <w:color w:val="000000"/>
          <w:sz w:val="20"/>
        </w:rPr>
        <w:t>$411.8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rPr>
        <w:t>Proceeds from the repayment of the Great Wolf Lodge Maryland mezzanine loan in the amount of $79.5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Investments and maturities of short-term investments of </w:t>
      </w:r>
      <w:r>
        <w:rPr>
          <w:rFonts w:ascii="Times New Roman;serif" w:hAnsi="Times New Roman;serif"/>
          <w:b w:val="false"/>
          <w:color w:val="000000"/>
          <w:sz w:val="20"/>
        </w:rPr>
        <w:t>$29.6 million</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Acquisition of property and equipment costs of </w:t>
      </w:r>
      <w:r>
        <w:rPr>
          <w:rFonts w:ascii="Times New Roman;serif" w:hAnsi="Times New Roman;serif"/>
          <w:b w:val="false"/>
          <w:color w:val="000000"/>
          <w:sz w:val="20"/>
        </w:rPr>
        <w:t>$7.5 million;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Capitalized transaction costs of </w:t>
      </w:r>
      <w:r>
        <w:rPr>
          <w:rFonts w:ascii="Times New Roman;serif" w:hAnsi="Times New Roman;serif"/>
          <w:b w:val="false"/>
          <w:color w:val="000000"/>
          <w:sz w:val="20"/>
        </w:rPr>
        <w:t>$5.9 million</w:t>
      </w:r>
      <w:r>
        <w:rPr>
          <w:rFonts w:ascii="Times New Roman;serif" w:hAnsi="Times New Roman;serif"/>
          <w:b w:val="false"/>
          <w:color w:val="000000"/>
          <w:sz w:val="20"/>
          <w:shd w:fill="FFFFFF" w:val="clear"/>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increased $109.4 million for the year ended December 31, 2025 compared with the year ended December 31, 2024.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primary sources and uses of cash from financing activities included: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Dividend payments of $1,853.5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proceeds from the issuance of the April 2025 Notes in the amount of $1,284.4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Redemption of the outstanding $800.0 million in aggregate principal amount of the 4.625% senior unsecured notes due 2025 and $500.0 million in aggregate principal amount of the 4.375% senior unsecured notes due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Draws of $426.0 million and repayments of $439.9 million on our Revolving Credit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Net proceeds of $375.3 million from the physical settlement of 12,101,372 forward shares under our ATM Program;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Distributions of $32.2 million to non-controlling interests;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Payments of debt issuance costs of $19.5 million;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$7.2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primary sources and uses of cash from financing activities included: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Redemption of the outstanding (i) $1,050.0 million in aggregate principal amount of the 5.625% senior unsecured notes due 2024, and (ii) $750.0 million in aggregate principal amount of the 3.500% senior unsecured notes due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proceeds from the issuance of the March 2024 Notes and December 2024 Notes in the amount of $1,771.2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Dividend payments of $1,753.0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Proceeds of $378.7 million from the physical settlement of 13,194,739 forward shares under our ATM Program, net of equity offering costs paid in the current year;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Draws of $82.2 million in aggregate on our Revolving Credit Facility and paydowns of $94.3 million on our Revolving Credit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Distributions of $31.2 million to non-controlling interests;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$5.3 million;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Payments of debt issuance costs of $5.3 million.</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Debt</w:t>
      </w:r>
    </w:p>
    <w:p>
      <w:pPr>
        <w:pStyle w:val="TextBody"/>
        <w:bidi w:val="0"/>
        <w:spacing w:lineRule="auto" w:line="288" w:before="180" w:after="283"/>
        <w:jc w:val="both"/>
        <w:rPr/>
      </w:pPr>
      <w:r>
        <w:rPr>
          <w:rFonts w:ascii="Times New Roman;serif" w:hAnsi="Times New Roman;serif"/>
          <w:b w:val="false"/>
          <w:color w:val="000000"/>
          <w:sz w:val="20"/>
        </w:rPr>
        <w:t xml:space="preserve">For a summary of our debt obligations as of December 31, 2025, refer to </w:t>
      </w:r>
      <w:hyperlink w:anchor="i368d3c19aa9d44c4a3d1ba3257c0bdcf_169">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For a summary of our financing activities in 2025 refer to “Summary of Significant 2025 Activity - Financing and Capital Markets Activity” above</w:t>
      </w:r>
      <w:r>
        <w:rPr>
          <w:rFonts w:ascii="Times New Roman;serif" w:hAnsi="Times New Roman;serif"/>
          <w:b w:val="false"/>
          <w:i/>
          <w:color w:val="000000"/>
          <w:sz w:val="20"/>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debt obligations are subject to certain customary financial and operating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we were in compliance with all required debt-related covenants, including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180" w:after="283"/>
        <w:jc w:val="both"/>
        <w:rPr/>
      </w:pPr>
      <w:r>
        <w:rPr>
          <w:rFonts w:ascii="Times New Roman;serif" w:hAnsi="Times New Roman;serif"/>
          <w:b w:val="false"/>
          <w:color w:val="000000"/>
          <w:sz w:val="20"/>
        </w:rPr>
        <w:t xml:space="preserve">Our Financial Statements are prepared in accordance with GAAP which requires us to make estimates and assumptions about future events that affect the amounts reported in the financial statements and accompanying notes. We believe that the following discussion addresses our most critical accounting estimates, which are those that have a significant level of estimation uncertainty, requiring our most difficult, subjective and complex judgments, and significantly impacts the Balance Sheets and Statement of Operations in the reporting period. Actual results may differ from the estimates. Refer to </w:t>
      </w:r>
      <w:hyperlink w:anchor="i368d3c19aa9d44c4a3d1ba3257c0bdcf_148">
        <w:r>
          <w:rPr>
            <w:rStyle w:val="InternetLink"/>
            <w:rFonts w:ascii="Times New Roman;serif" w:hAnsi="Times New Roman;serif"/>
            <w:b w:val="false"/>
            <w:color w:val="0000FF"/>
            <w:sz w:val="20"/>
            <w:u w:val="single"/>
          </w:rPr>
          <w:t>Note 2 - Summary of Significant Accounting Policies</w:t>
        </w:r>
      </w:hyperlink>
      <w:r>
        <w:rPr>
          <w:color w:val="000000"/>
        </w:rPr>
        <w:t xml:space="preserve"> </w:t>
      </w:r>
      <w:r>
        <w:rPr>
          <w:rFonts w:ascii="Times New Roman;serif" w:hAnsi="Times New Roman;serif"/>
          <w:b w:val="false"/>
          <w:color w:val="000000"/>
          <w:sz w:val="20"/>
        </w:rPr>
        <w:t xml:space="preserve">for a full discussion of our accounting policies.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Lease Accounting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our investments in leases under ASC 842 “Leases” (“ASC 842”), which requires us to use significant estimates and judgment in applying the accounting standard. Upon lease inception or lease modification, we assess the lease classification of the different components of the property, generally land and building, to determine whether each component should be classified as a direct financing, sales-type or operating lease. The determination of lease classification requires the calculation of the rate implicit in the lease, which is driven by (i) significant judgments around the inclusion of renewal terms in the non-cancelable lease period and whether such renewal terms are reasonably certain to be exercised and (ii) the estimation of both the value assigned to the land and building property components upon acquisition and the estimation of the unguaranteed residual value of such components at the end of the lease term. If the lease component is determined to be a direct financing or sales-type lease, revenue is recognized over the life of the lease using the rate implicit in the lease.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industry standard practices to estimate both the value assigned to the land and building property components upon acquisition and the unguaranteed residual value of such components, including comparable sales and replacement cost analyses. Although we believe our estimate of both the value assigned to the land and building property components upon acquisition and the unguaranteed residual value of such components is reasonable, no assurance can be given that such amounts will be correct. In particular a change in the estimates could have a material impact on the lease classification determination and the timing and amount of income recognized over the life of the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We have elected to use a discounted cash flow model to estimate the Allowance for credit losses, or CECL allowance for our leases.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tenants and their parent guarantors over the life of each individual lease or financial asset. The PD and LGD are estimated during a reasonable and supportable period for which we believe we are able to estimate future economic conditions (the “R&amp;S Period”) and a long-term period for which we revert to long-term historical averages (the “Long-Term Period”). We are unable to use our historical data to estimate losses as we have no loss history to date.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Given the length of our leases, the Long-Term Period PD and LGD are the most material and significant drivers of the CECL allowance. The PD and LGD for the Long-Term Period are estimated using the average historical default rates and historical loss rates, respectively, of public companies over the past 40 years that have similar credit profiles or characteristics to our tenants and their parent guarantors. We have engaged a nationally recognized data analytics firm to assist us with estimating both the PD and LGD of our tenants and their parent guarantors. Changes to the Long-Term Period PD and LGD are generally driven by (i) updated studies from the nationally recognized data analytics firm we employ to assist us with calculating the allowance and (ii) changes in the credit rating assigned to our tenants and their parent guarantors. </w:t>
      </w:r>
    </w:p>
    <w:p>
      <w:pPr>
        <w:pStyle w:val="TextBody"/>
        <w:bidi w:val="0"/>
        <w:spacing w:lineRule="auto" w:line="288" w:before="180" w:after="283"/>
        <w:jc w:val="both"/>
        <w:rPr/>
      </w:pPr>
      <w:r>
        <w:rPr>
          <w:rFonts w:ascii="Times New Roman;serif" w:hAnsi="Times New Roman;serif"/>
          <w:b w:val="false"/>
          <w:color w:val="000000"/>
          <w:sz w:val="20"/>
        </w:rPr>
        <w:t xml:space="preserve">The following table illustrates the impact on the CECL allowance of our investment portfolio as a result of a 10% increase and decrease in the weighted average percentages used to estimate Long-Term PD and LGD of all of our tenants and their parent guarantors. Refer to </w:t>
      </w:r>
      <w:hyperlink w:anchor="i368d3c19aa9d44c4a3d1ba3257c0bdcf_160">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 xml:space="preserve">for further information on our CECL Allowance and related balances as of December 31, 2025. </w:t>
      </w:r>
    </w:p>
    <w:tbl>
      <w:tblPr>
        <w:tblW w:w="10205"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467"/>
        <w:gridCol w:w="417"/>
        <w:gridCol w:w="1046"/>
        <w:gridCol w:w="109"/>
        <w:gridCol w:w="109"/>
        <w:gridCol w:w="109"/>
        <w:gridCol w:w="361"/>
        <w:gridCol w:w="1340"/>
        <w:gridCol w:w="186"/>
        <w:gridCol w:w="109"/>
        <w:gridCol w:w="109"/>
        <w:gridCol w:w="109"/>
        <w:gridCol w:w="467"/>
        <w:gridCol w:w="417"/>
        <w:gridCol w:w="1046"/>
        <w:gridCol w:w="109"/>
        <w:gridCol w:w="109"/>
        <w:gridCol w:w="109"/>
        <w:gridCol w:w="332"/>
        <w:gridCol w:w="1398"/>
        <w:gridCol w:w="249"/>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 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 LGD</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CECL Allowance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CECL Allowance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CECL Allowance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CECL Allowance $</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management believes its estimate of the Long-Term PD and LGD described above is reasonable, no assurance can be given that the Long-Term PD and LGD for our tenants, or other drivers of the CECL allowance, will be correct. Any significant variation of Long-Term PD or LGD from management’s expectations could have a material impact on our financial condition and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68" w:type="dxa"/>
        <w:jc w:val="left"/>
        <w:tblInd w:w="0" w:type="dxa"/>
        <w:tblLayout w:type="fixed"/>
        <w:tblCellMar>
          <w:top w:w="28" w:type="dxa"/>
          <w:left w:w="28" w:type="dxa"/>
          <w:bottom w:w="28" w:type="dxa"/>
          <w:right w:w="28" w:type="dxa"/>
        </w:tblCellMar>
      </w:tblPr>
      <w:tblGrid>
        <w:gridCol w:w="428"/>
        <w:gridCol w:w="377"/>
        <w:gridCol w:w="379"/>
        <w:gridCol w:w="1839"/>
        <w:gridCol w:w="1839"/>
        <w:gridCol w:w="2606"/>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7A.</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Quantitative and Qualitative Disclosures About Market Risk</w:t>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December 31, 2025, we had $17.1 billion of aggregate principal amount of outstanding indebtedness, of which 99.2% has a fixed interest rate and 0.8% has a variable interest rate, representing the US$142.5 million outstanding balance under the Revolving Credit Facility (denominated in CAD and GBP). As of December 31, 2025, a one percent increase or decrease in the annual interest rate on our variable rate borrowings would increase or decrease our annual cash interest expense by approximately $1.4 million using the applicable exchange rate as of December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exposed to interest rate risk between the time we enter into a transaction and the time we finance the related transaction with long-term fixed-rate debt. In addition, when long-term debt matures, we may have to refinance such debt at a higher interest rate. In a heightened interest rate environment, we have from time to time and may in the future seek to mitigate that risk by utilizing forward-starting interest rate swap agreements, U.S. Treasury rate lock agreements and other derivative instruments. Market interest rates are sensitive to many factors that are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 Markets Risks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94" w:type="dxa"/>
        <w:jc w:val="left"/>
        <w:tblInd w:w="0" w:type="dxa"/>
        <w:tblLayout w:type="fixed"/>
        <w:tblCellMar>
          <w:top w:w="28" w:type="dxa"/>
          <w:left w:w="28" w:type="dxa"/>
          <w:bottom w:w="28" w:type="dxa"/>
          <w:right w:w="28" w:type="dxa"/>
        </w:tblCellMar>
      </w:tblPr>
      <w:tblGrid>
        <w:gridCol w:w="363"/>
        <w:gridCol w:w="320"/>
        <w:gridCol w:w="321"/>
        <w:gridCol w:w="1432"/>
        <w:gridCol w:w="1432"/>
        <w:gridCol w:w="202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8.</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Statements and Supplementary Data</w:t>
            </w:r>
          </w:p>
        </w:tc>
      </w:tr>
    </w:tbl>
    <w:p>
      <w:pPr>
        <w:pStyle w:val="TextBody"/>
        <w:bidi w:val="0"/>
        <w:spacing w:lineRule="auto" w:line="288" w:before="180" w:after="283"/>
        <w:jc w:val="both"/>
        <w:rPr/>
      </w:pPr>
      <w:r>
        <w:rPr>
          <w:rFonts w:ascii="Times New Roman;serif" w:hAnsi="Times New Roman;serif"/>
          <w:b w:val="false"/>
          <w:color w:val="000000"/>
          <w:sz w:val="20"/>
        </w:rPr>
        <w:t xml:space="preserve">The financial statements required by this item and the reports of the independent accountants thereon required by Item 15. - Exhibits and Financial Statement Schedules of this Form 10-K appear on pages F-2 to F-52. See accompanying </w:t>
      </w:r>
      <w:hyperlink w:anchor="i368d3c19aa9d44c4a3d1ba3257c0bdcf_109">
        <w:r>
          <w:rPr>
            <w:rStyle w:val="InternetLink"/>
            <w:rFonts w:ascii="Times New Roman;serif" w:hAnsi="Times New Roman;serif"/>
            <w:b w:val="false"/>
            <w:color w:val="0000FF"/>
            <w:sz w:val="20"/>
            <w:u w:val="single"/>
          </w:rPr>
          <w:t>Index to the Consolidated Financial Statements</w:t>
        </w:r>
      </w:hyperlink>
      <w:r>
        <w:rPr>
          <w:color w:val="000000"/>
        </w:rPr>
        <w:t xml:space="preserve"> </w:t>
      </w:r>
      <w:r>
        <w:rPr>
          <w:rFonts w:ascii="Times New Roman;serif" w:hAnsi="Times New Roman;serif"/>
          <w:b w:val="false"/>
          <w:color w:val="000000"/>
          <w:sz w:val="20"/>
        </w:rPr>
        <w:t>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61"/>
        <w:gridCol w:w="319"/>
        <w:gridCol w:w="320"/>
        <w:gridCol w:w="2694"/>
        <w:gridCol w:w="2694"/>
        <w:gridCol w:w="3817"/>
      </w:tblGrid>
      <w:tr>
        <w:trPr/>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w:t>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Changes in and Disagreements With Accountants on Accounting and Financial Disclosure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center"/>
        <w:tblInd w:w="0" w:type="dxa"/>
        <w:tblLayout w:type="fixed"/>
        <w:tblCellMar>
          <w:top w:w="28" w:type="dxa"/>
          <w:left w:w="28" w:type="dxa"/>
          <w:bottom w:w="28" w:type="dxa"/>
          <w:right w:w="28" w:type="dxa"/>
        </w:tblCellMar>
      </w:tblPr>
      <w:tblGrid>
        <w:gridCol w:w="428"/>
        <w:gridCol w:w="377"/>
        <w:gridCol w:w="379"/>
        <w:gridCol w:w="790"/>
        <w:gridCol w:w="790"/>
        <w:gridCol w:w="1120"/>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9A.</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Controls and Procedures</w:t>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Inc.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VICI’s management has evaluated, under the supervision and with the participation of VICI’s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VICI’s management is responsible for establishing and maintaining adequate internal control over financial reporting (as defined in Rules 13a-15(f) and 15d-15(f) under the Exchange Act). VICI’s internal control over financial reporting is a process designed under the supervision of its principal executive officer and principal financial officer to provide reasonable assurance regarding the reliability of financial reporting and the preparation of VICI’s consolidated financial statements for external reporting purposes in accordance with GAAP.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 expenditures are being made only in accordance with authorizations of VICI management; and provide reasonable assurance regarding prevention or timely detection of unauthorized acquisition, use or disposition of assets that could have a material effect on VICI’s consolidated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VICI’s management conducted an assessment of the effectiveness of its internal control over financial reporting as of December 31, 2025 based on the framework established in the updated Internal Control – Integrated Framework (2013) issued by the Committee of Sponsoring Organizations of the Treadway Commission (COSO). Based on this assessment, management has determined that VICI’s internal control over financial reporting was effective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Attestation Report of the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has audited VICI’s financial statements included in this report on Form 10-K and issued its attestation report, which is included herein and expresses an unqualified opinion on the effectiveness of VICI’s internal control over financial reporting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VICI’s internal control over financial reporting (as defined in Rules 13a-15(f) and 15d-15(f) under the Exchange Act) that occurred during the three months ended December 31, 2025, that have materially affected, or are reasonably likely to materially affect, VICI’s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L.P.</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its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is responsible for establishing and maintaining adequate internal control over financial reporting (as defined in Rules 13a-15(f) and 15d-15(f) under the Exchange Act). VICI LP’s internal control over financial reporting is a process designed under the supervision of its principal executive officer and principal financial officer to provide reasonable assurance regarding the reliability of financial reporting and the preparation of VICI LP’s consolidated financial statements for external reporting purposes in accordance with GAAP.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LP’s management; and provide reasonable assurance regarding prevention or timely detection of unauthorized acquisition, use or disposition of assets that could have a material effect on VICI LP’s consolidated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conducted an assessment of the effectiveness of our internal control over financial reporting as of December 31, 2025 based on the framework established in the updated Internal Control – Integrated Framework (2013) issued by the Committee of Sponsoring Organizations of the Treadway Commission (COSO). Based on this assessment, management has determined that VICI LP’s internal control over financial reporting was effective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Attestation Report of the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has audited VICI LP’s financial statements included in this report on Form 10-K and issued its attestation report, which is included herein and expresses an unqualified opinion on the effectiveness of VICI LP’s internal control over financial reporting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 LP’s internal control over financial reporting (as defined in Rules 13a-15(f) and 15d-15(f) under the Exchange Act) that occurred during the three months ended December 31, 2025,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10" w:type="dxa"/>
        <w:jc w:val="center"/>
        <w:tblInd w:w="0" w:type="dxa"/>
        <w:tblLayout w:type="fixed"/>
        <w:tblCellMar>
          <w:top w:w="28" w:type="dxa"/>
          <w:left w:w="28" w:type="dxa"/>
          <w:bottom w:w="28" w:type="dxa"/>
          <w:right w:w="28" w:type="dxa"/>
        </w:tblCellMar>
      </w:tblPr>
      <w:tblGrid>
        <w:gridCol w:w="423"/>
        <w:gridCol w:w="373"/>
        <w:gridCol w:w="374"/>
        <w:gridCol w:w="597"/>
        <w:gridCol w:w="597"/>
        <w:gridCol w:w="846"/>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9B.</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Information</w:t>
            </w:r>
          </w:p>
        </w:tc>
      </w:tr>
    </w:tbl>
    <w:p>
      <w:pPr>
        <w:pStyle w:val="TextBody"/>
        <w:bidi w:val="0"/>
        <w:spacing w:lineRule="auto" w:line="288" w:before="180" w:after="283"/>
        <w:jc w:val="both"/>
        <w:rPr/>
      </w:pPr>
      <w:r>
        <w:rPr>
          <w:rFonts w:ascii="Times New Roman;serif" w:hAnsi="Times New Roman;serif"/>
          <w:b/>
          <w:i/>
          <w:color w:val="000000"/>
          <w:sz w:val="20"/>
        </w:rPr>
        <w:t xml:space="preserve">Rule 10b5-1 Trading Arrangements. </w:t>
      </w:r>
      <w:r>
        <w:rPr>
          <w:rFonts w:ascii="Times New Roman;serif" w:hAnsi="Times New Roman;serif"/>
          <w:b w:val="false"/>
          <w:color w:val="000000"/>
          <w:sz w:val="20"/>
        </w:rPr>
        <w:t xml:space="preserve">During the three months ended December 31, 2025, no director or officer of the Company adopted or terminated a “Rule 10b5-1 trading arrangement” or “non-Rule 10b5-1 trading arrangement,” as each term is defined in Item 408(a) of Regulation 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information is being disclosed pursuant to General Instruction B.3 to Form 8-K in lieu of filing a separate Form 8-K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Appointment of Certain Officers; Compensatory Arrangements of Certain Officers.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Appointment of New Chief Accounting Officer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24, 2026, the Board of Directors approved the appointment of Jeremy L. Waxman, the Company’s Vice President, Accounting and Administration, to serve as the Company’s Vice President, Chief Accounting Officer (and principal accounting officer) effective as of March 1,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Mr. Waxman, 38, has been employed by the Company for more than seven years and has served in his current role since October 1, 2023. He previously served as the Company’s Vice President, Accounting from March 1, 2020 to October 1, 2023, and served as Director of Accounting from June 25, 2018 to March 1, 2020. Prior to joining the Company, Mr. Waxman served in the real estate assurance practice at Ernst &amp; Young for more than eight years beginning in January 2011, most recently as a Senior Manager, where he worked with a diverse group of public and private real estate companies addressing a range of audit, internal control, and complex accounting issues. Mr. Waxman is licensed as a Certified Public Accountant in New York and received his Masters in Accounting and his B.S., Business, Accounting from Miami University of Ohio.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Waxman and any other persons pursuant to which he was selected as the Company’s Chief Accounting Officer. There are no family relationships between Mr. Waxman and the executive officers or directors of the Company and no transactions that would require disclosure under Item 404(a) of Regulation S-K. There was no material amendment to any material plan, contract, or arrangement with respect to Mr. Waxman’s compensation in connection with his appointment.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Upon the effectiveness of Mr. Waxman’s appointment on March 1, 2026, Gabriel F. Wasserman will cease serving in his capacity as the Company’s Chief Accounting Officer (and principal accounting officer) and will remain with the Company in an expanded role as Managing Director, Business Development and VICI Experiential Credit Solutions.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Amended and Restated Employment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25, 2026, the Company and VICI LP entered into amended and restated employment agreements with each of the Company’s named executive officers: Edward B. Pitoniak (the Company’s Chief Executive Officer), John W.R. Payne (the Company’s President and Chief Operating Officer), David A. Kieske (the Company’s Executive Vice President, Chief Financial Officer and Treasurer), and Samantha S. Gallagher (the Company’s Executive Vice President, General Counsel and Secretary) (each, an “Amended and Restated Employment Agreement” and, together, the “Amended and Restated Employment Agreements”).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Employment Agreements are substantially similar to the named executive officers’ prior employment agreements, as described in the Company’s Definitive Proxy Statement filed with the Securities and Exchange Commission on March 17, 2025 (together, the “Prior Employment Agreements”), but reflect several updates, including: (i) removal of the fixed term in the Prior Employment Agreements and related non-renewal (and severance upon non-renewal) provisions, (ii) clarification that no annual equity award will be made to a named executive officer if notice of his or her retirement (or other termination) has been given before the annual grant date, and (iii) application of a 12-month non-competition and non-solicitation covenants following any cessation of employment (as compared to shorter periods that in certain cases could have applied under the Prior Employment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the annual base salaries, target annual bonus opportunities and maximum annual bonus opportunities under the Amended and Restated Employment Agreements are updated to reflect those in effect for the 2026 compensation year for Messrs. Pitoniak, Payne, Kieske and Ms. Gallagher, which are: (a) annual base salaries of $1,000,000, $1,200,000, $670,000, and $648,000, respectively; (b) target annual bonus opportunities (as a percentage of base salary) of 225%, 135%, 150%, and 150%, respectively; and (c) maximum annual bonus opportunities (as a percentage of base salary) of 450%, 270%, 300%, and 300%,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Except for items that are personal to an executive (such as title/role, annual base salary, target and maximum annual bonus opportunities and severance multiple), each named executive officer’s Amended and Restated Employment Agreement is substantially identical to the other named executive officers’ Amended and Restated Employment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Amended and Restated Employment Agreement is effective as of February 25, 2026 and will continue in effect until the executive’s employment is terminated in accordance with the terms of the agreement.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Employment Agreements is summary in nature, does not purport to be complete and is subject to, and qualified in its entirety by reference to, the complete text of the Amended and Restated Employment Agreements, which are attached hereto as Exhibits 10.39, 10.40, 10.41 and 10.42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49" w:type="dxa"/>
        <w:jc w:val="center"/>
        <w:tblInd w:w="0" w:type="dxa"/>
        <w:tblLayout w:type="fixed"/>
        <w:tblCellMar>
          <w:top w:w="28" w:type="dxa"/>
          <w:left w:w="28" w:type="dxa"/>
          <w:bottom w:w="28" w:type="dxa"/>
          <w:right w:w="28" w:type="dxa"/>
        </w:tblCellMar>
      </w:tblPr>
      <w:tblGrid>
        <w:gridCol w:w="428"/>
        <w:gridCol w:w="377"/>
        <w:gridCol w:w="379"/>
        <w:gridCol w:w="2069"/>
        <w:gridCol w:w="2069"/>
        <w:gridCol w:w="292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9C.</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Disclosure Regarding Foreign Jurisdictions that Prevent Inspections</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49" w:type="dxa"/>
        <w:jc w:val="center"/>
        <w:tblInd w:w="0" w:type="dxa"/>
        <w:tblLayout w:type="fixed"/>
        <w:tblCellMar>
          <w:top w:w="28" w:type="dxa"/>
          <w:left w:w="28" w:type="dxa"/>
          <w:bottom w:w="28" w:type="dxa"/>
          <w:right w:w="28" w:type="dxa"/>
        </w:tblCellMar>
      </w:tblPr>
      <w:tblGrid>
        <w:gridCol w:w="407"/>
        <w:gridCol w:w="358"/>
        <w:gridCol w:w="360"/>
        <w:gridCol w:w="1733"/>
        <w:gridCol w:w="1733"/>
        <w:gridCol w:w="245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10.</w:t>
            </w:r>
          </w:p>
        </w:tc>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Directors, Executive Officers and Corporate Governance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Company’s definitive proxy statement to be filed not later than April 30, 2026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95" w:type="dxa"/>
        <w:jc w:val="center"/>
        <w:tblInd w:w="0" w:type="dxa"/>
        <w:tblLayout w:type="fixed"/>
        <w:tblCellMar>
          <w:top w:w="28" w:type="dxa"/>
          <w:left w:w="28" w:type="dxa"/>
          <w:bottom w:w="28" w:type="dxa"/>
          <w:right w:w="28" w:type="dxa"/>
        </w:tblCellMar>
      </w:tblPr>
      <w:tblGrid>
        <w:gridCol w:w="407"/>
        <w:gridCol w:w="358"/>
        <w:gridCol w:w="360"/>
        <w:gridCol w:w="781"/>
        <w:gridCol w:w="781"/>
        <w:gridCol w:w="110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11.</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 Compensation</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Company’s definitive proxy statement to be filed not later than April 30, 2026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87"/>
        <w:gridCol w:w="341"/>
        <w:gridCol w:w="343"/>
        <w:gridCol w:w="2673"/>
        <w:gridCol w:w="2673"/>
        <w:gridCol w:w="3788"/>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12.</w:t>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Security Ownership of Certain Beneficial Owners and Management and Related Stockholder Matters</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Company’s definitive proxy statement to be filed not later than April 30, 2026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9" w:type="dxa"/>
        <w:jc w:val="center"/>
        <w:tblInd w:w="0" w:type="dxa"/>
        <w:tblLayout w:type="fixed"/>
        <w:tblCellMar>
          <w:top w:w="28" w:type="dxa"/>
          <w:left w:w="28" w:type="dxa"/>
          <w:bottom w:w="28" w:type="dxa"/>
          <w:right w:w="28" w:type="dxa"/>
        </w:tblCellMar>
      </w:tblPr>
      <w:tblGrid>
        <w:gridCol w:w="407"/>
        <w:gridCol w:w="358"/>
        <w:gridCol w:w="360"/>
        <w:gridCol w:w="2303"/>
        <w:gridCol w:w="2303"/>
        <w:gridCol w:w="326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13.</w:t>
            </w:r>
          </w:p>
        </w:tc>
        <w:tc>
          <w:tcPr>
            <w:tcW w:w="7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Certain Relationships and Related Transactions and Director Independence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Company’s definitive proxy statement to be filed not later than April 30, 2026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94" w:type="dxa"/>
        <w:jc w:val="center"/>
        <w:tblInd w:w="0" w:type="dxa"/>
        <w:tblLayout w:type="fixed"/>
        <w:tblCellMar>
          <w:top w:w="28" w:type="dxa"/>
          <w:left w:w="28" w:type="dxa"/>
          <w:bottom w:w="28" w:type="dxa"/>
          <w:right w:w="28" w:type="dxa"/>
        </w:tblCellMar>
      </w:tblPr>
      <w:tblGrid>
        <w:gridCol w:w="407"/>
        <w:gridCol w:w="358"/>
        <w:gridCol w:w="360"/>
        <w:gridCol w:w="1220"/>
        <w:gridCol w:w="1220"/>
        <w:gridCol w:w="172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Principal Accountant Fees and Services</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Company’s definitive proxy statement to be filed not later than April 30, 2026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6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14" w:type="dxa"/>
        <w:jc w:val="center"/>
        <w:tblInd w:w="0" w:type="dxa"/>
        <w:tblLayout w:type="fixed"/>
        <w:tblCellMar>
          <w:top w:w="28" w:type="dxa"/>
          <w:left w:w="28" w:type="dxa"/>
          <w:bottom w:w="28" w:type="dxa"/>
          <w:right w:w="28" w:type="dxa"/>
        </w:tblCellMar>
      </w:tblPr>
      <w:tblGrid>
        <w:gridCol w:w="407"/>
        <w:gridCol w:w="358"/>
        <w:gridCol w:w="360"/>
        <w:gridCol w:w="1344"/>
        <w:gridCol w:w="1344"/>
        <w:gridCol w:w="1901"/>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15.</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Exhibits and Financial Statement Schedules</w:t>
            </w:r>
          </w:p>
        </w:tc>
      </w:tr>
    </w:tbl>
    <w:p>
      <w:pPr>
        <w:pStyle w:val="TextBody"/>
        <w:bidi w:val="0"/>
        <w:spacing w:lineRule="auto" w:line="288" w:before="180" w:after="283"/>
        <w:jc w:val="left"/>
        <w:rPr/>
      </w:pPr>
      <w:r>
        <w:rPr>
          <w:rFonts w:ascii="Times New Roman;serif" w:hAnsi="Times New Roman;serif"/>
          <w:b w:val="false"/>
          <w:color w:val="000000"/>
          <w:sz w:val="20"/>
        </w:rPr>
        <w:t xml:space="preserve">(a)(1).     </w:t>
      </w:r>
      <w:r>
        <w:rPr>
          <w:rFonts w:ascii="Times New Roman;serif" w:hAnsi="Times New Roman;serif"/>
          <w:b/>
          <w:color w:val="000000"/>
          <w:sz w:val="20"/>
        </w:rPr>
        <w:t>Financial Statements.</w:t>
      </w:r>
    </w:p>
    <w:p>
      <w:pPr>
        <w:pStyle w:val="TextBody"/>
        <w:bidi w:val="0"/>
        <w:spacing w:lineRule="auto" w:line="288" w:before="180" w:after="283"/>
        <w:jc w:val="both"/>
        <w:rPr/>
      </w:pPr>
      <w:r>
        <w:rPr>
          <w:rFonts w:ascii="Times New Roman;serif" w:hAnsi="Times New Roman;serif"/>
          <w:b w:val="false"/>
          <w:color w:val="000000"/>
          <w:sz w:val="20"/>
        </w:rPr>
        <w:t xml:space="preserve">See the accompanying </w:t>
      </w:r>
      <w:hyperlink w:anchor="i368d3c19aa9d44c4a3d1ba3257c0bdcf_109">
        <w:r>
          <w:rPr>
            <w:rStyle w:val="InternetLink"/>
            <w:rFonts w:ascii="Times New Roman;serif" w:hAnsi="Times New Roman;serif"/>
            <w:b w:val="false"/>
            <w:color w:val="0000FF"/>
            <w:sz w:val="20"/>
            <w:u w:val="single"/>
          </w:rPr>
          <w:t>Index to Consolidated Financial Statements and Schedules</w:t>
        </w:r>
      </w:hyperlink>
      <w:r>
        <w:rPr>
          <w:color w:val="000000"/>
        </w:rPr>
        <w:t> </w:t>
      </w:r>
      <w:r>
        <w:rPr>
          <w:rFonts w:ascii="Times New Roman;serif" w:hAnsi="Times New Roman;serif"/>
          <w:b w:val="false"/>
          <w:color w:val="000000"/>
          <w:sz w:val="20"/>
        </w:rPr>
        <w:t>on page F-1.</w:t>
      </w:r>
    </w:p>
    <w:p>
      <w:pPr>
        <w:pStyle w:val="TextBody"/>
        <w:bidi w:val="0"/>
        <w:spacing w:lineRule="auto" w:line="288" w:before="180" w:after="283"/>
        <w:jc w:val="left"/>
        <w:rPr/>
      </w:pPr>
      <w:r>
        <w:rPr>
          <w:rFonts w:ascii="Times New Roman;serif" w:hAnsi="Times New Roman;serif"/>
          <w:b w:val="false"/>
          <w:color w:val="000000"/>
          <w:sz w:val="20"/>
        </w:rPr>
        <w:t xml:space="preserve">(a)(2).     </w:t>
      </w:r>
      <w:r>
        <w:rPr>
          <w:rFonts w:ascii="Times New Roman;serif" w:hAnsi="Times New Roman;serif"/>
          <w:b/>
          <w:color w:val="000000"/>
          <w:sz w:val="20"/>
        </w:rPr>
        <w:t>Financial Statement Schedules.</w:t>
      </w:r>
    </w:p>
    <w:p>
      <w:pPr>
        <w:pStyle w:val="TextBody"/>
        <w:bidi w:val="0"/>
        <w:spacing w:lineRule="auto" w:line="288" w:before="180" w:after="283"/>
        <w:jc w:val="both"/>
        <w:rPr/>
      </w:pPr>
      <w:r>
        <w:rPr>
          <w:rFonts w:ascii="Times New Roman;serif" w:hAnsi="Times New Roman;serif"/>
          <w:b w:val="false"/>
          <w:color w:val="000000"/>
          <w:sz w:val="20"/>
        </w:rPr>
        <w:t xml:space="preserve">See the accompanying </w:t>
      </w:r>
      <w:hyperlink w:anchor="i368d3c19aa9d44c4a3d1ba3257c0bdcf_109">
        <w:r>
          <w:rPr>
            <w:rStyle w:val="InternetLink"/>
            <w:rFonts w:ascii="Times New Roman;serif" w:hAnsi="Times New Roman;serif"/>
            <w:b w:val="false"/>
            <w:color w:val="0000FF"/>
            <w:sz w:val="20"/>
            <w:u w:val="single"/>
          </w:rPr>
          <w:t>Index to Consolidated Financial Statements and Schedules</w:t>
        </w:r>
      </w:hyperlink>
      <w:r>
        <w:rPr>
          <w:color w:val="000000"/>
        </w:rPr>
        <w:t> </w:t>
      </w:r>
      <w:r>
        <w:rPr>
          <w:rFonts w:ascii="Times New Roman;serif" w:hAnsi="Times New Roman;serif"/>
          <w:b w:val="false"/>
          <w:color w:val="000000"/>
          <w:sz w:val="20"/>
        </w:rPr>
        <w:t>on page F-1.</w:t>
      </w:r>
    </w:p>
    <w:p>
      <w:pPr>
        <w:pStyle w:val="TextBody"/>
        <w:bidi w:val="0"/>
        <w:spacing w:lineRule="auto" w:line="288" w:before="180" w:after="283"/>
        <w:jc w:val="left"/>
        <w:rPr/>
      </w:pPr>
      <w:r>
        <w:rPr>
          <w:rFonts w:ascii="Times New Roman;serif" w:hAnsi="Times New Roman;serif"/>
          <w:b w:val="false"/>
          <w:color w:val="000000"/>
          <w:sz w:val="20"/>
        </w:rPr>
        <w:t xml:space="preserve">(a)(3).     </w:t>
      </w:r>
      <w:r>
        <w:rPr>
          <w:rFonts w:ascii="Times New Roman;serif" w:hAnsi="Times New Roman;serif"/>
          <w:b/>
          <w:color w:val="000000"/>
          <w:sz w:val="20"/>
        </w:rPr>
        <w:t>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10"/>
        <w:gridCol w:w="1584"/>
        <w:gridCol w:w="1590"/>
        <w:gridCol w:w="109"/>
        <w:gridCol w:w="109"/>
        <w:gridCol w:w="109"/>
        <w:gridCol w:w="293"/>
        <w:gridCol w:w="293"/>
        <w:gridCol w:w="294"/>
        <w:gridCol w:w="109"/>
        <w:gridCol w:w="109"/>
        <w:gridCol w:w="109"/>
        <w:gridCol w:w="170"/>
        <w:gridCol w:w="170"/>
        <w:gridCol w:w="171"/>
        <w:gridCol w:w="115"/>
        <w:gridCol w:w="115"/>
        <w:gridCol w:w="115"/>
        <w:gridCol w:w="210"/>
        <w:gridCol w:w="210"/>
        <w:gridCol w:w="211"/>
        <w:gridCol w:w="115"/>
        <w:gridCol w:w="115"/>
        <w:gridCol w:w="115"/>
        <w:gridCol w:w="219"/>
        <w:gridCol w:w="219"/>
        <w:gridCol w:w="220"/>
        <w:gridCol w:w="1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10/11/2017</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Articles of Amendment to the 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3/3/2021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Articles of Amendment to the 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9/14/2021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and Restated Bylaws of VICI Properties Inc. (as amended December 19,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4.250% Senior Notes Indenture, dated as of November 26, 2019,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11/26/2019</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Supplemental Indenture, dated as of April 29, 2022, to the Indenture dated as of November 26, 2019,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4.625% Senior Notes Indenture, dated as of November 26, 2019,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11/26/2019</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Supplemental Indenture, dated as of April 29, 2022, to the Indenture dated as of November 26, 2019,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3.750% Senior Notes Indenture, dated as of February 5, 2020,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2/5/2020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Supplemental Indenture, dated as of April 29, 2022, to the Indenture dated as of February 5, 2020,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4.125% Senior Notes Indenture, dated as of February 5, 2020,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2/5/2020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Supplemental Indenture, dated as of April 29, 2022, to the Indenture dated as of February 5, 2020,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Indenture, dated as of April 29, 2022,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033"/>
        <w:gridCol w:w="2033"/>
        <w:gridCol w:w="2037"/>
        <w:gridCol w:w="109"/>
        <w:gridCol w:w="109"/>
        <w:gridCol w:w="109"/>
        <w:gridCol w:w="109"/>
        <w:gridCol w:w="109"/>
        <w:gridCol w:w="109"/>
        <w:gridCol w:w="109"/>
        <w:gridCol w:w="109"/>
        <w:gridCol w:w="109"/>
        <w:gridCol w:w="116"/>
        <w:gridCol w:w="116"/>
        <w:gridCol w:w="116"/>
        <w:gridCol w:w="109"/>
        <w:gridCol w:w="109"/>
        <w:gridCol w:w="109"/>
        <w:gridCol w:w="154"/>
        <w:gridCol w:w="154"/>
        <w:gridCol w:w="158"/>
        <w:gridCol w:w="109"/>
        <w:gridCol w:w="109"/>
        <w:gridCol w:w="109"/>
        <w:gridCol w:w="228"/>
        <w:gridCol w:w="228"/>
        <w:gridCol w:w="230"/>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First Supplemental Indenture, dated as of April 29, 2022,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Second Supplemental Indenture, dated as of March 18, 2024,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20"/>
                  <w:u w:val="single"/>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Third Supplemental Indenture, dated as of December 19, 2024,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12/19/2024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20"/>
                  <w:u w:val="single"/>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Fourth Supplemental Indenture, dated as of April 7, 2025,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80"/>
                  <w:sz w:val="20"/>
                  <w:u w:val="single"/>
                </w:rPr>
                <w:t>4.</w:t>
              </w:r>
            </w:hyperlink>
            <w:hyperlink r:id="rId40">
              <w:r>
                <w:rPr>
                  <w:rStyle w:val="InternetLink"/>
                  <w:rFonts w:ascii="Times New Roman;serif" w:hAnsi="Times New Roman;serif"/>
                  <w:b w:val="false"/>
                  <w:color w:val="000080"/>
                  <w:sz w:val="20"/>
                  <w:u w:val="single"/>
                </w:rPr>
                <w:t>1</w:t>
              </w:r>
            </w:hyperlink>
            <w:hyperlink r:id="rId41">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Global Note representing the 4.750% Senior Notes due 2028 (included in Exhibit 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80"/>
                  <w:sz w:val="20"/>
                  <w:u w:val="single"/>
                </w:rPr>
                <w:t>4.</w:t>
              </w:r>
            </w:hyperlink>
            <w:hyperlink r:id="rId44">
              <w:r>
                <w:rPr>
                  <w:rStyle w:val="InternetLink"/>
                  <w:rFonts w:ascii="Times New Roman;serif" w:hAnsi="Times New Roman;serif"/>
                  <w:b w:val="false"/>
                  <w:color w:val="000080"/>
                  <w:sz w:val="20"/>
                  <w:u w:val="single"/>
                </w:rPr>
                <w:t>1</w:t>
              </w:r>
            </w:hyperlink>
            <w:hyperlink r:id="rId45">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Form of Global Note representing the 4.950% Senior Notes due 2030 (included in Exhibit 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80"/>
                  <w:sz w:val="20"/>
                  <w:u w:val="single"/>
                </w:rPr>
                <w:t>4.</w:t>
              </w:r>
            </w:hyperlink>
            <w:hyperlink r:id="rId48">
              <w:r>
                <w:rPr>
                  <w:rStyle w:val="InternetLink"/>
                  <w:rFonts w:ascii="Times New Roman;serif" w:hAnsi="Times New Roman;serif"/>
                  <w:b w:val="false"/>
                  <w:color w:val="000080"/>
                  <w:sz w:val="20"/>
                  <w:u w:val="single"/>
                </w:rPr>
                <w:t>1</w:t>
              </w:r>
            </w:hyperlink>
            <w:hyperlink r:id="rId49">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Form of Global Note representing the 5.125% Senior Notes due 2032 (included in Exhibit 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80"/>
                  <w:sz w:val="20"/>
                  <w:u w:val="single"/>
                </w:rPr>
                <w:t>4.1</w:t>
              </w:r>
            </w:hyperlink>
            <w:hyperlink r:id="rId52">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Form of Global Note representing the 5.625% Senior Notes due 2052 (included in Exhibit 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80"/>
                  <w:sz w:val="20"/>
                  <w:u w:val="single"/>
                </w:rPr>
                <w:t>4.1</w:t>
              </w:r>
            </w:hyperlink>
            <w:hyperlink r:id="rId55">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Form of Global Note representing the 5.750% Senior Notes due 2034 (included in Exhibit 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80"/>
                  <w:sz w:val="20"/>
                  <w:u w:val="single"/>
                </w:rPr>
                <w:t>4.</w:t>
              </w:r>
            </w:hyperlink>
            <w:hyperlink r:id="rId58">
              <w:r>
                <w:rPr>
                  <w:rStyle w:val="InternetLink"/>
                  <w:rFonts w:ascii="Times New Roman;serif" w:hAnsi="Times New Roman;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Form of Global Note representing the 6.125% Senior Notes due 2054 (included in Exhibit 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erif" w:hAnsi="Times New Roman;serif"/>
                  <w:b w:val="false"/>
                  <w:color w:val="000080"/>
                  <w:sz w:val="20"/>
                  <w:u w:val="single"/>
                </w:rPr>
                <w:t>4</w:t>
              </w:r>
            </w:hyperlink>
            <w:hyperlink r:id="rId61">
              <w:r>
                <w:rPr>
                  <w:rStyle w:val="InternetLink"/>
                  <w:rFonts w:ascii="Times New Roman;serif" w:hAnsi="Times New Roman;serif"/>
                  <w:b w:val="false"/>
                  <w:color w:val="000080"/>
                  <w:sz w:val="20"/>
                  <w:u w:val="single"/>
                </w:rPr>
                <w:t>.20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Form of Global Note representing the 5.125% Senior Notes due 2031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12/19/2024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erif" w:hAnsi="Times New Roman;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Form of Global Note representing the 4.750% Senior Notes due 2028 (included in Exhibit 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erif" w:hAnsi="Times New Roman;serif"/>
                  <w:b w:val="false"/>
                  <w:color w:val="0000FF"/>
                  <w:sz w:val="20"/>
                  <w:u w:val="single"/>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Form of Global Note representing the 5.625% Senior Notes due 2035 (included in Exhibit 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erif" w:hAnsi="Times New Roman;serif"/>
                  <w:b w:val="false"/>
                  <w:color w:val="000080"/>
                  <w:sz w:val="20"/>
                  <w:u w:val="single"/>
                </w:rPr>
                <w:t>4.</w:t>
              </w:r>
            </w:hyperlink>
            <w:hyperlink r:id="rId68">
              <w:r>
                <w:rPr>
                  <w:rStyle w:val="InternetLink"/>
                  <w:rFonts w:ascii="Times New Roman;serif" w:hAnsi="Times New Roman;serif"/>
                  <w:b w:val="false"/>
                  <w:color w:val="000080"/>
                  <w:sz w:val="20"/>
                  <w:u w:val="single"/>
                </w:rPr>
                <w:t>2</w:t>
              </w:r>
            </w:hyperlink>
            <w:hyperlink r:id="rId69">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Indenture, dated as of April 29, 2022, relating to the 4.500% Senior Notes due 2026,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80"/>
                  <w:sz w:val="20"/>
                  <w:u w:val="single"/>
                </w:rPr>
                <w:t>4.</w:t>
              </w:r>
            </w:hyperlink>
            <w:hyperlink r:id="rId72">
              <w:r>
                <w:rPr>
                  <w:rStyle w:val="InternetLink"/>
                  <w:rFonts w:ascii="Times New Roman;serif" w:hAnsi="Times New Roman;serif"/>
                  <w:b w:val="false"/>
                  <w:color w:val="000080"/>
                  <w:sz w:val="20"/>
                  <w:u w:val="single"/>
                </w:rPr>
                <w:t>2</w:t>
              </w:r>
            </w:hyperlink>
            <w:hyperlink r:id="rId73">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Indenture, dated as of April 29, 2022, relating to the 5.750% Senior Notes due 2027,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5">
              <w:r>
                <w:rPr>
                  <w:rStyle w:val="InternetLink"/>
                  <w:rFonts w:ascii="Times New Roman;serif" w:hAnsi="Times New Roman;serif"/>
                  <w:b w:val="false"/>
                  <w:color w:val="000080"/>
                  <w:sz w:val="20"/>
                  <w:u w:val="single"/>
                </w:rPr>
                <w:t>4.</w:t>
              </w:r>
            </w:hyperlink>
            <w:hyperlink r:id="rId76">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Indenture, dated as of April 29, 2022, relating to the 4.500% Senior Notes due 2028,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8">
              <w:r>
                <w:rPr>
                  <w:rStyle w:val="InternetLink"/>
                  <w:rFonts w:ascii="Times New Roman;serif" w:hAnsi="Times New Roman;serif"/>
                  <w:b w:val="false"/>
                  <w:color w:val="000080"/>
                  <w:sz w:val="20"/>
                  <w:u w:val="single"/>
                </w:rPr>
                <w:t>4.2</w:t>
              </w:r>
            </w:hyperlink>
            <w:hyperlink r:id="rId79">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Indenture, dated as of April 29, 2022, relating to the 3.875% Senior Notes due 2029,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1">
              <w:r>
                <w:rPr>
                  <w:rStyle w:val="InternetLink"/>
                  <w:rFonts w:ascii="Times New Roman;serif" w:hAnsi="Times New Roman;serif"/>
                  <w:b w:val="false"/>
                  <w:color w:val="000080"/>
                  <w:sz w:val="20"/>
                  <w:u w:val="single"/>
                </w:rPr>
                <w:t>4.</w:t>
              </w:r>
            </w:hyperlink>
            <w:hyperlink r:id="rId82">
              <w:r>
                <w:rPr>
                  <w:rStyle w:val="InternetLink"/>
                  <w:rFonts w:ascii="Times New Roman;serif" w:hAnsi="Times New Roman;serif"/>
                  <w:b w:val="false"/>
                  <w:color w:val="000080"/>
                  <w:sz w:val="20"/>
                  <w:u w:val="single"/>
                </w:rPr>
                <w:t>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80"/>
                  <w:sz w:val="20"/>
                  <w:u w:val="single"/>
                </w:rPr>
                <w:t>Form of Global Note representing the 4.500% Senior Notes due 2026 (included in Exhibit 4.2</w:t>
              </w:r>
            </w:hyperlink>
            <w:hyperlink r:id="rId84">
              <w:r>
                <w:rPr>
                  <w:rStyle w:val="InternetLink"/>
                  <w:rFonts w:ascii="Times New Roman;serif" w:hAnsi="Times New Roman;serif"/>
                  <w:b w:val="false"/>
                  <w:color w:val="000080"/>
                  <w:sz w:val="20"/>
                  <w:u w:val="single"/>
                </w:rPr>
                <w:t>3</w:t>
              </w:r>
            </w:hyperlink>
            <w:hyperlink r:id="rId8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Times New Roman;serif" w:hAnsi="Times New Roman;serif"/>
                  <w:b w:val="false"/>
                  <w:color w:val="000080"/>
                  <w:sz w:val="20"/>
                  <w:u w:val="single"/>
                </w:rPr>
                <w:t>4.</w:t>
              </w:r>
            </w:hyperlink>
            <w:hyperlink r:id="rId87">
              <w:r>
                <w:rPr>
                  <w:rStyle w:val="InternetLink"/>
                  <w:rFonts w:ascii="Times New Roman;serif" w:hAnsi="Times New Roman;serif"/>
                  <w:b w:val="false"/>
                  <w:color w:val="000080"/>
                  <w:sz w:val="20"/>
                  <w:u w:val="single"/>
                </w:rPr>
                <w:t>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80"/>
                  <w:sz w:val="20"/>
                  <w:u w:val="single"/>
                </w:rPr>
                <w:t>Form of Global Note representing the 5.750% Senior Notes due 2027 (included in Exhibit 4.2</w:t>
              </w:r>
            </w:hyperlink>
            <w:hyperlink r:id="rId89">
              <w:r>
                <w:rPr>
                  <w:rStyle w:val="InternetLink"/>
                  <w:rFonts w:ascii="Times New Roman;serif" w:hAnsi="Times New Roman;serif"/>
                  <w:b w:val="false"/>
                  <w:color w:val="000080"/>
                  <w:sz w:val="20"/>
                  <w:u w:val="single"/>
                </w:rPr>
                <w:t>4</w:t>
              </w:r>
            </w:hyperlink>
            <w:hyperlink r:id="rId9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1">
              <w:r>
                <w:rPr>
                  <w:rStyle w:val="InternetLink"/>
                  <w:rFonts w:ascii="Times New Roman;serif" w:hAnsi="Times New Roman;serif"/>
                  <w:b w:val="false"/>
                  <w:color w:val="000080"/>
                  <w:sz w:val="20"/>
                  <w:u w:val="single"/>
                </w:rPr>
                <w:t>4.</w:t>
              </w:r>
            </w:hyperlink>
            <w:hyperlink r:id="rId92">
              <w:r>
                <w:rPr>
                  <w:rStyle w:val="InternetLink"/>
                  <w:rFonts w:ascii="Times New Roman;serif" w:hAnsi="Times New Roman;serif"/>
                  <w:b w:val="false"/>
                  <w:color w:val="000080"/>
                  <w:sz w:val="20"/>
                  <w:u w:val="single"/>
                </w:rPr>
                <w:t>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80"/>
                  <w:sz w:val="20"/>
                  <w:u w:val="single"/>
                </w:rPr>
                <w:t>Form of Global Note representing the 4.500% Senior Notes due 2028 (included in Exhibit 4.2</w:t>
              </w:r>
            </w:hyperlink>
            <w:hyperlink r:id="rId94">
              <w:r>
                <w:rPr>
                  <w:rStyle w:val="InternetLink"/>
                  <w:rFonts w:ascii="Times New Roman;serif" w:hAnsi="Times New Roman;serif"/>
                  <w:b w:val="false"/>
                  <w:color w:val="000080"/>
                  <w:sz w:val="20"/>
                  <w:u w:val="single"/>
                </w:rPr>
                <w:t>5</w:t>
              </w:r>
            </w:hyperlink>
            <w:hyperlink r:id="rId9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erif" w:hAnsi="Times New Roman;serif"/>
                  <w:b w:val="false"/>
                  <w:color w:val="000080"/>
                  <w:sz w:val="20"/>
                  <w:u w:val="single"/>
                </w:rPr>
                <w:t>4.</w:t>
              </w:r>
            </w:hyperlink>
            <w:hyperlink r:id="rId97">
              <w:r>
                <w:rPr>
                  <w:rStyle w:val="InternetLink"/>
                  <w:rFonts w:ascii="Times New Roman;serif" w:hAnsi="Times New Roman;serif"/>
                  <w:b w:val="false"/>
                  <w:color w:val="000080"/>
                  <w:sz w:val="20"/>
                  <w:u w:val="single"/>
                </w:rPr>
                <w:t>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80"/>
                  <w:sz w:val="20"/>
                  <w:u w:val="single"/>
                </w:rPr>
                <w:t>Form of Global Note representing the 3.875% Senior Notes due 2029 (included in Exhibit 4.2</w:t>
              </w:r>
            </w:hyperlink>
            <w:hyperlink r:id="rId99">
              <w:r>
                <w:rPr>
                  <w:rStyle w:val="InternetLink"/>
                  <w:rFonts w:ascii="Times New Roman;serif" w:hAnsi="Times New Roman;serif"/>
                  <w:b w:val="false"/>
                  <w:color w:val="000080"/>
                  <w:sz w:val="20"/>
                  <w:u w:val="single"/>
                </w:rPr>
                <w:t>6</w:t>
              </w:r>
            </w:hyperlink>
            <w:hyperlink r:id="rId10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1">
              <w:r>
                <w:rPr>
                  <w:rStyle w:val="InternetLink"/>
                  <w:rFonts w:ascii="Times New Roman;serif" w:hAnsi="Times New Roman;serif"/>
                  <w:b w:val="false"/>
                  <w:color w:val="000080"/>
                  <w:sz w:val="20"/>
                  <w:u w:val="single"/>
                </w:rPr>
                <w:t>4.3</w:t>
              </w:r>
            </w:hyperlink>
            <w:hyperlink r:id="rId102">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Indenture, dated as of August 12, 2016,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8/12/2016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1"/>
        <w:gridCol w:w="159"/>
        <w:gridCol w:w="160"/>
        <w:gridCol w:w="109"/>
        <w:gridCol w:w="109"/>
        <w:gridCol w:w="109"/>
        <w:gridCol w:w="1990"/>
        <w:gridCol w:w="1990"/>
        <w:gridCol w:w="1995"/>
        <w:gridCol w:w="109"/>
        <w:gridCol w:w="109"/>
        <w:gridCol w:w="109"/>
        <w:gridCol w:w="109"/>
        <w:gridCol w:w="109"/>
        <w:gridCol w:w="109"/>
        <w:gridCol w:w="109"/>
        <w:gridCol w:w="109"/>
        <w:gridCol w:w="109"/>
        <w:gridCol w:w="142"/>
        <w:gridCol w:w="139"/>
        <w:gridCol w:w="121"/>
        <w:gridCol w:w="109"/>
        <w:gridCol w:w="109"/>
        <w:gridCol w:w="109"/>
        <w:gridCol w:w="188"/>
        <w:gridCol w:w="188"/>
        <w:gridCol w:w="195"/>
        <w:gridCol w:w="109"/>
        <w:gridCol w:w="109"/>
        <w:gridCol w:w="109"/>
        <w:gridCol w:w="211"/>
        <w:gridCol w:w="211"/>
        <w:gridCol w:w="213"/>
        <w:gridCol w:w="160"/>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4">
              <w:r>
                <w:rPr>
                  <w:rStyle w:val="InternetLink"/>
                  <w:rFonts w:ascii="Times New Roman;serif" w:hAnsi="Times New Roman;serif"/>
                  <w:b w:val="false"/>
                  <w:color w:val="000080"/>
                  <w:sz w:val="20"/>
                  <w:u w:val="single"/>
                </w:rPr>
                <w:t>4.3</w:t>
              </w:r>
            </w:hyperlink>
            <w:hyperlink r:id="rId105">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FF"/>
                  <w:sz w:val="20"/>
                  <w:u w:val="single"/>
                </w:rPr>
                <w:t>Seventh Supplemental Indenture, dated as of September 23, 2021, to the Indenture dated as of August 12, 2016,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7">
              <w:r>
                <w:rPr>
                  <w:rStyle w:val="InternetLink"/>
                  <w:rFonts w:ascii="Times New Roman;serif" w:hAnsi="Times New Roman;serif"/>
                  <w:b w:val="false"/>
                  <w:color w:val="000080"/>
                  <w:sz w:val="20"/>
                  <w:u w:val="single"/>
                </w:rPr>
                <w:t>4.</w:t>
              </w:r>
            </w:hyperlink>
            <w:hyperlink r:id="rId108">
              <w:r>
                <w:rPr>
                  <w:rStyle w:val="InternetLink"/>
                  <w:rFonts w:ascii="Times New Roman;serif" w:hAnsi="Times New Roman;serif"/>
                  <w:b w:val="false"/>
                  <w:color w:val="000080"/>
                  <w:sz w:val="20"/>
                  <w:u w:val="single"/>
                </w:rPr>
                <w:t>3</w:t>
              </w:r>
            </w:hyperlink>
            <w:hyperlink r:id="rId109">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80"/>
                  <w:sz w:val="20"/>
                  <w:u w:val="single"/>
                </w:rPr>
                <w:t xml:space="preserve">Indenture, dated as of January 25, 2019, among </w:t>
              </w:r>
            </w:hyperlink>
            <w:hyperlink r:id="rId111">
              <w:r>
                <w:rPr>
                  <w:rStyle w:val="InternetLink"/>
                  <w:rFonts w:ascii="Times New Roman;serif" w:hAnsi="Times New Roman;serif"/>
                  <w:b w:val="false"/>
                  <w:color w:val="000080"/>
                  <w:sz w:val="20"/>
                  <w:u w:val="single"/>
                </w:rPr>
                <w:t>MGM Growth Propertie</w:t>
              </w:r>
            </w:hyperlink>
            <w:hyperlink r:id="rId112">
              <w:r>
                <w:rPr>
                  <w:rStyle w:val="InternetLink"/>
                  <w:rFonts w:ascii="Times New Roman;serif" w:hAnsi="Times New Roman;serif"/>
                  <w:b w:val="false"/>
                  <w:color w:val="000080"/>
                  <w:sz w:val="20"/>
                  <w:u w:val="single"/>
                </w:rPr>
                <w:t>s</w:t>
              </w:r>
            </w:hyperlink>
            <w:hyperlink r:id="rId113">
              <w:r>
                <w:rPr>
                  <w:rStyle w:val="InternetLink"/>
                  <w:rFonts w:ascii="Times New Roman;serif" w:hAnsi="Times New Roman;serif"/>
                  <w:b w:val="false"/>
                  <w:color w:val="000080"/>
                  <w:sz w:val="20"/>
                  <w:u w:val="single"/>
                </w:rPr>
                <w:t xml:space="preserve">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4">
              <w:r>
                <w:rPr>
                  <w:rStyle w:val="InternetLink"/>
                  <w:rFonts w:ascii="Times New Roman;serif" w:hAnsi="Times New Roman;serif"/>
                  <w:b w:val="false"/>
                  <w:color w:val="000080"/>
                  <w:sz w:val="20"/>
                  <w:u w:val="single"/>
                </w:rPr>
                <w:t>4.3</w:t>
              </w:r>
            </w:hyperlink>
            <w:hyperlink r:id="rId115">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Times New Roman;serif" w:hAnsi="Times New Roman;serif"/>
                  <w:b w:val="false"/>
                  <w:color w:val="0000FF"/>
                  <w:sz w:val="20"/>
                  <w:u w:val="single"/>
                </w:rPr>
                <w:t>Seventh Supplemental Indenture, dated as of September 23, 2021, to the Indenture dated as of January 25, 2019,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7">
              <w:r>
                <w:rPr>
                  <w:rStyle w:val="InternetLink"/>
                  <w:rFonts w:ascii="Times New Roman;serif" w:hAnsi="Times New Roman;serif"/>
                  <w:b w:val="false"/>
                  <w:color w:val="000080"/>
                  <w:sz w:val="20"/>
                  <w:u w:val="single"/>
                </w:rPr>
                <w:t>4</w:t>
              </w:r>
            </w:hyperlink>
            <w:hyperlink r:id="rId118">
              <w:r>
                <w:rPr>
                  <w:rStyle w:val="InternetLink"/>
                  <w:rFonts w:ascii="Times New Roman;serif" w:hAnsi="Times New Roman;serif"/>
                  <w:b w:val="false"/>
                  <w:color w:val="000080"/>
                  <w:sz w:val="20"/>
                  <w:u w:val="single"/>
                </w:rPr>
                <w:t>.</w:t>
              </w:r>
            </w:hyperlink>
            <w:hyperlink r:id="rId119">
              <w:r>
                <w:rPr>
                  <w:rStyle w:val="InternetLink"/>
                  <w:rFonts w:ascii="Times New Roman;serif" w:hAnsi="Times New Roman;serif"/>
                  <w:b w:val="false"/>
                  <w:color w:val="000080"/>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erif" w:hAnsi="Times New Roman;serif"/>
                  <w:b w:val="false"/>
                  <w:color w:val="0000FF"/>
                  <w:sz w:val="20"/>
                  <w:u w:val="single"/>
                </w:rPr>
                <w:t>Indenture, dated as of September 21, 2017,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9/21/2017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1">
              <w:r>
                <w:rPr>
                  <w:rStyle w:val="InternetLink"/>
                  <w:rFonts w:ascii="Times New Roman;serif" w:hAnsi="Times New Roman;serif"/>
                  <w:b w:val="false"/>
                  <w:color w:val="000080"/>
                  <w:sz w:val="20"/>
                  <w:u w:val="single"/>
                </w:rPr>
                <w:t>4.</w:t>
              </w:r>
            </w:hyperlink>
            <w:hyperlink r:id="rId122">
              <w:r>
                <w:rPr>
                  <w:rStyle w:val="InternetLink"/>
                  <w:rFonts w:ascii="Times New Roman;serif" w:hAnsi="Times New Roman;serif"/>
                  <w:b w:val="false"/>
                  <w:color w:val="000080"/>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erif" w:hAnsi="Times New Roman;serif"/>
                  <w:b w:val="false"/>
                  <w:color w:val="0000FF"/>
                  <w:sz w:val="20"/>
                  <w:u w:val="single"/>
                </w:rPr>
                <w:t>Seventh Supplemental Indenture, dated as of September 23, 2021, to the Indenture dated as of September 21, 2017,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4">
              <w:r>
                <w:rPr>
                  <w:rStyle w:val="InternetLink"/>
                  <w:rFonts w:ascii="Times New Roman;serif" w:hAnsi="Times New Roman;serif"/>
                  <w:b w:val="false"/>
                  <w:color w:val="000080"/>
                  <w:sz w:val="20"/>
                  <w:u w:val="single"/>
                </w:rPr>
                <w:t>4.</w:t>
              </w:r>
            </w:hyperlink>
            <w:hyperlink r:id="rId125">
              <w:r>
                <w:rPr>
                  <w:rStyle w:val="InternetLink"/>
                  <w:rFonts w:ascii="Times New Roman;serif" w:hAnsi="Times New Roman;serif"/>
                  <w:b w:val="false"/>
                  <w:color w:val="000080"/>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Times New Roman;serif" w:hAnsi="Times New Roman;serif"/>
                  <w:b w:val="false"/>
                  <w:color w:val="0000FF"/>
                  <w:sz w:val="20"/>
                  <w:u w:val="single"/>
                </w:rPr>
                <w:t>Indenture, dated as of November 19, 2020, among MGM Growth Properties Operating Partnership LP, MGP Finance Co-Issuer, Inc., the Subsidiary Guarantors named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7">
              <w:r>
                <w:rPr>
                  <w:rStyle w:val="InternetLink"/>
                  <w:rFonts w:ascii="Times New Roman;serif" w:hAnsi="Times New Roman;serif"/>
                  <w:b w:val="false"/>
                  <w:color w:val="000080"/>
                  <w:sz w:val="20"/>
                  <w:u w:val="single"/>
                </w:rPr>
                <w:t>4</w:t>
              </w:r>
            </w:hyperlink>
            <w:hyperlink r:id="rId128">
              <w:r>
                <w:rPr>
                  <w:rStyle w:val="InternetLink"/>
                  <w:rFonts w:ascii="Times New Roman;serif" w:hAnsi="Times New Roman;serif"/>
                  <w:b w:val="false"/>
                  <w:color w:val="000080"/>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erif" w:hAnsi="Times New Roman;serif"/>
                  <w:b w:val="false"/>
                  <w:color w:val="0000FF"/>
                  <w:sz w:val="20"/>
                  <w:u w:val="single"/>
                </w:rPr>
                <w:t>First Supplemental Indenture, dated as of September 23, 2021, to the Indenture dated as of November 19, 2020,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descriptionofregisteredsec.htm">
              <w:r>
                <w:rPr>
                  <w:rStyle w:val="InternetLink"/>
                  <w:rFonts w:ascii="Times New Roman;serif" w:hAnsi="Times New Roman;serif"/>
                  <w:b w:val="false"/>
                  <w:color w:val="000080"/>
                  <w:sz w:val="20"/>
                  <w:u w:val="single"/>
                </w:rPr>
                <w:t>4</w:t>
              </w:r>
            </w:hyperlink>
            <w:hyperlink w:anchor="descriptionofregisteredsec.htm">
              <w:r>
                <w:rPr>
                  <w:rStyle w:val="InternetLink"/>
                  <w:rFonts w:ascii="Times New Roman;serif" w:hAnsi="Times New Roman;serif"/>
                  <w:b w:val="false"/>
                  <w:color w:val="000080"/>
                  <w:sz w:val="20"/>
                  <w:u w:val="single"/>
                </w:rPr>
                <w:t>.39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scriptionofregisteredsec.htm">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0">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Times New Roman;serif" w:hAnsi="Times New Roman;serif"/>
                  <w:b w:val="false"/>
                  <w:color w:val="0000FF"/>
                  <w:sz w:val="20"/>
                  <w:u w:val="single"/>
                </w:rPr>
                <w:t>Las Vegas Lease (Conformed through Second Amendment), dated as of July 20, 2020, by and among CPLV Property Owner LLC and Claudine Propco LLC as Landlord and, Desert Palace LLC, CEOC, LLC and Harrah’s Las Vegas LLC as Tenant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2">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erif" w:hAnsi="Times New Roman;serif"/>
                  <w:b w:val="false"/>
                  <w:color w:val="0000FF"/>
                  <w:sz w:val="20"/>
                  <w:u w:val="single"/>
                </w:rPr>
                <w:t>Third Amendment to Las Vegas Lease, dated as of September 30, 2020,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4">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erif" w:hAnsi="Times New Roman;serif"/>
                  <w:b w:val="false"/>
                  <w:color w:val="0000FF"/>
                  <w:sz w:val="20"/>
                  <w:u w:val="single"/>
                </w:rPr>
                <w:t>Fourth Amendment to Las Vegas Lease, dated as of November 18, 2020,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6">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Times New Roman;serif" w:hAnsi="Times New Roman;serif"/>
                  <w:b w:val="false"/>
                  <w:color w:val="0000FF"/>
                  <w:sz w:val="20"/>
                  <w:u w:val="single"/>
                </w:rPr>
                <w:t>Fifth Amendment to Las Vegas Lease, dated as of September 3, 2021,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10/27/2021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8">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9">
              <w:r>
                <w:rPr>
                  <w:rStyle w:val="InternetLink"/>
                  <w:rFonts w:ascii="Times New Roman;serif" w:hAnsi="Times New Roman;serif"/>
                  <w:b w:val="false"/>
                  <w:color w:val="0000FF"/>
                  <w:sz w:val="20"/>
                  <w:u w:val="single"/>
                </w:rPr>
                <w:t>Sixth Amendment to Las Vegas Lease, dated as of November 1, 2021,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0">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1">
              <w:r>
                <w:rPr>
                  <w:rStyle w:val="InternetLink"/>
                  <w:rFonts w:ascii="Times New Roman;serif" w:hAnsi="Times New Roman;serif"/>
                  <w:b w:val="false"/>
                  <w:color w:val="0000FF"/>
                  <w:sz w:val="20"/>
                  <w:u w:val="single"/>
                </w:rPr>
                <w:t>Regional Lease (Conformed through Fifth Amendment), dated as of July 20, 2020, by and among the entities listed on Schedules A and B thereto and CEOC,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2">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3">
              <w:r>
                <w:rPr>
                  <w:rStyle w:val="InternetLink"/>
                  <w:rFonts w:ascii="Times New Roman;serif" w:hAnsi="Times New Roman;serif"/>
                  <w:b w:val="false"/>
                  <w:color w:val="0000FF"/>
                  <w:sz w:val="20"/>
                  <w:u w:val="single"/>
                </w:rPr>
                <w:t>Sixth Amendment to Regional Lease, dated as of September 30, 2020,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3"/>
        <w:gridCol w:w="196"/>
        <w:gridCol w:w="109"/>
        <w:gridCol w:w="109"/>
        <w:gridCol w:w="109"/>
        <w:gridCol w:w="2062"/>
        <w:gridCol w:w="1897"/>
        <w:gridCol w:w="1902"/>
        <w:gridCol w:w="109"/>
        <w:gridCol w:w="109"/>
        <w:gridCol w:w="109"/>
        <w:gridCol w:w="109"/>
        <w:gridCol w:w="109"/>
        <w:gridCol w:w="109"/>
        <w:gridCol w:w="109"/>
        <w:gridCol w:w="109"/>
        <w:gridCol w:w="109"/>
        <w:gridCol w:w="134"/>
        <w:gridCol w:w="134"/>
        <w:gridCol w:w="135"/>
        <w:gridCol w:w="109"/>
        <w:gridCol w:w="109"/>
        <w:gridCol w:w="109"/>
        <w:gridCol w:w="189"/>
        <w:gridCol w:w="189"/>
        <w:gridCol w:w="193"/>
        <w:gridCol w:w="109"/>
        <w:gridCol w:w="109"/>
        <w:gridCol w:w="109"/>
        <w:gridCol w:w="213"/>
        <w:gridCol w:w="213"/>
        <w:gridCol w:w="214"/>
        <w:gridCol w:w="161"/>
      </w:tblGrid>
      <w:tr>
        <w:trPr/>
        <w:tc>
          <w:tcPr>
            <w:tcW w:w="2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4">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5">
              <w:r>
                <w:rPr>
                  <w:rStyle w:val="InternetLink"/>
                  <w:rFonts w:ascii="Times New Roman;serif" w:hAnsi="Times New Roman;serif"/>
                  <w:b w:val="false"/>
                  <w:color w:val="0000FF"/>
                  <w:sz w:val="20"/>
                  <w:u w:val="single"/>
                </w:rPr>
                <w:t>Seventh Amendment to Regional Lease, dated as of November 18, 2020,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6">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7">
              <w:r>
                <w:rPr>
                  <w:rStyle w:val="InternetLink"/>
                  <w:rFonts w:ascii="Times New Roman;serif" w:hAnsi="Times New Roman;serif"/>
                  <w:b w:val="false"/>
                  <w:color w:val="0000FF"/>
                  <w:sz w:val="20"/>
                  <w:u w:val="single"/>
                </w:rPr>
                <w:t>Eighth Amendment to Regional Lease, dated as of September 3,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10/27/2021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8">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9">
              <w:r>
                <w:rPr>
                  <w:rStyle w:val="InternetLink"/>
                  <w:rFonts w:ascii="Times New Roman;serif" w:hAnsi="Times New Roman;serif"/>
                  <w:b w:val="false"/>
                  <w:color w:val="0000FF"/>
                  <w:sz w:val="20"/>
                  <w:u w:val="single"/>
                </w:rPr>
                <w:t>Ninth Amendment to Regional Lease, dated as of November 1,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0">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1">
              <w:r>
                <w:rPr>
                  <w:rStyle w:val="InternetLink"/>
                  <w:rFonts w:ascii="Times New Roman;serif" w:hAnsi="Times New Roman;serif"/>
                  <w:b w:val="false"/>
                  <w:color w:val="0000FF"/>
                  <w:sz w:val="20"/>
                  <w:u w:val="single"/>
                </w:rPr>
                <w:t>Tenth Amendment to Regional Lease, dated as of December 30,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2">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3">
              <w:r>
                <w:rPr>
                  <w:rStyle w:val="InternetLink"/>
                  <w:rFonts w:ascii="Times New Roman;serif" w:hAnsi="Times New Roman;serif"/>
                  <w:b w:val="false"/>
                  <w:color w:val="0000FF"/>
                  <w:sz w:val="20"/>
                  <w:u w:val="single"/>
                </w:rPr>
                <w:t>Eleventh Amendment to Regional Lease, dated as of August 25, 2022,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4">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5">
              <w:r>
                <w:rPr>
                  <w:rStyle w:val="InternetLink"/>
                  <w:rFonts w:ascii="Times New Roman;serif" w:hAnsi="Times New Roman;serif"/>
                  <w:b w:val="false"/>
                  <w:color w:val="0000FF"/>
                  <w:sz w:val="20"/>
                  <w:u w:val="single"/>
                </w:rPr>
                <w:t>Twelfth Amendment to Regional Lease, dated as of April 7, 2023,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6">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Times New Roman;serif" w:hAnsi="Times New Roman;serif"/>
                  <w:b w:val="false"/>
                  <w:color w:val="0000FF"/>
                  <w:sz w:val="20"/>
                  <w:u w:val="single"/>
                </w:rPr>
                <w:t>Thirteenth Amendment to Regional Lease, dated as of June 27, 2025,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7/30/2025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8">
              <w:r>
                <w:rPr>
                  <w:rStyle w:val="InternetLink"/>
                  <w:rFonts w:ascii="Times New Roman;serif" w:hAnsi="Times New Roman;serif"/>
                  <w:b w:val="false"/>
                  <w:color w:val="000080"/>
                  <w:sz w:val="20"/>
                  <w:u w:val="single"/>
                </w:rPr>
                <w:t>10.1</w:t>
              </w:r>
            </w:hyperlink>
            <w:hyperlink r:id="rId159">
              <w:r>
                <w:rPr>
                  <w:rStyle w:val="InternetLink"/>
                  <w:rFonts w:ascii="Times New Roman;serif" w:hAnsi="Times New Roman;serif"/>
                  <w:b w:val="false"/>
                  <w:color w:val="000080"/>
                  <w:sz w:val="20"/>
                  <w:u w:val="single"/>
                </w:rPr>
                <w:t>5</w:t>
              </w:r>
            </w:hyperlink>
            <w:hyperlink r:id="rId16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1">
              <w:r>
                <w:rPr>
                  <w:rStyle w:val="InternetLink"/>
                  <w:rFonts w:ascii="Times New Roman;serif" w:hAnsi="Times New Roman;serif"/>
                  <w:b w:val="false"/>
                  <w:color w:val="0000FF"/>
                  <w:sz w:val="20"/>
                  <w:u w:val="single"/>
                </w:rPr>
                <w:t>Lease (Joliet) (Conformed through Second Amendment), dated as of July 20,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2">
              <w:r>
                <w:rPr>
                  <w:rStyle w:val="InternetLink"/>
                  <w:rFonts w:ascii="Times New Roman;serif" w:hAnsi="Times New Roman;serif"/>
                  <w:b w:val="false"/>
                  <w:color w:val="000080"/>
                  <w:sz w:val="20"/>
                  <w:u w:val="single"/>
                </w:rPr>
                <w:t>10.1</w:t>
              </w:r>
            </w:hyperlink>
            <w:hyperlink r:id="rId163">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4">
              <w:r>
                <w:rPr>
                  <w:rStyle w:val="InternetLink"/>
                  <w:rFonts w:ascii="Times New Roman;serif" w:hAnsi="Times New Roman;serif"/>
                  <w:b w:val="false"/>
                  <w:color w:val="0000FF"/>
                  <w:sz w:val="20"/>
                  <w:u w:val="single"/>
                </w:rPr>
                <w:t>Third Amendment to Lease (Joliet), dated as of September 30,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5">
              <w:r>
                <w:rPr>
                  <w:rStyle w:val="InternetLink"/>
                  <w:rFonts w:ascii="Times New Roman;serif" w:hAnsi="Times New Roman;serif"/>
                  <w:b w:val="false"/>
                  <w:color w:val="000080"/>
                  <w:sz w:val="20"/>
                  <w:u w:val="single"/>
                </w:rPr>
                <w:t>10.</w:t>
              </w:r>
            </w:hyperlink>
            <w:hyperlink r:id="rId166">
              <w:r>
                <w:rPr>
                  <w:rStyle w:val="InternetLink"/>
                  <w:rFonts w:ascii="Times New Roman;serif" w:hAnsi="Times New Roman;serif"/>
                  <w:b w:val="false"/>
                  <w:color w:val="000080"/>
                  <w:sz w:val="20"/>
                  <w:u w:val="single"/>
                </w:rPr>
                <w:t>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erif" w:hAnsi="Times New Roman;serif"/>
                  <w:b w:val="false"/>
                  <w:color w:val="0000FF"/>
                  <w:sz w:val="20"/>
                  <w:u w:val="single"/>
                </w:rPr>
                <w:t>Fourth Amendment to Lease (Joliet), dated as of November 18,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8">
              <w:r>
                <w:rPr>
                  <w:rStyle w:val="InternetLink"/>
                  <w:rFonts w:ascii="Times New Roman;serif" w:hAnsi="Times New Roman;serif"/>
                  <w:b w:val="false"/>
                  <w:color w:val="000080"/>
                  <w:sz w:val="20"/>
                  <w:u w:val="single"/>
                </w:rPr>
                <w:t>10.1</w:t>
              </w:r>
            </w:hyperlink>
            <w:hyperlink r:id="rId169">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0">
              <w:r>
                <w:rPr>
                  <w:rStyle w:val="InternetLink"/>
                  <w:rFonts w:ascii="Times New Roman;serif" w:hAnsi="Times New Roman;serif"/>
                  <w:b w:val="false"/>
                  <w:color w:val="0000FF"/>
                  <w:sz w:val="20"/>
                  <w:u w:val="single"/>
                </w:rPr>
                <w:t>Fifth Amendment to Lease (Joliet), dated as of September 3, 2021,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10/27/2021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1">
              <w:r>
                <w:rPr>
                  <w:rStyle w:val="InternetLink"/>
                  <w:rFonts w:ascii="Times New Roman;serif" w:hAnsi="Times New Roman;serif"/>
                  <w:b w:val="false"/>
                  <w:color w:val="000080"/>
                  <w:sz w:val="20"/>
                  <w:u w:val="single"/>
                </w:rPr>
                <w:t>10.1</w:t>
              </w:r>
            </w:hyperlink>
            <w:hyperlink r:id="rId172">
              <w:r>
                <w:rPr>
                  <w:rStyle w:val="InternetLink"/>
                  <w:rFonts w:ascii="Times New Roman;serif" w:hAnsi="Times New Roman;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3">
              <w:r>
                <w:rPr>
                  <w:rStyle w:val="InternetLink"/>
                  <w:rFonts w:ascii="Times New Roman;serif" w:hAnsi="Times New Roman;serif"/>
                  <w:b w:val="false"/>
                  <w:color w:val="0000FF"/>
                  <w:sz w:val="20"/>
                  <w:u w:val="single"/>
                </w:rPr>
                <w:t>Sixth Amendment to Lease (Joliet), dated as of November 1, 2021,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4">
              <w:r>
                <w:rPr>
                  <w:rStyle w:val="InternetLink"/>
                  <w:rFonts w:ascii="Times New Roman;serif" w:hAnsi="Times New Roman;serif"/>
                  <w:b w:val="false"/>
                  <w:color w:val="000080"/>
                  <w:sz w:val="20"/>
                  <w:u w:val="single"/>
                </w:rPr>
                <w:t>10.</w:t>
              </w:r>
            </w:hyperlink>
            <w:hyperlink r:id="rId175">
              <w:r>
                <w:rPr>
                  <w:rStyle w:val="InternetLink"/>
                  <w:rFonts w:ascii="Times New Roman;serif" w:hAnsi="Times New Roman;serif"/>
                  <w:b w:val="false"/>
                  <w:color w:val="000080"/>
                  <w:sz w:val="20"/>
                  <w:u w:val="single"/>
                </w:rPr>
                <w:t>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6">
              <w:r>
                <w:rPr>
                  <w:rStyle w:val="InternetLink"/>
                  <w:rFonts w:ascii="Times New Roman;serif" w:hAnsi="Times New Roman;serif"/>
                  <w:b w:val="false"/>
                  <w:color w:val="0000FF"/>
                  <w:sz w:val="20"/>
                  <w:u w:val="single"/>
                </w:rPr>
                <w:t>Amended and Restated Omnibus Amendment to Leases, dated October 27,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7">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8">
              <w:r>
                <w:rPr>
                  <w:rStyle w:val="InternetLink"/>
                  <w:rFonts w:ascii="Times New Roman;serif" w:hAnsi="Times New Roman;serif"/>
                  <w:b w:val="false"/>
                  <w:color w:val="0000FF"/>
                  <w:sz w:val="20"/>
                  <w:u w:val="single"/>
                </w:rPr>
                <w:t>Guaranty of Lease entered into as of July 20, 2020 by and between Eldorado Resorts, Inc. (to be renamed Caesars Entertainment, Inc. and converted to a Delaware corporation on the date thereof), CPLV Property Owner LLC, and Claudine Propco LLC (Las Vegas Master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9">
              <w:r>
                <w:rPr>
                  <w:rStyle w:val="InternetLink"/>
                  <w:rFonts w:ascii="Times New Roman;serif" w:hAnsi="Times New Roman;serif"/>
                  <w:b w:val="false"/>
                  <w:color w:val="000080"/>
                  <w:sz w:val="20"/>
                  <w:u w:val="single"/>
                </w:rPr>
                <w:t>10.</w:t>
              </w:r>
            </w:hyperlink>
            <w:hyperlink r:id="rId180">
              <w:r>
                <w:rPr>
                  <w:rStyle w:val="InternetLink"/>
                  <w:rFonts w:ascii="Times New Roman;serif" w:hAnsi="Times New Roman;serif"/>
                  <w:b w:val="false"/>
                  <w:color w:val="000080"/>
                  <w:sz w:val="20"/>
                  <w:u w:val="single"/>
                </w:rPr>
                <w:t>2</w:t>
              </w:r>
            </w:hyperlink>
            <w:hyperlink r:id="rId181">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2">
              <w:r>
                <w:rPr>
                  <w:rStyle w:val="InternetLink"/>
                  <w:rFonts w:ascii="Times New Roman;serif" w:hAnsi="Times New Roman;serif"/>
                  <w:b w:val="false"/>
                  <w:color w:val="0000FF"/>
                  <w:sz w:val="20"/>
                  <w:u w:val="single"/>
                </w:rPr>
                <w:t>Guaranty of Lease entered into as of July 20, 2020 by and between Eldorado Resorts, Inc. (to be renamed Caesars Entertainment, Inc. and converted to a Delaware corporation on the date thereof) and the entities listed on Schedule A thereto (Regional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3">
              <w:r>
                <w:rPr>
                  <w:rStyle w:val="InternetLink"/>
                  <w:rFonts w:ascii="Times New Roman;serif" w:hAnsi="Times New Roman;serif"/>
                  <w:b w:val="false"/>
                  <w:color w:val="000080"/>
                  <w:sz w:val="20"/>
                  <w:u w:val="single"/>
                </w:rPr>
                <w:t>10.2</w:t>
              </w:r>
            </w:hyperlink>
            <w:hyperlink r:id="rId184">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5">
              <w:r>
                <w:rPr>
                  <w:rStyle w:val="InternetLink"/>
                  <w:rFonts w:ascii="Times New Roman;serif" w:hAnsi="Times New Roman;serif"/>
                  <w:b w:val="false"/>
                  <w:color w:val="0000FF"/>
                  <w:sz w:val="20"/>
                  <w:u w:val="single"/>
                </w:rPr>
                <w:t>Guaranty of Lease entered into as of July 20, 2020 by and between Eldorado Resorts, Inc. (to be renamed Caesars Entertainment, Inc. and converted to a Delaware corporation on the date thereof) and Harrah’s Joliet Landco LLC (Caesars Joliet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6">
              <w:r>
                <w:rPr>
                  <w:rStyle w:val="InternetLink"/>
                  <w:rFonts w:ascii="Times New Roman;serif" w:hAnsi="Times New Roman;serif"/>
                  <w:b w:val="false"/>
                  <w:color w:val="000080"/>
                  <w:sz w:val="20"/>
                  <w:u w:val="single"/>
                </w:rPr>
                <w:t>10.2</w:t>
              </w:r>
            </w:hyperlink>
            <w:hyperlink r:id="rId187">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8">
              <w:r>
                <w:rPr>
                  <w:rStyle w:val="InternetLink"/>
                  <w:rFonts w:ascii="Times New Roman;serif" w:hAnsi="Times New Roman;serif"/>
                  <w:b w:val="false"/>
                  <w:color w:val="0000FF"/>
                  <w:sz w:val="20"/>
                  <w:u w:val="single"/>
                </w:rPr>
                <w:t>Amended and Restated Master Lease, by and between MGP Lessor, LLC and MGM Lessee, LLC,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9">
              <w:r>
                <w:rPr>
                  <w:rStyle w:val="InternetLink"/>
                  <w:rFonts w:ascii="Times New Roman;serif" w:hAnsi="Times New Roman;serif"/>
                  <w:b w:val="false"/>
                  <w:color w:val="000080"/>
                  <w:sz w:val="20"/>
                  <w:u w:val="single"/>
                </w:rPr>
                <w:t>10.2</w:t>
              </w:r>
            </w:hyperlink>
            <w:hyperlink r:id="rId190">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Times New Roman;serif" w:hAnsi="Times New Roman;serif"/>
                  <w:b w:val="false"/>
                  <w:color w:val="0000FF"/>
                  <w:sz w:val="20"/>
                  <w:u w:val="single"/>
                </w:rPr>
                <w:t>First Amendment to Amended and Restated Master Lease, dated as of December 19, 2022,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12/19/2022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7"/>
        <w:gridCol w:w="190"/>
        <w:gridCol w:w="192"/>
        <w:gridCol w:w="109"/>
        <w:gridCol w:w="109"/>
        <w:gridCol w:w="109"/>
        <w:gridCol w:w="2153"/>
        <w:gridCol w:w="1885"/>
        <w:gridCol w:w="1890"/>
        <w:gridCol w:w="109"/>
        <w:gridCol w:w="109"/>
        <w:gridCol w:w="109"/>
        <w:gridCol w:w="109"/>
        <w:gridCol w:w="109"/>
        <w:gridCol w:w="109"/>
        <w:gridCol w:w="109"/>
        <w:gridCol w:w="109"/>
        <w:gridCol w:w="109"/>
        <w:gridCol w:w="131"/>
        <w:gridCol w:w="131"/>
        <w:gridCol w:w="132"/>
        <w:gridCol w:w="109"/>
        <w:gridCol w:w="109"/>
        <w:gridCol w:w="109"/>
        <w:gridCol w:w="190"/>
        <w:gridCol w:w="190"/>
        <w:gridCol w:w="191"/>
        <w:gridCol w:w="109"/>
        <w:gridCol w:w="109"/>
        <w:gridCol w:w="109"/>
        <w:gridCol w:w="196"/>
        <w:gridCol w:w="196"/>
        <w:gridCol w:w="197"/>
        <w:gridCol w:w="162"/>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2">
              <w:r>
                <w:rPr>
                  <w:rStyle w:val="InternetLink"/>
                  <w:rFonts w:ascii="Times New Roman;serif" w:hAnsi="Times New Roman;serif"/>
                  <w:b w:val="false"/>
                  <w:color w:val="000080"/>
                  <w:sz w:val="20"/>
                  <w:u w:val="single"/>
                </w:rPr>
                <w:t>10.2</w:t>
              </w:r>
            </w:hyperlink>
            <w:hyperlink r:id="rId193">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4">
              <w:r>
                <w:rPr>
                  <w:rStyle w:val="InternetLink"/>
                  <w:rFonts w:ascii="Times New Roman;serif" w:hAnsi="Times New Roman;serif"/>
                  <w:b w:val="false"/>
                  <w:color w:val="0000FF"/>
                  <w:sz w:val="20"/>
                  <w:u w:val="single"/>
                </w:rPr>
                <w:t>Second Amendment to Amended and Restated Master Lease, dated as of February 15, 2023,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5">
              <w:r>
                <w:rPr>
                  <w:rStyle w:val="InternetLink"/>
                  <w:rFonts w:ascii="Times New Roman;serif" w:hAnsi="Times New Roman;serif"/>
                  <w:b w:val="false"/>
                  <w:color w:val="000080"/>
                  <w:sz w:val="20"/>
                  <w:u w:val="single"/>
                </w:rPr>
                <w:t>10.2</w:t>
              </w:r>
            </w:hyperlink>
            <w:hyperlink r:id="rId196">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7">
              <w:r>
                <w:rPr>
                  <w:rStyle w:val="InternetLink"/>
                  <w:rFonts w:ascii="Times New Roman;serif" w:hAnsi="Times New Roman;serif"/>
                  <w:b w:val="false"/>
                  <w:color w:val="0000FF"/>
                  <w:sz w:val="20"/>
                  <w:u w:val="single"/>
                </w:rPr>
                <w:t>Amended and Restated Guaranty of Master Lease, by and between MGM Resorts International and MGP Lessor, LLC,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8">
              <w:r>
                <w:rPr>
                  <w:rStyle w:val="InternetLink"/>
                  <w:rFonts w:ascii="Times New Roman;serif" w:hAnsi="Times New Roman;serif"/>
                  <w:b w:val="false"/>
                  <w:color w:val="000080"/>
                  <w:sz w:val="20"/>
                  <w:u w:val="single"/>
                </w:rPr>
                <w:t>10.2</w:t>
              </w:r>
            </w:hyperlink>
            <w:hyperlink r:id="rId199">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0">
              <w:r>
                <w:rPr>
                  <w:rStyle w:val="InternetLink"/>
                  <w:rFonts w:ascii="Times New Roman;serif" w:hAnsi="Times New Roman;serif"/>
                  <w:b w:val="false"/>
                  <w:color w:val="0000FF"/>
                  <w:sz w:val="20"/>
                  <w:u w:val="single"/>
                </w:rPr>
                <w:t>Tax Protection Agreement, by and among VICI Properties Inc., VICI Properties OP LLC, MGM Resorts International and the other parties thereto,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1">
              <w:r>
                <w:rPr>
                  <w:rStyle w:val="InternetLink"/>
                  <w:rFonts w:ascii="Times New Roman;serif" w:hAnsi="Times New Roman;serif"/>
                  <w:b w:val="false"/>
                  <w:color w:val="000080"/>
                  <w:sz w:val="20"/>
                  <w:u w:val="single"/>
                </w:rPr>
                <w:t>10.2</w:t>
              </w:r>
            </w:hyperlink>
            <w:hyperlink r:id="rId202">
              <w:r>
                <w:rPr>
                  <w:rStyle w:val="InternetLink"/>
                  <w:rFonts w:ascii="Times New Roman;serif" w:hAnsi="Times New Roman;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3">
              <w:r>
                <w:rPr>
                  <w:rStyle w:val="InternetLink"/>
                  <w:rFonts w:ascii="Times New Roman;serif" w:hAnsi="Times New Roman;serif"/>
                  <w:b w:val="false"/>
                  <w:color w:val="0000FF"/>
                  <w:sz w:val="20"/>
                  <w:u w:val="single"/>
                </w:rPr>
                <w:t>Lease, by and between Mandalay PropCo, LLC, MGM Grand PropCo, LLC and MGM Lessee II, LLC,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4">
              <w:r>
                <w:rPr>
                  <w:rStyle w:val="InternetLink"/>
                  <w:rFonts w:ascii="Times New Roman;serif" w:hAnsi="Times New Roman;serif"/>
                  <w:b w:val="false"/>
                  <w:color w:val="000080"/>
                  <w:sz w:val="20"/>
                  <w:u w:val="single"/>
                </w:rPr>
                <w:t>1</w:t>
              </w:r>
            </w:hyperlink>
            <w:hyperlink r:id="rId205">
              <w:r>
                <w:rPr>
                  <w:rStyle w:val="InternetLink"/>
                  <w:rFonts w:ascii="Times New Roman;serif" w:hAnsi="Times New Roman;serif"/>
                  <w:b w:val="false"/>
                  <w:color w:val="000080"/>
                  <w:sz w:val="20"/>
                  <w:u w:val="single"/>
                </w:rPr>
                <w:t>0</w:t>
              </w:r>
            </w:hyperlink>
            <w:hyperlink r:id="rId206">
              <w:r>
                <w:rPr>
                  <w:rStyle w:val="InternetLink"/>
                  <w:rFonts w:ascii="Times New Roman;serif" w:hAnsi="Times New Roman;serif"/>
                  <w:b w:val="false"/>
                  <w:color w:val="000080"/>
                  <w:sz w:val="20"/>
                  <w:u w:val="single"/>
                </w:rPr>
                <w:t>.30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7">
              <w:r>
                <w:rPr>
                  <w:rStyle w:val="InternetLink"/>
                  <w:rFonts w:ascii="Times New Roman;serif" w:hAnsi="Times New Roman;serif"/>
                  <w:b w:val="false"/>
                  <w:color w:val="0000FF"/>
                  <w:sz w:val="20"/>
                  <w:u w:val="single"/>
                </w:rPr>
                <w:t>Guaranty of Lease Documents, by and between MGM Resorts International and Mandalay PropCo, LLC, MGM Grand PropCo, LLC,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8">
              <w:r>
                <w:rPr>
                  <w:rStyle w:val="InternetLink"/>
                  <w:rFonts w:ascii="Times New Roman;serif" w:hAnsi="Times New Roman;serif"/>
                  <w:b w:val="false"/>
                  <w:color w:val="000080"/>
                  <w:sz w:val="20"/>
                  <w:u w:val="single"/>
                </w:rPr>
                <w:t>10.3</w:t>
              </w:r>
            </w:hyperlink>
            <w:hyperlink r:id="rId209">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0">
              <w:r>
                <w:rPr>
                  <w:rStyle w:val="InternetLink"/>
                  <w:rFonts w:ascii="Times New Roman;serif" w:hAnsi="Times New Roman;serif"/>
                  <w:b w:val="false"/>
                  <w:color w:val="0000FF"/>
                  <w:sz w:val="20"/>
                  <w:u w:val="single"/>
                </w:rPr>
                <w:t>Loan Agreement, by and among Mandalay PropCo, LLC, MGM Grand PropCo, LLC, Citi Real Estate Funding Inc., Barclays Capital Real Estate Inc., Deutsche Bank AG. New York Branch, Société Générale Financial Corporation and Citi Real Estate Funding Inc., as administrative agent,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1">
              <w:r>
                <w:rPr>
                  <w:rStyle w:val="InternetLink"/>
                  <w:rFonts w:ascii="Times New Roman;serif" w:hAnsi="Times New Roman;serif"/>
                  <w:b w:val="false"/>
                  <w:color w:val="000080"/>
                  <w:sz w:val="20"/>
                  <w:u w:val="single"/>
                </w:rPr>
                <w:t>10.3</w:t>
              </w:r>
            </w:hyperlink>
            <w:hyperlink r:id="rId212">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3">
              <w:r>
                <w:rPr>
                  <w:rStyle w:val="InternetLink"/>
                  <w:rFonts w:ascii="Times New Roman;serif" w:hAnsi="Times New Roman;serif"/>
                  <w:b w:val="false"/>
                  <w:color w:val="0000FF"/>
                  <w:sz w:val="20"/>
                  <w:u w:val="single"/>
                </w:rPr>
                <w:t>First Amendment to Loan Agreement, dated as of March 30, 2020, among Mandalay Bay PropCo, LLC and MGM Grand PropCo, LLC, collectively as Borrower, and Citi Real Estate Funding Inc., Barclays Capital Real Estate Inc., Deutsche Bank AG, New York Branch, Société Générale Financial Corporation and Citi Real Estate Funding Inc., collectively,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4">
              <w:r>
                <w:rPr>
                  <w:rStyle w:val="InternetLink"/>
                  <w:rFonts w:ascii="Times New Roman;serif" w:hAnsi="Times New Roman;serif"/>
                  <w:b w:val="false"/>
                  <w:color w:val="000080"/>
                  <w:sz w:val="20"/>
                  <w:u w:val="single"/>
                </w:rPr>
                <w:t>10.3</w:t>
              </w:r>
            </w:hyperlink>
            <w:hyperlink r:id="rId215">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6">
              <w:r>
                <w:rPr>
                  <w:rStyle w:val="InternetLink"/>
                  <w:rFonts w:ascii="Times New Roman;serif" w:hAnsi="Times New Roman;serif"/>
                  <w:b w:val="false"/>
                  <w:color w:val="0000FF"/>
                  <w:sz w:val="20"/>
                  <w:u w:val="single"/>
                </w:rPr>
                <w:t>Second Amendment to Loan Agreement, dated as of May 1, 2020, among Mandalay PropCo, LLC and MGM Grand PropCo, LLC, collectively as Borrower, and Citi Real Estate Funding Inc., Barclays Capital Real Estate Inc., Deutsche Bank AG, New York Branch, Société Générale Financial Corporation and Citi Real Estate Funding Inc., collectively,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7">
              <w:r>
                <w:rPr>
                  <w:rStyle w:val="InternetLink"/>
                  <w:rFonts w:ascii="Times New Roman;serif" w:hAnsi="Times New Roman;serif"/>
                  <w:b w:val="false"/>
                  <w:color w:val="000080"/>
                  <w:sz w:val="20"/>
                  <w:u w:val="single"/>
                </w:rPr>
                <w:t>10.3</w:t>
              </w:r>
            </w:hyperlink>
            <w:hyperlink r:id="rId218">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9">
              <w:r>
                <w:rPr>
                  <w:rStyle w:val="InternetLink"/>
                  <w:rFonts w:ascii="Times New Roman;serif" w:hAnsi="Times New Roman;serif"/>
                  <w:b w:val="false"/>
                  <w:color w:val="0000FF"/>
                  <w:sz w:val="20"/>
                  <w:u w:val="single"/>
                </w:rPr>
                <w:t>Third Amendment to Loan Agreement, dated as of July 15, 2020, among Mandalay PropCo, LLC and MGM Grand PropCo, LLC, collectively as Borrower, and Wilmington Trust, National Association, solely in its capacity as trustee for the benefit of the holders of BX Commercial Mortgage Trust 2020-VIVA, Commercial Mortgage Pass-Through Certificates, Series 2020-VIVA,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0">
              <w:r>
                <w:rPr>
                  <w:rStyle w:val="InternetLink"/>
                  <w:rFonts w:ascii="Times New Roman;serif" w:hAnsi="Times New Roman;serif"/>
                  <w:b w:val="false"/>
                  <w:color w:val="000080"/>
                  <w:sz w:val="20"/>
                  <w:u w:val="single"/>
                </w:rPr>
                <w:t>10.3</w:t>
              </w:r>
            </w:hyperlink>
            <w:hyperlink r:id="rId221">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Times New Roman;serif" w:hAnsi="Times New Roman;serif"/>
                  <w:b w:val="false"/>
                  <w:color w:val="0000FF"/>
                  <w:sz w:val="20"/>
                  <w:u w:val="single"/>
                </w:rPr>
                <w:t>Credit Agreement, dated as of February 3, 2025, by and among VICI Properties L.P., as Borrower, the financial institutions party thereto as lenders, and Wells Fargo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3">
              <w:r>
                <w:rPr>
                  <w:rStyle w:val="InternetLink"/>
                  <w:rFonts w:ascii="Times New Roman;serif" w:hAnsi="Times New Roman;serif"/>
                  <w:b w:val="false"/>
                  <w:color w:val="000080"/>
                  <w:sz w:val="20"/>
                  <w:u w:val="single"/>
                </w:rPr>
                <w:t>10.3</w:t>
              </w:r>
            </w:hyperlink>
            <w:hyperlink r:id="rId224">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Times New Roman;serif" w:hAnsi="Times New Roman;serif"/>
                  <w:b w:val="false"/>
                  <w:color w:val="0000FF"/>
                  <w:sz w:val="20"/>
                  <w:u w:val="single"/>
                </w:rPr>
                <w:t>Second Amended and Restated Agreement of Limited Partnership of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6">
              <w:r>
                <w:rPr>
                  <w:rStyle w:val="InternetLink"/>
                  <w:rFonts w:ascii="Times New Roman;serif" w:hAnsi="Times New Roman;serif"/>
                  <w:b w:val="false"/>
                  <w:color w:val="000080"/>
                  <w:sz w:val="20"/>
                  <w:u w:val="single"/>
                </w:rPr>
                <w:t>10.</w:t>
              </w:r>
            </w:hyperlink>
            <w:hyperlink r:id="rId227">
              <w:r>
                <w:rPr>
                  <w:rStyle w:val="InternetLink"/>
                  <w:rFonts w:ascii="Times New Roman;serif" w:hAnsi="Times New Roman;serif"/>
                  <w:b w:val="false"/>
                  <w:color w:val="000080"/>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8">
              <w:r>
                <w:rPr>
                  <w:rStyle w:val="InternetLink"/>
                  <w:rFonts w:ascii="Times New Roman;serif" w:hAnsi="Times New Roman;serif"/>
                  <w:b w:val="false"/>
                  <w:color w:val="0000FF"/>
                  <w:sz w:val="20"/>
                  <w:u w:val="single"/>
                </w:rPr>
                <w:t>Amended and Restated Limited Liability Company Agreement of VICI Properties OP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9">
              <w:r>
                <w:rPr>
                  <w:rStyle w:val="InternetLink"/>
                  <w:rFonts w:ascii="Times New Roman;serif" w:hAnsi="Times New Roman;serif"/>
                  <w:b w:val="false"/>
                  <w:color w:val="000080"/>
                  <w:sz w:val="20"/>
                  <w:u w:val="single"/>
                </w:rPr>
                <w:t>10.</w:t>
              </w:r>
            </w:hyperlink>
            <w:hyperlink r:id="rId230">
              <w:r>
                <w:rPr>
                  <w:rStyle w:val="InternetLink"/>
                  <w:rFonts w:ascii="Times New Roman;serif" w:hAnsi="Times New Roman;serif"/>
                  <w:b w:val="false"/>
                  <w:color w:val="000080"/>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Times New Roman;serif" w:hAnsi="Times New Roman;serif"/>
                  <w:b w:val="false"/>
                  <w:color w:val="0000FF"/>
                  <w:sz w:val="20"/>
                  <w:u w:val="single"/>
                </w:rPr>
                <w:t>Form of Indemnification Agreement, between VICI Properties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9/28/2017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remploymentagreementc.htm">
              <w:r>
                <w:rPr>
                  <w:rStyle w:val="InternetLink"/>
                  <w:rFonts w:ascii="Times New Roman;serif" w:hAnsi="Times New Roman;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remploymentagreementc.htm">
              <w:r>
                <w:rPr>
                  <w:rStyle w:val="InternetLink"/>
                  <w:rFonts w:ascii="Times New Roman;serif" w:hAnsi="Times New Roman;serif"/>
                  <w:b w:val="false"/>
                  <w:color w:val="000080"/>
                  <w:sz w:val="20"/>
                  <w:u w:val="single"/>
                </w:rPr>
                <w:t xml:space="preserve">Amended and Restated Employment Agreement, dated as of </w:t>
              </w:r>
            </w:hyperlink>
            <w:hyperlink w:anchor="vici-aremploymentagreementc.htm">
              <w:r>
                <w:rPr>
                  <w:rStyle w:val="InternetLink"/>
                  <w:rFonts w:ascii="Times New Roman;serif" w:hAnsi="Times New Roman;serif"/>
                  <w:b w:val="false"/>
                  <w:color w:val="000080"/>
                  <w:sz w:val="20"/>
                  <w:u w:val="single"/>
                </w:rPr>
                <w:t>February 2</w:t>
              </w:r>
            </w:hyperlink>
            <w:hyperlink w:anchor="vici-aremploymentagreementc.htm">
              <w:r>
                <w:rPr>
                  <w:rStyle w:val="InternetLink"/>
                  <w:rFonts w:ascii="Times New Roman;serif" w:hAnsi="Times New Roman;serif"/>
                  <w:b w:val="false"/>
                  <w:color w:val="000080"/>
                  <w:sz w:val="20"/>
                  <w:u w:val="single"/>
                </w:rPr>
                <w:t>5</w:t>
              </w:r>
            </w:hyperlink>
            <w:hyperlink w:anchor="vici-aremploymentagreementc.htm">
              <w:r>
                <w:rPr>
                  <w:rStyle w:val="InternetLink"/>
                  <w:rFonts w:ascii="Times New Roman;serif" w:hAnsi="Times New Roman;serif"/>
                  <w:b w:val="false"/>
                  <w:color w:val="000080"/>
                  <w:sz w:val="20"/>
                  <w:u w:val="single"/>
                </w:rPr>
                <w:t>, 2026</w:t>
              </w:r>
            </w:hyperlink>
            <w:hyperlink w:anchor="vici-aremploymentagreementc.htm">
              <w:r>
                <w:rPr>
                  <w:rStyle w:val="InternetLink"/>
                  <w:rFonts w:ascii="Times New Roman;serif" w:hAnsi="Times New Roman;serif"/>
                  <w:b w:val="false"/>
                  <w:color w:val="000080"/>
                  <w:sz w:val="20"/>
                  <w:u w:val="single"/>
                </w:rPr>
                <w:t xml:space="preserve">, by and between VICI Properties Inc., VICI Properties L.P. and </w:t>
              </w:r>
            </w:hyperlink>
            <w:hyperlink w:anchor="vici-aremploymentagreementc.htm">
              <w:r>
                <w:rPr>
                  <w:rStyle w:val="InternetLink"/>
                  <w:rFonts w:ascii="Times New Roman;serif" w:hAnsi="Times New Roman;serif"/>
                  <w:b w:val="false"/>
                  <w:color w:val="000080"/>
                  <w:sz w:val="20"/>
                  <w:u w:val="single"/>
                </w:rPr>
                <w:t>Edward B. Pi</w:t>
              </w:r>
            </w:hyperlink>
            <w:hyperlink w:anchor="vici-aremploymentagreementc.htm">
              <w:r>
                <w:rPr>
                  <w:rStyle w:val="InternetLink"/>
                  <w:rFonts w:ascii="Times New Roman;serif" w:hAnsi="Times New Roman;serif"/>
                  <w:b w:val="false"/>
                  <w:color w:val="000080"/>
                  <w:sz w:val="20"/>
                  <w:u w:val="single"/>
                </w:rPr>
                <w:t>toniak</w:t>
              </w:r>
            </w:hyperlink>
            <w:hyperlink w:anchor="vici-aremploymentagreementc.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remploymentagreement.htm">
              <w:r>
                <w:rPr>
                  <w:rStyle w:val="InternetLink"/>
                  <w:rFonts w:ascii="Times New Roman;serif" w:hAnsi="Times New Roman;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remploymentagreement.htm">
              <w:r>
                <w:rPr>
                  <w:rStyle w:val="InternetLink"/>
                  <w:rFonts w:ascii="Times New Roman;serif" w:hAnsi="Times New Roman;serif"/>
                  <w:b w:val="false"/>
                  <w:color w:val="000080"/>
                  <w:sz w:val="20"/>
                  <w:u w:val="single"/>
                </w:rPr>
                <w:t xml:space="preserve">Amended and Restated Employment Agreement, dated as of </w:t>
              </w:r>
            </w:hyperlink>
            <w:hyperlink w:anchor="vici-aremploymentagreement.htm">
              <w:r>
                <w:rPr>
                  <w:rStyle w:val="InternetLink"/>
                  <w:rFonts w:ascii="Times New Roman;serif" w:hAnsi="Times New Roman;serif"/>
                  <w:b w:val="false"/>
                  <w:color w:val="000080"/>
                  <w:sz w:val="20"/>
                  <w:u w:val="single"/>
                </w:rPr>
                <w:t>February 2</w:t>
              </w:r>
            </w:hyperlink>
            <w:hyperlink w:anchor="vici-aremploymentagreement.htm">
              <w:r>
                <w:rPr>
                  <w:rStyle w:val="InternetLink"/>
                  <w:rFonts w:ascii="Times New Roman;serif" w:hAnsi="Times New Roman;serif"/>
                  <w:b w:val="false"/>
                  <w:color w:val="000080"/>
                  <w:sz w:val="20"/>
                  <w:u w:val="single"/>
                </w:rPr>
                <w:t>5</w:t>
              </w:r>
            </w:hyperlink>
            <w:hyperlink w:anchor="vici-aremploymentagreement.htm">
              <w:r>
                <w:rPr>
                  <w:rStyle w:val="InternetLink"/>
                  <w:rFonts w:ascii="Times New Roman;serif" w:hAnsi="Times New Roman;serif"/>
                  <w:b w:val="false"/>
                  <w:color w:val="000080"/>
                  <w:sz w:val="20"/>
                  <w:u w:val="single"/>
                </w:rPr>
                <w:t>, 2026</w:t>
              </w:r>
            </w:hyperlink>
            <w:hyperlink w:anchor="vici-aremploymentagreement.htm">
              <w:r>
                <w:rPr>
                  <w:rStyle w:val="InternetLink"/>
                  <w:rFonts w:ascii="Times New Roman;serif" w:hAnsi="Times New Roman;serif"/>
                  <w:b w:val="false"/>
                  <w:color w:val="000080"/>
                  <w:sz w:val="20"/>
                  <w:u w:val="single"/>
                </w:rPr>
                <w:t xml:space="preserve">, by and between VICI Properties Inc., VICI Properties L.P. and </w:t>
              </w:r>
            </w:hyperlink>
            <w:hyperlink w:anchor="vici-aremploymentagreement.htm">
              <w:r>
                <w:rPr>
                  <w:rStyle w:val="InternetLink"/>
                  <w:rFonts w:ascii="Times New Roman;serif" w:hAnsi="Times New Roman;serif"/>
                  <w:b w:val="false"/>
                  <w:color w:val="000080"/>
                  <w:sz w:val="20"/>
                  <w:u w:val="single"/>
                </w:rPr>
                <w:t>John W.R. Payne</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remploymentagreementa.htm">
              <w:r>
                <w:rPr>
                  <w:rStyle w:val="InternetLink"/>
                  <w:rFonts w:ascii="Times New Roman;serif" w:hAnsi="Times New Roman;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remploymentagreementa.htm">
              <w:r>
                <w:rPr>
                  <w:rStyle w:val="InternetLink"/>
                  <w:rFonts w:ascii="Times New Roman;serif" w:hAnsi="Times New Roman;serif"/>
                  <w:b w:val="false"/>
                  <w:color w:val="000080"/>
                  <w:sz w:val="20"/>
                  <w:u w:val="single"/>
                </w:rPr>
                <w:t xml:space="preserve">Amended and Restated Employment Agreement, dated as of </w:t>
              </w:r>
            </w:hyperlink>
            <w:hyperlink w:anchor="vici-aremploymentagreementa.htm">
              <w:r>
                <w:rPr>
                  <w:rStyle w:val="InternetLink"/>
                  <w:rFonts w:ascii="Times New Roman;serif" w:hAnsi="Times New Roman;serif"/>
                  <w:b w:val="false"/>
                  <w:color w:val="000080"/>
                  <w:sz w:val="20"/>
                  <w:u w:val="single"/>
                </w:rPr>
                <w:t>February 2</w:t>
              </w:r>
            </w:hyperlink>
            <w:hyperlink w:anchor="vici-aremploymentagreementa.htm">
              <w:r>
                <w:rPr>
                  <w:rStyle w:val="InternetLink"/>
                  <w:rFonts w:ascii="Times New Roman;serif" w:hAnsi="Times New Roman;serif"/>
                  <w:b w:val="false"/>
                  <w:color w:val="000080"/>
                  <w:sz w:val="20"/>
                  <w:u w:val="single"/>
                </w:rPr>
                <w:t>5</w:t>
              </w:r>
            </w:hyperlink>
            <w:hyperlink w:anchor="vici-aremploymentagreementa.htm">
              <w:r>
                <w:rPr>
                  <w:rStyle w:val="InternetLink"/>
                  <w:rFonts w:ascii="Times New Roman;serif" w:hAnsi="Times New Roman;serif"/>
                  <w:b w:val="false"/>
                  <w:color w:val="000080"/>
                  <w:sz w:val="20"/>
                  <w:u w:val="single"/>
                </w:rPr>
                <w:t>, 2026</w:t>
              </w:r>
            </w:hyperlink>
            <w:hyperlink w:anchor="vici-aremploymentagreementa.htm">
              <w:r>
                <w:rPr>
                  <w:rStyle w:val="InternetLink"/>
                  <w:rFonts w:ascii="Times New Roman;serif" w:hAnsi="Times New Roman;serif"/>
                  <w:b w:val="false"/>
                  <w:color w:val="000080"/>
                  <w:sz w:val="20"/>
                  <w:u w:val="single"/>
                </w:rPr>
                <w:t>, by and between VICI Properties Inc., VICI Properties L.P. and David A. Kieske.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6"/>
        <w:gridCol w:w="207"/>
        <w:gridCol w:w="209"/>
        <w:gridCol w:w="109"/>
        <w:gridCol w:w="109"/>
        <w:gridCol w:w="109"/>
        <w:gridCol w:w="2141"/>
        <w:gridCol w:w="1798"/>
        <w:gridCol w:w="1802"/>
        <w:gridCol w:w="109"/>
        <w:gridCol w:w="109"/>
        <w:gridCol w:w="109"/>
        <w:gridCol w:w="109"/>
        <w:gridCol w:w="109"/>
        <w:gridCol w:w="109"/>
        <w:gridCol w:w="109"/>
        <w:gridCol w:w="109"/>
        <w:gridCol w:w="109"/>
        <w:gridCol w:w="146"/>
        <w:gridCol w:w="144"/>
        <w:gridCol w:w="128"/>
        <w:gridCol w:w="109"/>
        <w:gridCol w:w="109"/>
        <w:gridCol w:w="109"/>
        <w:gridCol w:w="190"/>
        <w:gridCol w:w="190"/>
        <w:gridCol w:w="191"/>
        <w:gridCol w:w="109"/>
        <w:gridCol w:w="109"/>
        <w:gridCol w:w="109"/>
        <w:gridCol w:w="233"/>
        <w:gridCol w:w="233"/>
        <w:gridCol w:w="234"/>
        <w:gridCol w:w="161"/>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remploymentagreementb.htm">
              <w:r>
                <w:rPr>
                  <w:rStyle w:val="InternetLink"/>
                  <w:rFonts w:ascii="Times New Roman;serif" w:hAnsi="Times New Roman;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remploymentagreementb.htm">
              <w:r>
                <w:rPr>
                  <w:rStyle w:val="InternetLink"/>
                  <w:rFonts w:ascii="Times New Roman;serif" w:hAnsi="Times New Roman;serif"/>
                  <w:b w:val="false"/>
                  <w:color w:val="000080"/>
                  <w:sz w:val="20"/>
                  <w:u w:val="single"/>
                </w:rPr>
                <w:t xml:space="preserve">Amended and Restated Employment Agreement, dated as of </w:t>
              </w:r>
            </w:hyperlink>
            <w:hyperlink w:anchor="vici-aremploymentagreementb.htm">
              <w:r>
                <w:rPr>
                  <w:rStyle w:val="InternetLink"/>
                  <w:rFonts w:ascii="Times New Roman;serif" w:hAnsi="Times New Roman;serif"/>
                  <w:b w:val="false"/>
                  <w:color w:val="000080"/>
                  <w:sz w:val="20"/>
                  <w:u w:val="single"/>
                </w:rPr>
                <w:t>February 2</w:t>
              </w:r>
            </w:hyperlink>
            <w:hyperlink w:anchor="vici-aremploymentagreementb.htm">
              <w:r>
                <w:rPr>
                  <w:rStyle w:val="InternetLink"/>
                  <w:rFonts w:ascii="Times New Roman;serif" w:hAnsi="Times New Roman;serif"/>
                  <w:b w:val="false"/>
                  <w:color w:val="000080"/>
                  <w:sz w:val="20"/>
                  <w:u w:val="single"/>
                </w:rPr>
                <w:t>5</w:t>
              </w:r>
            </w:hyperlink>
            <w:hyperlink w:anchor="vici-aremploymentagreementb.htm">
              <w:r>
                <w:rPr>
                  <w:rStyle w:val="InternetLink"/>
                  <w:rFonts w:ascii="Times New Roman;serif" w:hAnsi="Times New Roman;serif"/>
                  <w:b w:val="false"/>
                  <w:color w:val="000080"/>
                  <w:sz w:val="20"/>
                  <w:u w:val="single"/>
                </w:rPr>
                <w:t>, 2026</w:t>
              </w:r>
            </w:hyperlink>
            <w:hyperlink w:anchor="vici-aremploymentagreementb.htm">
              <w:r>
                <w:rPr>
                  <w:rStyle w:val="InternetLink"/>
                  <w:rFonts w:ascii="Times New Roman;serif" w:hAnsi="Times New Roman;serif"/>
                  <w:b w:val="false"/>
                  <w:color w:val="000080"/>
                  <w:sz w:val="20"/>
                  <w:u w:val="single"/>
                </w:rPr>
                <w:t>, by and between VICI Properties Inc., VICI Properties L.P. and Samantha Sacks Gallagher</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2">
              <w:r>
                <w:rPr>
                  <w:rStyle w:val="InternetLink"/>
                  <w:rFonts w:ascii="Times New Roman;serif" w:hAnsi="Times New Roman;serif"/>
                  <w:b w:val="false"/>
                  <w:color w:val="000080"/>
                  <w:sz w:val="20"/>
                  <w:u w:val="single"/>
                </w:rPr>
                <w:t>10.4</w:t>
              </w:r>
            </w:hyperlink>
            <w:hyperlink r:id="rId233">
              <w:r>
                <w:rPr>
                  <w:rStyle w:val="InternetLink"/>
                  <w:rFonts w:ascii="Times New Roman;serif" w:hAnsi="Times New Roman;serif"/>
                  <w:b w:val="false"/>
                  <w:color w:val="000080"/>
                  <w:sz w:val="20"/>
                  <w:u w:val="single"/>
                </w:rPr>
                <w:t>3</w:t>
              </w:r>
            </w:hyperlink>
            <w:hyperlink r:id="rId234">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5">
              <w:r>
                <w:rPr>
                  <w:rStyle w:val="InternetLink"/>
                  <w:rFonts w:ascii="Times New Roman;serif" w:hAnsi="Times New Roman;serif"/>
                  <w:b w:val="false"/>
                  <w:color w:val="0000FF"/>
                  <w:sz w:val="20"/>
                  <w:u w:val="single"/>
                </w:rPr>
                <w:t>VICI Properties Inc. 2017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10/11/2017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6">
              <w:r>
                <w:rPr>
                  <w:rStyle w:val="InternetLink"/>
                  <w:rFonts w:ascii="Times New Roman;serif" w:hAnsi="Times New Roman;serif"/>
                  <w:b w:val="false"/>
                  <w:color w:val="000080"/>
                  <w:sz w:val="20"/>
                  <w:u w:val="single"/>
                </w:rPr>
                <w:t>10.4</w:t>
              </w:r>
            </w:hyperlink>
            <w:hyperlink r:id="rId237">
              <w:r>
                <w:rPr>
                  <w:rStyle w:val="InternetLink"/>
                  <w:rFonts w:ascii="Times New Roman;serif" w:hAnsi="Times New Roman;serif"/>
                  <w:b w:val="false"/>
                  <w:color w:val="000080"/>
                  <w:sz w:val="20"/>
                  <w:u w:val="single"/>
                </w:rPr>
                <w:t>4</w:t>
              </w:r>
            </w:hyperlink>
            <w:hyperlink r:id="rId238">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Times New Roman;serif" w:hAnsi="Times New Roman;serif"/>
                  <w:b w:val="false"/>
                  <w:color w:val="0000FF"/>
                  <w:sz w:val="20"/>
                  <w:u w:val="single"/>
                </w:rPr>
                <w:t>Amendment No. 1 to VICI Properties Inc. 2017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2/14/2019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0">
              <w:r>
                <w:rPr>
                  <w:rStyle w:val="InternetLink"/>
                  <w:rFonts w:ascii="Times New Roman;serif" w:hAnsi="Times New Roman;serif"/>
                  <w:b w:val="false"/>
                  <w:color w:val="000080"/>
                  <w:sz w:val="20"/>
                  <w:u w:val="single"/>
                </w:rPr>
                <w:t>10.4</w:t>
              </w:r>
            </w:hyperlink>
            <w:hyperlink r:id="rId241">
              <w:r>
                <w:rPr>
                  <w:rStyle w:val="InternetLink"/>
                  <w:rFonts w:ascii="Times New Roman;serif" w:hAnsi="Times New Roman;serif"/>
                  <w:b w:val="false"/>
                  <w:color w:val="000080"/>
                  <w:sz w:val="20"/>
                  <w:u w:val="single"/>
                </w:rPr>
                <w:t>5</w:t>
              </w:r>
            </w:hyperlink>
            <w:hyperlink r:id="rId242">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Times New Roman;serif" w:hAnsi="Times New Roman;serif"/>
                  <w:b w:val="false"/>
                  <w:color w:val="0000FF"/>
                  <w:sz w:val="20"/>
                  <w:u w:val="single"/>
                </w:rPr>
                <w:t>Form of Restricted Stock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3/28/2018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4">
              <w:r>
                <w:rPr>
                  <w:rStyle w:val="InternetLink"/>
                  <w:rFonts w:ascii="Times New Roman;serif" w:hAnsi="Times New Roman;serif"/>
                  <w:b w:val="false"/>
                  <w:color w:val="000080"/>
                  <w:sz w:val="20"/>
                  <w:u w:val="single"/>
                </w:rPr>
                <w:t>10.4</w:t>
              </w:r>
            </w:hyperlink>
            <w:hyperlink r:id="rId245">
              <w:r>
                <w:rPr>
                  <w:rStyle w:val="InternetLink"/>
                  <w:rFonts w:ascii="Times New Roman;serif" w:hAnsi="Times New Roman;serif"/>
                  <w:b w:val="false"/>
                  <w:color w:val="000080"/>
                  <w:sz w:val="20"/>
                  <w:u w:val="single"/>
                </w:rPr>
                <w:t>6</w:t>
              </w:r>
            </w:hyperlink>
            <w:hyperlink r:id="rId246">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7">
              <w:r>
                <w:rPr>
                  <w:rStyle w:val="InternetLink"/>
                  <w:rFonts w:ascii="Times New Roman;serif" w:hAnsi="Times New Roman;serif"/>
                  <w:b w:val="false"/>
                  <w:color w:val="0000FF"/>
                  <w:sz w:val="20"/>
                  <w:u w:val="single"/>
                </w:rPr>
                <w:t>Form of LTIP Time-Based Restricted Stock Grant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8">
              <w:r>
                <w:rPr>
                  <w:rStyle w:val="InternetLink"/>
                  <w:rFonts w:ascii="Times New Roman;serif" w:hAnsi="Times New Roman;serif"/>
                  <w:b w:val="false"/>
                  <w:color w:val="000080"/>
                  <w:sz w:val="20"/>
                  <w:u w:val="single"/>
                </w:rPr>
                <w:t>10.</w:t>
              </w:r>
            </w:hyperlink>
            <w:hyperlink r:id="rId249">
              <w:r>
                <w:rPr>
                  <w:rStyle w:val="InternetLink"/>
                  <w:rFonts w:ascii="Times New Roman;serif" w:hAnsi="Times New Roman;serif"/>
                  <w:b w:val="false"/>
                  <w:color w:val="000080"/>
                  <w:sz w:val="20"/>
                  <w:u w:val="single"/>
                </w:rPr>
                <w:t>47</w:t>
              </w:r>
            </w:hyperlink>
            <w:hyperlink r:id="rId25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1">
              <w:r>
                <w:rPr>
                  <w:rStyle w:val="InternetLink"/>
                  <w:rFonts w:ascii="Times New Roman;serif" w:hAnsi="Times New Roman;serif"/>
                  <w:b w:val="false"/>
                  <w:color w:val="0000FF"/>
                  <w:sz w:val="20"/>
                  <w:u w:val="single"/>
                </w:rPr>
                <w:t>Form of LTIP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2">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3">
              <w:r>
                <w:rPr>
                  <w:rStyle w:val="InternetLink"/>
                  <w:rFonts w:ascii="Times New Roman;serif" w:hAnsi="Times New Roman;serif"/>
                  <w:b w:val="false"/>
                  <w:color w:val="0000FF"/>
                  <w:sz w:val="20"/>
                  <w:u w:val="single"/>
                </w:rPr>
                <w:t>Inside Information and Securities Trading Policy and Procedures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211.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211.htm">
              <w:r>
                <w:rPr>
                  <w:rStyle w:val="InternetLink"/>
                  <w:rFonts w:ascii="Times New Roman;serif" w:hAnsi="Times New Roman;serif"/>
                  <w:b w:val="false"/>
                  <w:color w:val="0000FF"/>
                  <w:sz w:val="20"/>
                  <w:u w:val="single"/>
                </w:rPr>
                <w:t>Subsidiaries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212.htm">
              <w:r>
                <w:rPr>
                  <w:rStyle w:val="InternetLink"/>
                  <w:rFonts w:ascii="Times New Roman;serif" w:hAnsi="Times New Roman;serif"/>
                  <w:b w:val="false"/>
                  <w:color w:val="0000FF"/>
                  <w:sz w:val="20"/>
                  <w:u w:val="single"/>
                </w:rPr>
                <w:t>21.2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212.htm">
              <w:r>
                <w:rPr>
                  <w:rStyle w:val="InternetLink"/>
                  <w:rFonts w:ascii="Times New Roman;serif" w:hAnsi="Times New Roman;serif"/>
                  <w:b w:val="false"/>
                  <w:color w:val="0000FF"/>
                  <w:sz w:val="20"/>
                  <w:u w:val="single"/>
                </w:rPr>
                <w:t>Subsidiaries of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231.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231.htm">
              <w:r>
                <w:rPr>
                  <w:rStyle w:val="InternetLink"/>
                  <w:rFonts w:ascii="Times New Roman;serif" w:hAnsi="Times New Roman;serif"/>
                  <w:b w:val="false"/>
                  <w:color w:val="0000FF"/>
                  <w:sz w:val="20"/>
                  <w:u w:val="single"/>
                </w:rPr>
                <w:t>Consent of Deloitte &amp; Touche LLP for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232.htm">
              <w:r>
                <w:rPr>
                  <w:rStyle w:val="InternetLink"/>
                  <w:rFonts w:ascii="Times New Roman;serif" w:hAnsi="Times New Roman;serif"/>
                  <w:b w:val="false"/>
                  <w:color w:val="0000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232.htm">
              <w:r>
                <w:rPr>
                  <w:rStyle w:val="InternetLink"/>
                  <w:rFonts w:ascii="Times New Roman;serif" w:hAnsi="Times New Roman;serif"/>
                  <w:b w:val="false"/>
                  <w:color w:val="0000FF"/>
                  <w:sz w:val="20"/>
                  <w:u w:val="single"/>
                </w:rPr>
                <w:t>Consent of Deloitte &amp; Touche LLP for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06">
              <w:r>
                <w:rPr>
                  <w:rStyle w:val="InternetLink"/>
                  <w:rFonts w:ascii="Times New Roman;serif" w:hAnsi="Times New Roman;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06">
              <w:r>
                <w:rPr>
                  <w:rStyle w:val="InternetLink"/>
                  <w:rFonts w:ascii="Times New Roman;serif" w:hAnsi="Times New Roman;serif"/>
                  <w:b w:val="false"/>
                  <w:color w:val="0000FF"/>
                  <w:sz w:val="20"/>
                  <w:u w:val="single"/>
                </w:rPr>
                <w:t>Power of Attorney (included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11.htm">
              <w:r>
                <w:rPr>
                  <w:rStyle w:val="InternetLink"/>
                  <w:rFonts w:ascii="Times New Roman;serif" w:hAnsi="Times New Roman;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12.htm">
              <w:r>
                <w:rPr>
                  <w:rStyle w:val="InternetLink"/>
                  <w:rFonts w:ascii="Times New Roman;serif" w:hAnsi="Times New Roman;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13.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13.htm">
              <w:r>
                <w:rPr>
                  <w:rStyle w:val="InternetLink"/>
                  <w:rFonts w:ascii="Times New Roman;serif" w:hAnsi="Times New Roman;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14.htm">
              <w:r>
                <w:rPr>
                  <w:rStyle w:val="InternetLink"/>
                  <w:rFonts w:ascii="Times New Roman;serif" w:hAnsi="Times New Roman;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14.htm">
              <w:r>
                <w:rPr>
                  <w:rStyle w:val="InternetLink"/>
                  <w:rFonts w:ascii="Times New Roman;serif" w:hAnsi="Times New Roman;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21.htm">
              <w:r>
                <w:rPr>
                  <w:rStyle w:val="InternetLink"/>
                  <w:rFonts w:ascii="Times New Roman;serif" w:hAnsi="Times New Roman;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22.htm">
              <w:r>
                <w:rPr>
                  <w:rStyle w:val="InternetLink"/>
                  <w:rFonts w:ascii="Times New Roman;serif" w:hAnsi="Times New Roman;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23.htm">
              <w:r>
                <w:rPr>
                  <w:rStyle w:val="InternetLink"/>
                  <w:rFonts w:ascii="Times New Roman;serif" w:hAnsi="Times New Roman;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23.htm">
              <w:r>
                <w:rPr>
                  <w:rStyle w:val="InternetLink"/>
                  <w:rFonts w:ascii="Times New Roman;serif" w:hAnsi="Times New Roman;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10-kexhibit324.htm">
              <w:r>
                <w:rPr>
                  <w:rStyle w:val="InternetLink"/>
                  <w:rFonts w:ascii="Times New Roman;serif" w:hAnsi="Times New Roman;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10-kexhibit324.htm">
              <w:r>
                <w:rPr>
                  <w:rStyle w:val="InternetLink"/>
                  <w:rFonts w:ascii="Times New Roman;serif" w:hAnsi="Times New Roman;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4">
              <w:r>
                <w:rPr>
                  <w:rStyle w:val="InternetLink"/>
                  <w:rFonts w:ascii="Times New Roman;serif" w:hAnsi="Times New Roman;serif"/>
                  <w:b w:val="false"/>
                  <w:color w:val="0000FF"/>
                  <w:sz w:val="18"/>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5">
              <w:r>
                <w:rPr>
                  <w:rStyle w:val="InternetLink"/>
                  <w:rFonts w:ascii="Times New Roman;serif" w:hAnsi="Times New Roman;serif"/>
                  <w:b w:val="false"/>
                  <w:color w:val="0000FF"/>
                  <w:sz w:val="20"/>
                  <w:u w:val="single"/>
                </w:rPr>
                <w:t>VICI Properties Inc. Incentive Compensation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color w:val="000000"/>
        </w:rPr>
      </w:pPr>
      <w:r>
        <w:rPr>
          <w:color w:val="000000"/>
        </w:rPr>
        <w:t xml:space="preserve">† </w:t>
      </w:r>
      <w:r>
        <w:rPr>
          <w:rFonts w:ascii="Times New Roman;serif" w:hAnsi="Times New Roman;serif"/>
          <w:b w:val="false"/>
          <w:color w:val="000000"/>
          <w:sz w:val="20"/>
        </w:rPr>
        <w:t>Management contracts and compensation plans and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Portions of the exhibits have been redacted because (i) the registrant customarily and actually treats that information as private or confidential and (ii) the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center"/>
        <w:tblInd w:w="0" w:type="dxa"/>
        <w:tblLayout w:type="fixed"/>
        <w:tblCellMar>
          <w:top w:w="28" w:type="dxa"/>
          <w:left w:w="28" w:type="dxa"/>
          <w:bottom w:w="28" w:type="dxa"/>
          <w:right w:w="28" w:type="dxa"/>
        </w:tblCellMar>
      </w:tblPr>
      <w:tblGrid>
        <w:gridCol w:w="407"/>
        <w:gridCol w:w="358"/>
        <w:gridCol w:w="360"/>
        <w:gridCol w:w="684"/>
        <w:gridCol w:w="684"/>
        <w:gridCol w:w="97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16.</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Form 10-K Summary</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Pursuant to the requirements of Section 13 or 15(d) of the Securities Exchange Act of 1934, each registrant has duly caused this report to be signed on its behalf by the undersigned, thereunto duly authorized.</w:t>
      </w:r>
    </w:p>
    <w:tbl>
      <w:tblPr>
        <w:tblW w:w="5578" w:type="dxa"/>
        <w:jc w:val="center"/>
        <w:tblInd w:w="0" w:type="dxa"/>
        <w:tblLayout w:type="fixed"/>
        <w:tblCellMar>
          <w:top w:w="28" w:type="dxa"/>
          <w:left w:w="28" w:type="dxa"/>
          <w:bottom w:w="28" w:type="dxa"/>
          <w:right w:w="28" w:type="dxa"/>
        </w:tblCellMar>
      </w:tblPr>
      <w:tblGrid>
        <w:gridCol w:w="582"/>
        <w:gridCol w:w="509"/>
        <w:gridCol w:w="513"/>
        <w:gridCol w:w="240"/>
        <w:gridCol w:w="240"/>
        <w:gridCol w:w="240"/>
        <w:gridCol w:w="939"/>
        <w:gridCol w:w="939"/>
        <w:gridCol w:w="1376"/>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bl>
    <w:tbl>
      <w:tblPr>
        <w:tblW w:w="4727" w:type="dxa"/>
        <w:jc w:val="center"/>
        <w:tblInd w:w="0" w:type="dxa"/>
        <w:tblLayout w:type="fixed"/>
        <w:tblCellMar>
          <w:top w:w="28" w:type="dxa"/>
          <w:left w:w="28" w:type="dxa"/>
          <w:bottom w:w="28" w:type="dxa"/>
          <w:right w:w="28" w:type="dxa"/>
        </w:tblCellMar>
      </w:tblPr>
      <w:tblGrid>
        <w:gridCol w:w="582"/>
        <w:gridCol w:w="509"/>
        <w:gridCol w:w="513"/>
        <w:gridCol w:w="236"/>
        <w:gridCol w:w="236"/>
        <w:gridCol w:w="236"/>
        <w:gridCol w:w="697"/>
        <w:gridCol w:w="697"/>
        <w:gridCol w:w="1021"/>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the officers and directors of VICI Properties Inc. and the officers of VICI Properties L.P.,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be done by virtue hereof.</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52"/>
        <w:gridCol w:w="768"/>
        <w:gridCol w:w="781"/>
        <w:gridCol w:w="109"/>
        <w:gridCol w:w="109"/>
        <w:gridCol w:w="109"/>
        <w:gridCol w:w="1851"/>
        <w:gridCol w:w="1829"/>
        <w:gridCol w:w="1855"/>
        <w:gridCol w:w="109"/>
        <w:gridCol w:w="109"/>
        <w:gridCol w:w="109"/>
        <w:gridCol w:w="438"/>
        <w:gridCol w:w="438"/>
        <w:gridCol w:w="639"/>
      </w:tblGrid>
      <w:tr>
        <w:trPr/>
        <w:tc>
          <w:tcPr>
            <w:tcW w:w="95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GABRIEL F.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Gabriel F.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 ABRAHAMSON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James R. Abrahamson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DIANA F. 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Diana F. 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MONICA H.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Monica H.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Elizabeth I. Holland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CRAIG MACNAB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Craig Macnab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 RUMBOLZ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D. Rumbolz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64"/>
        <w:gridCol w:w="583"/>
        <w:gridCol w:w="583"/>
        <w:gridCol w:w="799"/>
        <w:gridCol w:w="711"/>
        <w:gridCol w:w="711"/>
        <w:gridCol w:w="1631"/>
        <w:gridCol w:w="1507"/>
        <w:gridCol w:w="1455"/>
        <w:gridCol w:w="450"/>
        <w:gridCol w:w="450"/>
        <w:gridCol w:w="661"/>
      </w:tblGrid>
      <w:tr>
        <w:trPr/>
        <w:tc>
          <w:tcPr>
            <w:tcW w:w="6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 SCHEDULES</w:t>
            </w:r>
          </w:p>
        </w:tc>
      </w:tr>
      <w:tr>
        <w:trPr/>
        <w:tc>
          <w:tcPr>
            <w:tcW w:w="86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4"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i368d3c19aa9d44c4a3d1ba3257c0bdcf_112">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12">
              <w:r>
                <w:rPr>
                  <w:rStyle w:val="InternetLink"/>
                  <w:rFonts w:ascii="Times New Roman;serif" w:hAnsi="Times New Roman;serif"/>
                  <w:b w:val="false"/>
                  <w:color w:val="0000FF"/>
                  <w:sz w:val="20"/>
                  <w:u w:val="single"/>
                </w:rPr>
                <w:t>F - 2</w:t>
              </w:r>
            </w:hyperlink>
          </w:p>
        </w:tc>
      </w:tr>
      <w:tr>
        <w:trPr/>
        <w:tc>
          <w:tcPr>
            <w:tcW w:w="86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of VICI Properties Inc.</w:t>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15">
              <w:r>
                <w:rPr>
                  <w:rStyle w:val="InternetLink"/>
                  <w:rFonts w:ascii="Times New Roman;serif" w:hAnsi="Times New Roman;serif"/>
                  <w:b w:val="false"/>
                  <w:color w:val="0000FF"/>
                  <w:sz w:val="20"/>
                  <w:u w:val="single"/>
                </w:rPr>
                <w:t>Consolidated Balance Sheets as of December 31, 2025 and 2024</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15">
              <w:r>
                <w:rPr>
                  <w:rStyle w:val="InternetLink"/>
                  <w:rFonts w:ascii="Times New Roman;serif" w:hAnsi="Times New Roman;serif"/>
                  <w:b w:val="false"/>
                  <w:color w:val="0000FF"/>
                  <w:sz w:val="20"/>
                  <w:u w:val="single"/>
                </w:rPr>
                <w:t>F - 8</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 2024 and 2023</w:t>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18">
              <w:r>
                <w:rPr>
                  <w:rStyle w:val="InternetLink"/>
                  <w:rFonts w:ascii="Times New Roman;serif" w:hAnsi="Times New Roman;serif"/>
                  <w:b w:val="false"/>
                  <w:color w:val="0000FF"/>
                  <w:sz w:val="20"/>
                  <w:u w:val="single"/>
                </w:rPr>
                <w:t>Consolidated Statements of Operations and Comprehensive Income</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18">
              <w:r>
                <w:rPr>
                  <w:rStyle w:val="InternetLink"/>
                  <w:rFonts w:ascii="Times New Roman;serif" w:hAnsi="Times New Roman;serif"/>
                  <w:b w:val="false"/>
                  <w:color w:val="0000FF"/>
                  <w:sz w:val="20"/>
                  <w:u w:val="single"/>
                </w:rPr>
                <w:t>F - 9</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21">
              <w:r>
                <w:rPr>
                  <w:rStyle w:val="InternetLink"/>
                  <w:rFonts w:ascii="Times New Roman;serif" w:hAnsi="Times New Roman;serif"/>
                  <w:b w:val="false"/>
                  <w:color w:val="0000FF"/>
                  <w:sz w:val="20"/>
                  <w:u w:val="single"/>
                </w:rPr>
                <w:t>Consolidated Statements of Stockholders’ Equity</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21">
              <w:r>
                <w:rPr>
                  <w:rStyle w:val="InternetLink"/>
                  <w:rFonts w:ascii="Times New Roman;serif" w:hAnsi="Times New Roman;serif"/>
                  <w:b w:val="false"/>
                  <w:color w:val="0000FF"/>
                  <w:sz w:val="20"/>
                  <w:u w:val="single"/>
                </w:rPr>
                <w:t>F - 10</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24">
              <w:r>
                <w:rPr>
                  <w:rStyle w:val="InternetLink"/>
                  <w:rFonts w:ascii="Times New Roman;serif" w:hAnsi="Times New Roman;serif"/>
                  <w:b w:val="false"/>
                  <w:color w:val="0000FF"/>
                  <w:sz w:val="20"/>
                  <w:u w:val="single"/>
                </w:rPr>
                <w:t>Consolidated Statements of Cash Flows</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24">
              <w:r>
                <w:rPr>
                  <w:rStyle w:val="InternetLink"/>
                  <w:rFonts w:ascii="Times New Roman;serif" w:hAnsi="Times New Roman;serif"/>
                  <w:b w:val="false"/>
                  <w:color w:val="0000FF"/>
                  <w:sz w:val="20"/>
                  <w:u w:val="single"/>
                </w:rPr>
                <w:t>F - 11</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of VICI Properties L.P.</w:t>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30">
              <w:r>
                <w:rPr>
                  <w:rStyle w:val="InternetLink"/>
                  <w:rFonts w:ascii="Times New Roman;serif" w:hAnsi="Times New Roman;serif"/>
                  <w:b w:val="false"/>
                  <w:color w:val="0000FF"/>
                  <w:sz w:val="20"/>
                  <w:u w:val="single"/>
                </w:rPr>
                <w:t>Consolidated Balance Sheets as of December 31, 2025 and 2024</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30">
              <w:r>
                <w:rPr>
                  <w:rStyle w:val="InternetLink"/>
                  <w:rFonts w:ascii="Times New Roman;serif" w:hAnsi="Times New Roman;serif"/>
                  <w:b w:val="false"/>
                  <w:color w:val="0000FF"/>
                  <w:sz w:val="20"/>
                  <w:u w:val="single"/>
                </w:rPr>
                <w:t>F - 13</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 2024 and 2023</w:t>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33">
              <w:r>
                <w:rPr>
                  <w:rStyle w:val="InternetLink"/>
                  <w:rFonts w:ascii="Times New Roman;serif" w:hAnsi="Times New Roman;serif"/>
                  <w:b w:val="false"/>
                  <w:color w:val="0000FF"/>
                  <w:sz w:val="20"/>
                  <w:u w:val="single"/>
                </w:rPr>
                <w:t>Consolidated Statements of Operations and Comprehensive Income</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33">
              <w:r>
                <w:rPr>
                  <w:rStyle w:val="InternetLink"/>
                  <w:rFonts w:ascii="Times New Roman;serif" w:hAnsi="Times New Roman;serif"/>
                  <w:b w:val="false"/>
                  <w:color w:val="0000FF"/>
                  <w:sz w:val="20"/>
                  <w:u w:val="single"/>
                </w:rPr>
                <w:t>F - 14</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36">
              <w:r>
                <w:rPr>
                  <w:rStyle w:val="InternetLink"/>
                  <w:rFonts w:ascii="Times New Roman;serif" w:hAnsi="Times New Roman;serif"/>
                  <w:b w:val="false"/>
                  <w:color w:val="0000FF"/>
                  <w:sz w:val="20"/>
                  <w:u w:val="single"/>
                </w:rPr>
                <w:t>Consolidated Statements of Partners' Capital</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36">
              <w:r>
                <w:rPr>
                  <w:rStyle w:val="InternetLink"/>
                  <w:rFonts w:ascii="Times New Roman;serif" w:hAnsi="Times New Roman;serif"/>
                  <w:b w:val="false"/>
                  <w:color w:val="0000FF"/>
                  <w:sz w:val="20"/>
                  <w:u w:val="single"/>
                </w:rPr>
                <w:t>F - 15</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39">
              <w:r>
                <w:rPr>
                  <w:rStyle w:val="InternetLink"/>
                  <w:rFonts w:ascii="Times New Roman;serif" w:hAnsi="Times New Roman;serif"/>
                  <w:b w:val="false"/>
                  <w:color w:val="0000FF"/>
                  <w:sz w:val="20"/>
                  <w:u w:val="single"/>
                </w:rPr>
                <w:t>Consolidated Statements of Cash Flows</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39">
              <w:r>
                <w:rPr>
                  <w:rStyle w:val="InternetLink"/>
                  <w:rFonts w:ascii="Times New Roman;serif" w:hAnsi="Times New Roman;serif"/>
                  <w:b w:val="false"/>
                  <w:color w:val="0000FF"/>
                  <w:sz w:val="20"/>
                  <w:u w:val="single"/>
                </w:rPr>
                <w:t>F - 16</w:t>
              </w:r>
            </w:hyperlink>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68d3c19aa9d44c4a3d1ba3257c0bdcf_142">
              <w:r>
                <w:rPr>
                  <w:rStyle w:val="InternetLink"/>
                  <w:rFonts w:ascii="Times New Roman;serif" w:hAnsi="Times New Roman;serif"/>
                  <w:b w:val="false"/>
                  <w:color w:val="0000FF"/>
                  <w:sz w:val="20"/>
                  <w:u w:val="single"/>
                </w:rPr>
                <w:t>Notes to Consolidated Financial Statements</w:t>
              </w:r>
            </w:hyperlink>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8d3c19aa9d44c4a3d1ba3257c0bdcf_142">
              <w:r>
                <w:rPr>
                  <w:rStyle w:val="InternetLink"/>
                  <w:rFonts w:ascii="Times New Roman;serif" w:hAnsi="Times New Roman;serif"/>
                  <w:b w:val="false"/>
                  <w:color w:val="0000FF"/>
                  <w:sz w:val="20"/>
                  <w:u w:val="single"/>
                </w:rPr>
                <w:t>F - 18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REPORT OF INDEPENDENT REGISTERED PUBLIC ACCOUNTING FIRM</w:t>
      </w:r>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VICI Properties Inc. </w:t>
      </w:r>
    </w:p>
    <w:p>
      <w:pPr>
        <w:pStyle w:val="TextBody"/>
        <w:bidi w:val="0"/>
        <w:spacing w:lineRule="auto" w:line="288" w:before="240" w:after="283"/>
        <w:jc w:val="both"/>
        <w:rPr/>
      </w:pPr>
      <w:r>
        <w:rPr>
          <w:rFonts w:ascii="Times New Roman;serif" w:hAnsi="Times New Roman;serif"/>
          <w:b/>
          <w:color w:val="000000"/>
          <w:sz w:val="20"/>
        </w:rPr>
        <w:t>Opinion on the Financial Statements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VICI Properties Inc. and subsidiaries (the "Company") as of December 31, 2025 and 2024, the related consolidated statements of operations and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80" w:after="283"/>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and our report dated February 25, 2026, expressed an unqualified opinion on the Company's internal control over financial reporting. </w:t>
      </w:r>
    </w:p>
    <w:p>
      <w:pPr>
        <w:pStyle w:val="TextBody"/>
        <w:bidi w:val="0"/>
        <w:spacing w:lineRule="auto" w:line="288" w:before="240" w:after="283"/>
        <w:jc w:val="left"/>
        <w:rPr/>
      </w:pPr>
      <w:r>
        <w:rPr>
          <w:rFonts w:ascii="Times New Roman;serif" w:hAnsi="Times New Roman;serif"/>
          <w:b/>
          <w:color w:val="000000"/>
          <w:sz w:val="20"/>
        </w:rPr>
        <w:t>Basis for Opinion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Allowance for Credit Losses — Refer to Notes 2 and 5 to the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lineRule="auto" w:line="288" w:before="180" w:after="283"/>
        <w:jc w:val="both"/>
        <w:rPr/>
      </w:pPr>
      <w:r>
        <w:rPr>
          <w:rFonts w:ascii="Times New Roman;serif" w:hAnsi="Times New Roman;serif"/>
          <w:b w:val="false"/>
          <w:color w:val="000000"/>
          <w:sz w:val="20"/>
        </w:rPr>
        <w:t xml:space="preserve">The Company applies Accounting Standard Codification Topic 326 - </w:t>
      </w:r>
      <w:r>
        <w:rPr>
          <w:rFonts w:ascii="Times New Roman;serif" w:hAnsi="Times New Roman;serif"/>
          <w:b w:val="false"/>
          <w:i/>
          <w:color w:val="000000"/>
          <w:sz w:val="20"/>
        </w:rPr>
        <w:t>Financial Instruments-Credit Losses</w:t>
      </w:r>
      <w:r>
        <w:rPr>
          <w:color w:val="000000"/>
        </w:rPr>
        <w:t xml:space="preserve"> </w:t>
      </w:r>
      <w:r>
        <w:rPr>
          <w:rFonts w:ascii="Times New Roman;serif" w:hAnsi="Times New Roman;serif"/>
          <w:b w:val="false"/>
          <w:color w:val="000000"/>
          <w:sz w:val="20"/>
        </w:rPr>
        <w:t xml:space="preserve">to measure and record current expected credit losses (“CECL”) using a discounted cash flow model for its sales-type leases and lease financing receivables. This model requires the Company to develop cash flows which are used to project estimated credit losses over the life of the sales-type lease and lease financing receivable, and discount these cash flows at the lease’s effective interest rate.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the Company’s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and their parent guarantors. Significant inputs to the Company’s forecasting methods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 the tenants’ short-term and long-term PD and LGD based on the tenants’ and their parent guarantors’ credit profile related to sales-type leases and lease financing receivables.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Given the significant amount of judgment required by management to estimate the short-term and long-term PD and LGD, performing audit procedures to evaluate the reasonableness of the estimated allowance for credit losses on sales-type leases and lease financing receivables required a high degree of auditor judgment and increased effort, including the need to involve our credit specialists.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allowance for credit losses for the Company’s sales-type leases and lease financing receivables included the following, among others: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tested the effectiveness of controls over the allowance for credit losses, including management’s controls over the data used in the model.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With the assistance of our credit specialists, we evaluated the reasonableness of the model’s methodology, which includes PD and LGD assumptions.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tested the inputs used to determine the short-term and long-term PD of the tenants and their parent guarantors by agreeing the respective credit rating and equity value of each entity to independent data.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reconciled the cash flow inputs used in the CECL model by agreeing them to the respective contractual agreements.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VICI Properties Inc. </w:t>
      </w:r>
    </w:p>
    <w:p>
      <w:pPr>
        <w:pStyle w:val="TextBody"/>
        <w:bidi w:val="0"/>
        <w:spacing w:lineRule="auto" w:line="288" w:before="180" w:after="283"/>
        <w:jc w:val="both"/>
        <w:rPr/>
      </w:pPr>
      <w:r>
        <w:rPr>
          <w:rFonts w:ascii="Times New Roman;serif" w:hAnsi="Times New Roman;serif"/>
          <w:b/>
          <w:color w:val="000000"/>
          <w:sz w:val="20"/>
        </w:rPr>
        <w:t>Opinion on Internal Control over Financial Reporting</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We have audited the internal control over financial reporting of VICI Properties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COSO.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consolidated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80" w:after="283"/>
        <w:jc w:val="both"/>
        <w:rPr/>
      </w:pPr>
      <w:r>
        <w:rPr>
          <w:rFonts w:ascii="Times New Roman;serif" w:hAnsi="Times New Roman;serif"/>
          <w:b/>
          <w:color w:val="000000"/>
          <w:sz w:val="20"/>
        </w:rPr>
        <w:t>Definition and Limitations of Internal Control over Financial Reporting</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REPORT OF INDEPENDENT REGISTERED PUBLIC ACCOUNTING FIRM</w:t>
      </w:r>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Partners of VICI Properties L.P. and the Board of Directors of VICI Properties Inc.</w:t>
      </w:r>
    </w:p>
    <w:p>
      <w:pPr>
        <w:pStyle w:val="TextBody"/>
        <w:bidi w:val="0"/>
        <w:spacing w:lineRule="auto" w:line="288" w:before="240" w:after="283"/>
        <w:jc w:val="both"/>
        <w:rPr/>
      </w:pPr>
      <w:r>
        <w:rPr>
          <w:rFonts w:ascii="Times New Roman;serif" w:hAnsi="Times New Roman;serif"/>
          <w:b/>
          <w:color w:val="000000"/>
          <w:sz w:val="20"/>
        </w:rPr>
        <w:t>Opinion on the Financial Statements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VICI Properties L.P. and subsidiaries (the "Partnership") as of December 31, 2025 and 2024, the related consolidated statements of operations and comprehensive income, partners' capital, and cash flows, for each of the three years in the period ended December 31, 2025, and the related notes (collectively referred to as the "financial statements"). In our opinion, the financial statements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80" w:after="283"/>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Partnership's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and our report dated February 25, 2026, expressed an unqualified opinion on the Partnership's internal control over financial reporting. </w:t>
      </w:r>
    </w:p>
    <w:p>
      <w:pPr>
        <w:pStyle w:val="TextBody"/>
        <w:bidi w:val="0"/>
        <w:spacing w:lineRule="auto" w:line="288" w:before="180" w:after="283"/>
        <w:jc w:val="both"/>
        <w:rPr/>
      </w:pPr>
      <w:r>
        <w:rPr>
          <w:rFonts w:ascii="Times New Roman;serif" w:hAnsi="Times New Roman;serif"/>
          <w:b/>
          <w:color w:val="000000"/>
          <w:sz w:val="20"/>
        </w:rPr>
        <w:t>Basis for Opinion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 — Refer to Notes 2 and 5 to the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lineRule="auto" w:line="288" w:before="180" w:after="283"/>
        <w:jc w:val="both"/>
        <w:rPr/>
      </w:pPr>
      <w:r>
        <w:rPr>
          <w:rFonts w:ascii="Times New Roman;serif" w:hAnsi="Times New Roman;serif"/>
          <w:b w:val="false"/>
          <w:color w:val="000000"/>
          <w:sz w:val="20"/>
        </w:rPr>
        <w:t xml:space="preserve">The Partnership applies Accounting Standard Codification Topic 326 - </w:t>
      </w:r>
      <w:r>
        <w:rPr>
          <w:rFonts w:ascii="Times New Roman;serif" w:hAnsi="Times New Roman;serif"/>
          <w:b w:val="false"/>
          <w:i/>
          <w:color w:val="000000"/>
          <w:sz w:val="20"/>
        </w:rPr>
        <w:t>Financial Instruments-Credit Losses</w:t>
      </w:r>
      <w:r>
        <w:rPr>
          <w:color w:val="000000"/>
        </w:rPr>
        <w:t xml:space="preserve"> </w:t>
      </w:r>
      <w:r>
        <w:rPr>
          <w:rFonts w:ascii="Times New Roman;serif" w:hAnsi="Times New Roman;serif"/>
          <w:b w:val="false"/>
          <w:color w:val="000000"/>
          <w:sz w:val="20"/>
        </w:rPr>
        <w:t xml:space="preserve">to measure and record current expected credit losses (“CECL”) using a discounted cash flow model for its sales-type leases and lease financing receivables. This model requires the Partnership to develop cash flows which are used to project estimated credit losses over the life of the sales-type lease and lease financing receivable, and discount these cash flows at the lease’s effective interest rate.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the Partnership’s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Partnership’s tenants and their parent guarantors. Significant inputs to the Partnership’s forecasting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methods include the tenants’ short-term and long-term PD and LGD based on the tenants’ and their parent guarantors’ credit profile related to sales-type leases and lease financing receivables.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Given the significant amount of judgment required by management to estimate the short-term and long-term PD and LGD, performing audit procedures to evaluate the reasonableness of the estimated allowance for credit losses on sales-type leases and lease financing receivables required a high degree of auditor judgment and increased effort, including the need to involve our credit specialists.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allowance for credit losses for the Partnership’s sales-type leases and lease financing receivables included the following, among others: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tested the effectiveness of controls over the allowance for credit losses, including management’s controls over the data used in the model.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With the assistance of our credit specialists, we evaluated the reasonableness of the model’s methodology, which includes PD and LGD assumptions.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tested the inputs used to determine the short-term and long-term PD of the tenants and their parent guarantors by agreeing the respective credit rating and equity value of each entity to independent data.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reconciled the cash flow inputs used in the CECL model by agreeing them to the respective contractual agreements.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Partnership's auditor since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Partners of VICI Properties L.P. and the Board of Directors of VICI Properties Inc.</w:t>
      </w:r>
    </w:p>
    <w:p>
      <w:pPr>
        <w:pStyle w:val="TextBody"/>
        <w:bidi w:val="0"/>
        <w:spacing w:lineRule="auto" w:line="288" w:before="180" w:after="283"/>
        <w:jc w:val="both"/>
        <w:rPr/>
      </w:pPr>
      <w:r>
        <w:rPr>
          <w:rFonts w:ascii="Times New Roman;serif" w:hAnsi="Times New Roman;serif"/>
          <w:b/>
          <w:color w:val="000000"/>
          <w:sz w:val="20"/>
        </w:rPr>
        <w:t>Opinion on Internal Control over Financial Reporting</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We have audited the internal control over financial reporting of VICI Properties L.P. and subsidiaries (the “Partnership”)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Partnership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COSO.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Partnership and our report dated February 25, 2026, expressed an unqualified opinion on those consolidated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80" w:after="283"/>
        <w:jc w:val="both"/>
        <w:rPr/>
      </w:pPr>
      <w:r>
        <w:rPr>
          <w:rFonts w:ascii="Times New Roman;serif" w:hAnsi="Times New Roman;serif"/>
          <w:b/>
          <w:color w:val="000000"/>
          <w:sz w:val="20"/>
        </w:rPr>
        <w:t>Definition and Limitations of Internal Control over Financial Reporting</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31"/>
        <w:gridCol w:w="2079"/>
        <w:gridCol w:w="2111"/>
        <w:gridCol w:w="218"/>
        <w:gridCol w:w="1122"/>
        <w:gridCol w:w="113"/>
        <w:gridCol w:w="109"/>
        <w:gridCol w:w="109"/>
        <w:gridCol w:w="109"/>
        <w:gridCol w:w="218"/>
        <w:gridCol w:w="1121"/>
        <w:gridCol w:w="165"/>
      </w:tblGrid>
      <w:tr>
        <w:trPr/>
        <w:tc>
          <w:tcPr>
            <w:tcW w:w="273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45,368,940 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18,417,139 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1,350,000,000 shares authorized and 1,068,811,371 and 1,056,366,685 shares issued and outstanding at December 31, 2025 and December 31, 2024, respectively </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50,000,000 shares authorized and no shares outstanding at December 31, 2025 and 2024</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24,515,417 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26,537,955 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26,951,801 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45,368,940 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December 31, 2025 and December 31, 2024, our Investments in leases - sales-type, Investments in leases - financing receivables, Investments in loans and Other assets (sales-type sub-leases) are net of $919.2 million, $769.9 million, $56.4 million and $23.9 million, respectively, and $802.7 million, $737.1 million, $25.0 million, and $20.6 million, respectively, of Allowance for credit losses. Refer to </w:t>
      </w:r>
      <w:hyperlink w:anchor="i368d3c19aa9d44c4a3d1ba3257c0bdcf_160">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876"/>
        <w:gridCol w:w="1638"/>
        <w:gridCol w:w="1655"/>
        <w:gridCol w:w="237"/>
        <w:gridCol w:w="1099"/>
        <w:gridCol w:w="109"/>
        <w:gridCol w:w="109"/>
        <w:gridCol w:w="109"/>
        <w:gridCol w:w="109"/>
        <w:gridCol w:w="237"/>
        <w:gridCol w:w="1099"/>
        <w:gridCol w:w="109"/>
        <w:gridCol w:w="109"/>
        <w:gridCol w:w="109"/>
        <w:gridCol w:w="109"/>
        <w:gridCol w:w="237"/>
        <w:gridCol w:w="1099"/>
        <w:gridCol w:w="156"/>
      </w:tblGrid>
      <w:tr>
        <w:trPr/>
        <w:tc>
          <w:tcPr>
            <w:tcW w:w="187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3,611,988 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1,062,006,448 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1,046,739,537 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1,014,513,195 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1,062,693,062 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1,047,675,111 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1,015,776,697 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2,482,057 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1858" w:type="dxa"/>
        <w:jc w:val="center"/>
        <w:tblInd w:w="0" w:type="dxa"/>
        <w:tblLayout w:type="fixed"/>
        <w:tblCellMar>
          <w:top w:w="28" w:type="dxa"/>
          <w:left w:w="28" w:type="dxa"/>
          <w:bottom w:w="28" w:type="dxa"/>
          <w:right w:w="28" w:type="dxa"/>
        </w:tblCellMar>
      </w:tblPr>
      <w:tblGrid>
        <w:gridCol w:w="522"/>
        <w:gridCol w:w="354"/>
        <w:gridCol w:w="355"/>
        <w:gridCol w:w="196"/>
        <w:gridCol w:w="646"/>
        <w:gridCol w:w="109"/>
        <w:gridCol w:w="109"/>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21,645,499 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22,290,113 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partnership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($1.610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25,657,774 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($1.695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26,537,955 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413,846 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($1.765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24,898,868 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27,797,640 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424,947 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28,222,587 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137"/>
        <w:gridCol w:w="1733"/>
        <w:gridCol w:w="1746"/>
        <w:gridCol w:w="211"/>
        <w:gridCol w:w="976"/>
        <w:gridCol w:w="109"/>
        <w:gridCol w:w="109"/>
        <w:gridCol w:w="109"/>
        <w:gridCol w:w="109"/>
        <w:gridCol w:w="211"/>
        <w:gridCol w:w="976"/>
        <w:gridCol w:w="109"/>
        <w:gridCol w:w="109"/>
        <w:gridCol w:w="109"/>
        <w:gridCol w:w="109"/>
        <w:gridCol w:w="211"/>
        <w:gridCol w:w="976"/>
        <w:gridCol w:w="156"/>
      </w:tblGrid>
      <w:tr>
        <w:trPr/>
        <w:tc>
          <w:tcPr>
            <w:tcW w:w="21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(922,781)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(2,899,095)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220"/>
        <w:gridCol w:w="1899"/>
        <w:gridCol w:w="1912"/>
        <w:gridCol w:w="212"/>
        <w:gridCol w:w="835"/>
        <w:gridCol w:w="109"/>
        <w:gridCol w:w="109"/>
        <w:gridCol w:w="109"/>
        <w:gridCol w:w="109"/>
        <w:gridCol w:w="212"/>
        <w:gridCol w:w="835"/>
        <w:gridCol w:w="109"/>
        <w:gridCol w:w="109"/>
        <w:gridCol w:w="109"/>
        <w:gridCol w:w="109"/>
        <w:gridCol w:w="212"/>
        <w:gridCol w:w="835"/>
        <w:gridCol w:w="161"/>
      </w:tblGrid>
      <w:tr>
        <w:trPr/>
        <w:tc>
          <w:tcPr>
            <w:tcW w:w="222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 of common stock,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Supplemental cash flow information: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Supplemental non-cash investing and financing activity:</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distributions declared, not paid </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stock-based compensation subject to repurchase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Obtaining right-of-use assets in exchange for lease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- 12</w:t>
                      </w:r>
                    </w:p>
                  </w:txbxContent>
                </v:textbox>
                <w10:wrap type="none"/>
              </v:rect>
            </w:pict>
          </mc:Fallback>
        </mc:AlternateContent>
      </w:r>
    </w:p>
    <w:p>
      <w:pPr>
        <w:pStyle w:val="TextBody"/>
        <w:bidi w:val="0"/>
        <w:spacing w:lineRule="auto" w:line="288" w:before="60" w:after="283"/>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2692"/>
        <w:gridCol w:w="2087"/>
        <w:gridCol w:w="2119"/>
        <w:gridCol w:w="220"/>
        <w:gridCol w:w="1131"/>
        <w:gridCol w:w="114"/>
        <w:gridCol w:w="109"/>
        <w:gridCol w:w="109"/>
        <w:gridCol w:w="109"/>
        <w:gridCol w:w="220"/>
        <w:gridCol w:w="1130"/>
        <w:gridCol w:w="165"/>
      </w:tblGrid>
      <w:tr>
        <w:trPr/>
        <w:tc>
          <w:tcPr>
            <w:tcW w:w="2692"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45,285,760 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18,486,100 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18,400,872 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Partners’ capital</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Partners’ capital, 1,081,042,744 and 1,068,598,058 operating partnership units issued and outstanding at December 31, 2025 and December 31, 2024, respectively </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27,923,645 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26,634,873 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LP’s capital</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28,043,735 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26,778,772 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attributable to partners</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28,150,178 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26,884,888 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45,285,760 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December 31, 2025 and December 31, 2024, our Investments in leases - sales-type, Investments in leases - financing receivables, Investments in loans and Other assets (sales-type sub-leases) are net of $919.2 million, $769.9 million, $56.4 million and $23.9 million, respectively, and $802.7 million, $737.1 million, $25.0 million, and $20.6 million, respectively, of Allowance for credit losses. Refer to </w:t>
      </w:r>
      <w:hyperlink w:anchor="i368d3c19aa9d44c4a3d1ba3257c0bdcf_160">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- 13</w:t>
                      </w:r>
                    </w:p>
                  </w:txbxContent>
                </v:textbox>
                <w10:wrap type="none"/>
              </v:rect>
            </w:pict>
          </mc:Fallback>
        </mc:AlternateContent>
      </w:r>
    </w:p>
    <w:p>
      <w:pPr>
        <w:pStyle w:val="TextBody"/>
        <w:bidi w:val="0"/>
        <w:spacing w:lineRule="auto" w:line="288" w:before="60" w:after="283"/>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088" w:type="dxa"/>
        <w:jc w:val="left"/>
        <w:tblInd w:w="0" w:type="dxa"/>
        <w:tblLayout w:type="fixed"/>
        <w:tblCellMar>
          <w:top w:w="28" w:type="dxa"/>
          <w:left w:w="28" w:type="dxa"/>
          <w:bottom w:w="28" w:type="dxa"/>
          <w:right w:w="28" w:type="dxa"/>
        </w:tblCellMar>
      </w:tblPr>
      <w:tblGrid>
        <w:gridCol w:w="1824"/>
        <w:gridCol w:w="1607"/>
        <w:gridCol w:w="1623"/>
        <w:gridCol w:w="237"/>
        <w:gridCol w:w="1099"/>
        <w:gridCol w:w="109"/>
        <w:gridCol w:w="109"/>
        <w:gridCol w:w="109"/>
        <w:gridCol w:w="109"/>
        <w:gridCol w:w="237"/>
        <w:gridCol w:w="1099"/>
        <w:gridCol w:w="109"/>
        <w:gridCol w:w="109"/>
        <w:gridCol w:w="109"/>
        <w:gridCol w:w="109"/>
        <w:gridCol w:w="237"/>
        <w:gridCol w:w="109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partners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Partnership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1,074,237,821 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1,058,970,910 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1,026,744,568 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1,074,924,435 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1,059,906,484 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1,028,008,070 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partners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- 14</w:t>
                      </w:r>
                    </w:p>
                  </w:txbxContent>
                </v:textbox>
                <w10:wrap type="none"/>
              </v:rect>
            </w:pict>
          </mc:Fallback>
        </mc:AlternateContent>
      </w:r>
    </w:p>
    <w:p>
      <w:pPr>
        <w:pStyle w:val="TextBody"/>
        <w:bidi w:val="0"/>
        <w:spacing w:lineRule="auto" w:line="288" w:before="60" w:after="283"/>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961"/>
        <w:gridCol w:w="794"/>
        <w:gridCol w:w="796"/>
        <w:gridCol w:w="204"/>
        <w:gridCol w:w="1004"/>
        <w:gridCol w:w="113"/>
        <w:gridCol w:w="109"/>
        <w:gridCol w:w="109"/>
        <w:gridCol w:w="109"/>
        <w:gridCol w:w="109"/>
        <w:gridCol w:w="109"/>
        <w:gridCol w:w="423"/>
        <w:gridCol w:w="1596"/>
        <w:gridCol w:w="239"/>
        <w:gridCol w:w="109"/>
        <w:gridCol w:w="109"/>
        <w:gridCol w:w="109"/>
        <w:gridCol w:w="293"/>
        <w:gridCol w:w="1102"/>
        <w:gridCol w:w="164"/>
        <w:gridCol w:w="109"/>
        <w:gridCol w:w="109"/>
        <w:gridCol w:w="109"/>
        <w:gridCol w:w="196"/>
        <w:gridCol w:w="961"/>
        <w:gridCol w:w="160"/>
      </w:tblGrid>
      <w:tr>
        <w:trPr/>
        <w:tc>
          <w:tcPr>
            <w:tcW w:w="9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21,900,511 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185,201 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22,165,216 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2,535,066 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2,545,970 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partnership units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153,350 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2,704,255 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2,715,455 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(1,800,891)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(1,800,891)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26,634,873 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26,884,888 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2,812,647 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(1,897,922)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(1,897,922)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27,923,645 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28,150,178 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- 15</w:t>
                      </w:r>
                    </w:p>
                  </w:txbxContent>
                </v:textbox>
                <w10:wrap type="none"/>
              </v:rect>
            </w:pict>
          </mc:Fallback>
        </mc:AlternateContent>
      </w:r>
    </w:p>
    <w:p>
      <w:pPr>
        <w:pStyle w:val="TextBody"/>
        <w:bidi w:val="0"/>
        <w:spacing w:lineRule="auto" w:line="288" w:before="60" w:after="283"/>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137"/>
        <w:gridCol w:w="1733"/>
        <w:gridCol w:w="1746"/>
        <w:gridCol w:w="211"/>
        <w:gridCol w:w="976"/>
        <w:gridCol w:w="109"/>
        <w:gridCol w:w="109"/>
        <w:gridCol w:w="109"/>
        <w:gridCol w:w="109"/>
        <w:gridCol w:w="211"/>
        <w:gridCol w:w="976"/>
        <w:gridCol w:w="109"/>
        <w:gridCol w:w="109"/>
        <w:gridCol w:w="109"/>
        <w:gridCol w:w="109"/>
        <w:gridCol w:w="211"/>
        <w:gridCol w:w="976"/>
        <w:gridCol w:w="156"/>
      </w:tblGrid>
      <w:tr>
        <w:trPr/>
        <w:tc>
          <w:tcPr>
            <w:tcW w:w="21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- 16</w:t>
                      </w:r>
                    </w:p>
                  </w:txbxContent>
                </v:textbox>
                <w10:wrap type="none"/>
              </v:rect>
            </w:pict>
          </mc:Fallback>
        </mc:AlternateContent>
      </w:r>
    </w:p>
    <w:p>
      <w:pPr>
        <w:pStyle w:val="TextBody"/>
        <w:bidi w:val="0"/>
        <w:spacing w:lineRule="auto" w:line="288" w:before="60" w:after="283"/>
        <w:jc w:val="left"/>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223"/>
        <w:gridCol w:w="1897"/>
        <w:gridCol w:w="1912"/>
        <w:gridCol w:w="212"/>
        <w:gridCol w:w="835"/>
        <w:gridCol w:w="109"/>
        <w:gridCol w:w="109"/>
        <w:gridCol w:w="109"/>
        <w:gridCol w:w="109"/>
        <w:gridCol w:w="212"/>
        <w:gridCol w:w="835"/>
        <w:gridCol w:w="109"/>
        <w:gridCol w:w="109"/>
        <w:gridCol w:w="109"/>
        <w:gridCol w:w="109"/>
        <w:gridCol w:w="212"/>
        <w:gridCol w:w="835"/>
        <w:gridCol w:w="160"/>
      </w:tblGrid>
      <w:tr>
        <w:trPr/>
        <w:tc>
          <w:tcPr>
            <w:tcW w:w="222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2,507,511 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Paydown of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Supplemental cash flow information: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Supplemental non-cash investing and financing activity:</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stock-based compensation, subject to repurchase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Obtaining right-of-use assets in exchange for lease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receivable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this Annual Report on Form 10-K, the words the “Company,” “VICI,” “we,” “our,” and “us” refer to VICI Properties Inc. and its subsidiaries, including VICI Properties L.P. (“VICI LP”), on a consolidated basis, unless otherwise stated or the context requires otherwise.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 — Business and Organization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Maryland corporation that is primarily engaged in the business of owning and acquiring gaming, hospitality, wellness, entertainment and leisure destinations, subject to long-term triple net leases. As of December 31, 2025,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the parent company, is a Maryland corporation and internally managed real estate investment trust (“REIT”) for U.S. federal income tax purposes. Our real property business, which represents the substantial majority of our assets, is conducted through VICI Properties OP LLC (“VICI OP”) and indirectly through VICI LP and our golf course business, VICI Golf LLC (“VICI Golf”), is conducted through a direct wholly owned taxable REIT subsidiary (“TRS”) of VICI. As a REIT, we generally will not be subject to U.S. federal income taxes on our taxable income to the extent that we annually distribute substantially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2 — Summary of Significant Accounting Policies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accounting principles generally accepted in the United States of America (“GAAP”) as set forth in the Accounting Standards Codification (“ASC”), as published by the Financial Accounting Standards Board (“FASB”), and with the applicable rules and regulations of the Securities and Exchange Commission (“SEC”). Certain prior period amounts have been reclassified to conform to the current period presentation.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Principles of Consolidation and Non-controlling Interest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include our accounts and the accounts of VICI LP, and the subsidiaries in which we or VICI LP has a controlling interest. The operating partnership, VICI OP, is a variable interest entity (“VIE”) of which we are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Substantially all of our assets and liabilities relate to VICI LP, whose limited partnership interest is 100% owned by VICI OP. Therefore, we consolidate the accounts of VICI LP and reflect the third-party ownership in VICI OP as a non-controlling interest on the Consolidated Balance Sheets. All intercompany account balances and transactions have been eliminated in consolidation.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December 31, 2025, VICI’s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non-controlling interests were comprised of (i) approximately 1.1% third-party ownership of VICI OP in the form of a limited liability company interest in VICI OP (“VICI OP Units”), (ii) a 20% third-party ownership of Harrah’s Joliet Landco LLC, the entity that owns the Harrah’s Joliet facility and is the lessor under the Caesars Joliet Lease and (iii) a minority third-party equity interest, in the form of Class A Units, of VICI Bowl HoldCo LLC (“Lucky Strike OP Units”), the entity that (a) owns the portfolio of bowling entertainment centers leased to Lucky Strike Entertainment Corporation and (b) is the lessor under the related Lucky Strike master lease agreement, which interest entitles the non-controlling interest holder to a preferred return that currently approximates 4.1% of the entity’s cash flows.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consist of real estate investment activities, which represent substantially all of our business. The operating results are regularly reviewed, on a consolidated basis, by the chief operating decision maker and are considered to be one operating segment. Accordingly, all operations have been considered to represent one reportable segment.</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368d3c19aa9d44c4a3d1ba3257c0bdcf_193">
        <w:r>
          <w:rPr>
            <w:rStyle w:val="InternetLink"/>
            <w:rFonts w:ascii="Times New Roman;serif" w:hAnsi="Times New Roman;serif"/>
            <w:b w:val="false"/>
            <w:color w:val="0000FF"/>
            <w:sz w:val="20"/>
            <w:u w:val="single"/>
          </w:rPr>
          <w:t>Note 15 - Segment Information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December 31, 2025 and 2024, we did not have any restricted cash.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$44.5 million of short-term investments as of December 31, 2025. We did not have any short-term investments as of December 31,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Purchase Accounting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or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joint venture that holds the real estate assets of MGM Grand Las Vegas and Mandalay Bay (“MGM Grand/Mandalay Bay JV”),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Sales-type,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- 19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accordingly no profit or loss is recognized,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Financing Receivables,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Lease Term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842, at the inception of a lease or upon a lease modification, we assess the noncancelable lease term,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gaming assets and certain other irreplaceable real estate, upon lease inception or modification, we have generally concluded that the lease term includes all of the periods covered by extension options as it was reasonably certain at such time that our tenants would renew the lease agreements. At such time, we believed our tenants were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Leases and Lease Financing Receivables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related income from our sales-type leases and lease financing receivables on an effective interest basis at a constant rate of return over the terms of the applicable leases based on the future minimum lease payments.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Contingent rent, which is generally comprised of amounts in excess of specified floors or the variable rent portion of our leases, is recognized when receivable.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Initial direct costs incurred in connection with entering into investments classified as sales-type leases are included in the balance of the net investment in the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Origination fees and costs incurred in connection with entering into investments classified as lease financing receivables are included in the balance of the net investment and such amounts will be recognized as an adjustment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Loans and Securities,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of our investments in loans contain provisions for paid-in-kind (“PIK”) interest, whereby contractual interest is added to the outstanding principal balance of the investment instead of being paid in cash when due. We recognize PIK interest as income in the period earned, with a corresponding increase to the carrying value of the related investment.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loans on an individual basis to determine whether a loan should be placed on nonaccrual. We place loans on nonaccrual if there is a significant deterioration in credit quality or once reasonable doubt exists about the collectibility of the principal and interest due.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fair value of collateral to generate net operating income and forecast the expected loss for each loan.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years ended December 31, 2025, 2024 and 2023.</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368d3c19aa9d44c4a3d1ba3257c0bdcf_160">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Land</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investments in land are held at historical cost and comprised of the following:</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Las Vegas Land.</w:t>
      </w:r>
      <w:r>
        <w:rPr>
          <w:color w:val="000000"/>
        </w:rPr>
        <w:t xml:space="preserve"> </w:t>
      </w:r>
      <w:r>
        <w:rPr>
          <w:rFonts w:ascii="Times New Roman;serif" w:hAnsi="Times New Roman;serif"/>
          <w:b w:val="false"/>
          <w:color w:val="000000"/>
          <w:sz w:val="20"/>
        </w:rPr>
        <w:t>We own certain underdeveloped or undeveloped land adjacent to the Las Vegas strip</w:t>
      </w:r>
      <w:r>
        <w:rPr>
          <w:rFonts w:ascii="Times New Roman;serif" w:hAnsi="Times New Roman;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Vacant, Non-Operating Land. </w:t>
      </w:r>
      <w:r>
        <w:rPr>
          <w:rFonts w:ascii="Times New Roman;serif" w:hAnsi="Times New Roman;serif"/>
          <w:b w:val="false"/>
          <w:color w:val="000000"/>
          <w:sz w:val="20"/>
          <w:shd w:fill="FFFFFF" w:val="clear"/>
        </w:rPr>
        <w:t xml:space="preserve">We own certain vacant, non-operating land parcels located outside of Las Vegas.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Eastside Property. </w:t>
      </w:r>
      <w:r>
        <w:rPr>
          <w:rFonts w:ascii="Times New Roman;serif" w:hAnsi="Times New Roman;serif"/>
          <w:b w:val="false"/>
          <w:color w:val="000000"/>
          <w:sz w:val="20"/>
          <w:shd w:fill="FFFFFF" w:val="clear"/>
        </w:rPr>
        <w:t>In 2017, we sold 18.4 acres of property located in Las Vegas, Nevada, east of Harrah’s Las Vegas, known as the Eastside Property, to Caesars for a sales price of $73.6 million. It was determined that the transaction did not meet the requirements of a completed sale for accounting purposes due to a put-call option on the land parcels and the Caesars Forum Convention Center. On December 31, 2024, in connection with the expiration of the put option, we reassessed the accounting conclusion and determined that the transaction still does not meet the requirements for a completed sale. The amount of $73.6 million is presented as land with a corresponding amount of $73.6 million recorded in Other liabilities in our Balance Sheets.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Property and Equipment Used in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used in operations is included within Other assets on our Balance Sheets and represents assets primarily related to VICI Golf, our golf operations. We assign lives to our assets based on our standard policy, which is established by management as representative of the useful life of each category of asset.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shorter of the estimated useful life of the asset or the related lease as follows:</w:t>
      </w:r>
    </w:p>
    <w:tbl>
      <w:tblPr>
        <w:tblW w:w="3688" w:type="dxa"/>
        <w:jc w:val="center"/>
        <w:tblInd w:w="0" w:type="dxa"/>
        <w:tblLayout w:type="fixed"/>
        <w:tblCellMar>
          <w:top w:w="28" w:type="dxa"/>
          <w:left w:w="28" w:type="dxa"/>
          <w:bottom w:w="28" w:type="dxa"/>
          <w:right w:w="28" w:type="dxa"/>
        </w:tblCellMar>
      </w:tblPr>
      <w:tblGrid>
        <w:gridCol w:w="977"/>
        <w:gridCol w:w="859"/>
        <w:gridCol w:w="863"/>
        <w:gridCol w:w="289"/>
        <w:gridCol w:w="289"/>
        <w:gridCol w:w="411"/>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land improvements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5-50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5-40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Impairment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Unconsolidated Affiliate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Income from unconsolidated affiliate represented our original 50.1% ownership interest in the joint venture that holds the real estate assets of MGM Grand/Mandalay Bay JV, which was acquired as part of our acquisition of MGP on April 29, 2022. On January 9, 2023, we acquired the remaining 49.9% interest from Blackstone Real Estate Income Trust, Inc. (“BREIT”) for cash consideration of approximately $1.3 billion and, accordingly, consolidated the operations of the MGM Grand/Mandalay Bay JV starting in the first quarter of 2023.</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 Translation and Remeasurement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Sheets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certain of our consolidated subsidiaries have intercompany and third-party debt that is denominated in foreign currencies, which is neither our nor our consolidated subsidiaries’ functional currency of USD. When the debt and related operating receivables and/or payables are remeasured to the functional currency of the entity, a gain or loss can result. The resulting adjustment is reflected in Other gains (losses), net in the Statement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Income and Other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primarily represents sub-lease income related to certain ground and use leases. Under our lease agreements, the tenants are required to pay all costs associated with such ground and use leases and provides for their direct payment to the landlord. This income and the related expenses are recorded on a gross basis in our Statement of Operations as we are the primary obligor under the ground and use leases.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368d3c19aa9d44c4a3d1ba3257c0bdcf_175">
        <w:r>
          <w:rPr>
            <w:rStyle w:val="InternetLink"/>
            <w:rFonts w:ascii="Times New Roman;serif" w:hAnsi="Times New Roman;serif"/>
            <w:b w:val="false"/>
            <w:color w:val="0000FF"/>
            <w:sz w:val="20"/>
            <w:u w:val="single"/>
          </w:rPr>
          <w:t>Note 9 - Fair Value</w:t>
        </w:r>
      </w:hyperlink>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Financial Instruments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our derivative financial instruments as either Other assets or Other liabilities on our Balance Sheets at 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component of Accumulated other comprehensive income in our Balance Sheets with a corresponding change in Unrealized (loss) gain in cash flows hedges within Other comprehensive income on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Golf Revenues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Golf and Caesars are party to a golf course use agreement (the “Golf Course Use Agreement”), whereby certain subsidiaries of Caesars are granted certain priority rights and privileges with respect to access and use of certain golf course properties. For the year ended December 31, 2025, payments under the Golf Course Use Agreement were comprised of a $11.9 million annual membership fee, $3.9 million of use fees and approximately $1.4 million of minimum rounds fees. The annual membership fee, use fees and minimum rounds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Taxes-REIT Qualification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(including any alternative minimum tax or excise tax applicable to non-REIT corporations),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provisions of the Internal Revenue Code of 1986, as amended (the “Code”), we also would be disqualified from re-electing to be taxed as a REIT for the four taxable years following the year in which we failed to qualify to be taxed as a REIT.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reflects the expected future tax consequences of temporary differences between the carrying amounts of assets or liabilities for financial reporting versus income tax purposes.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any interest and penalties, as incurred, in general and administrative expenses in our Statement of Operations.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Recent Tax Legislation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proposed a global minimum tax of 15% of reported profits (“Pillar Two”) that various jurisdictions around the world have adopted or proposed to adopt in domestic legislation. The OECD has published further guidance that modifies key aspects of the Pillar Two Global Minimum Tax (“GMT”) framework on a prospective basis. The new guidance includes a comprehensive “side-by-side package” that provides a safe harbor for US parented Multi-national Enterprises (“MNEs”). The side-by-side package provides that taxes imposed under the Qualified Domestic Minimum Top-up Tax element of the GMT framework continue to apply to foreign operations of US-parented MNEs. The changes agreed to in the side-by-side package will not be effective until jurisdictions that have implemented the GMT adopt the side-by-side package.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effective July 4, 2025, certain changes to U.S. tax law were approved that may impact us and our stockholders. Among other changes, this legislation (i) permanently extended the 20% deduction for “qualified REIT dividends” for individuals and other non-corporate taxpayers under Section 199A of the Code, (ii) increased the percentage limit under the REIT asset test applicable to TRSs from 20% to 25% for taxable years beginning after December 31, 2025, and (iii)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9"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basis on which the 30% interest deduction limit under Section 163(j) of the Code applies by excluding depreciation, amortization and depletion from the definition of “adjusted taxable income” (i.e. based on EBITDA rather than EBIT) for taxable years beginning after December 31,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evaluated both Pillar Two (including the GMT framework) and the changes to the tax law and we do not expect them to have a material impact on our Financial Statements. However, there remains some uncertainty as to the final Pillar Two rules, including their adoption in each jurisdiction’s law. We will continue to monitor the United States and global legislative actions related to Pillar Two for potential impacts.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Debt Issuance Costs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issuance costs are deferred and amortized to interest expense over the contractual term of the underlying indebtedness. We present unamortized deferred financing costs as a direct deduction from the carrying amount of the associated debt liability.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Transaction and Acquisition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and acquisition-related expenses that are not capitalizable under GAAP, including certain leasing costs under ASC 842, are expensed in the period they occur. Transaction and acquisition expenses also include dead deal costs.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80" w:after="283"/>
        <w:jc w:val="both"/>
        <w:rPr/>
      </w:pPr>
      <w:r>
        <w:rPr>
          <w:rFonts w:ascii="Times New Roman;serif" w:hAnsi="Times New Roman;serif"/>
          <w:b w:val="false"/>
          <w:color w:val="000000"/>
          <w:sz w:val="20"/>
        </w:rPr>
        <w:t xml:space="preserve">We account for stock-based compensation under ASC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 xml:space="preserve">(“ASC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 trading days ending on the grant date. For non-vested share awards that vest based on market conditions, we use a Monte Carlo simulation (risk-neutral approach) to determine the value of each tranche.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unrecognized compensation relating to awards under our stock incentive plan will be amortized to general and administrative expense over the awards’ remaining vesting periods. Vesting periods for awards of equity instruments range from zero to three years.</w:t>
      </w:r>
    </w:p>
    <w:p>
      <w:pPr>
        <w:pStyle w:val="TextBody"/>
        <w:bidi w:val="0"/>
        <w:spacing w:lineRule="auto" w:line="288" w:before="180" w:after="283"/>
        <w:jc w:val="left"/>
        <w:rPr/>
      </w:pPr>
      <w:r>
        <w:rPr>
          <w:rFonts w:ascii="Times New Roman;serif" w:hAnsi="Times New Roman;serif"/>
          <w:b w:val="false"/>
          <w:color w:val="000000"/>
          <w:sz w:val="20"/>
        </w:rPr>
        <w:t xml:space="preserve">See </w:t>
      </w:r>
      <w:hyperlink w:anchor="i368d3c19aa9d44c4a3d1ba3257c0bdcf_187">
        <w:r>
          <w:rPr>
            <w:rStyle w:val="InternetLink"/>
            <w:rFonts w:ascii="Times New Roman;serif" w:hAnsi="Times New Roman;serif"/>
            <w:b w:val="false"/>
            <w:color w:val="0000FF"/>
            <w:sz w:val="20"/>
            <w:u w:val="single"/>
          </w:rPr>
          <w:t>Note 13—Stock-Based Compensation</w:t>
        </w:r>
      </w:hyperlink>
      <w:r>
        <w:rPr>
          <w:color w:val="000000"/>
        </w:rPr>
        <w:t xml:space="preserve"> </w:t>
      </w:r>
      <w:r>
        <w:rPr>
          <w:rFonts w:ascii="Times New Roman;serif" w:hAnsi="Times New Roman;serif"/>
          <w:b w:val="false"/>
          <w:color w:val="000000"/>
          <w:sz w:val="20"/>
        </w:rPr>
        <w:t>for further information related to the stock-based compensation.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Earnings Per Share and Earnings Per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(“EPS”) or Earnings per unit (“EPU”) is calculated in accordance with ASC 260, “Earnings Per Share”. Basic EPS or EPU is computed by dividing net income applicable to common stockholders or unit holders, as the case may be, by the weighted-average number of shares of common stock or units, as the case may be, outstanding during the period. Diluted EPS or EPU reflects the additional dilution for all potentially dilutive securities including those from our stock incentive plan. </w:t>
      </w:r>
    </w:p>
    <w:p>
      <w:pPr>
        <w:pStyle w:val="TextBody"/>
        <w:bidi w:val="0"/>
        <w:spacing w:lineRule="auto" w:line="288" w:before="120" w:after="283"/>
        <w:jc w:val="both"/>
        <w:rPr/>
      </w:pPr>
      <w:r>
        <w:rPr>
          <w:rFonts w:ascii="Times New Roman;serif" w:hAnsi="Times New Roman;serif"/>
          <w:b w:val="false"/>
          <w:color w:val="000000"/>
          <w:sz w:val="20"/>
        </w:rPr>
        <w:t xml:space="preserve">See </w:t>
      </w:r>
      <w:hyperlink w:anchor="i368d3c19aa9d44c4a3d1ba3257c0bdcf_184">
        <w:r>
          <w:rPr>
            <w:rStyle w:val="InternetLink"/>
            <w:rFonts w:ascii="Times New Roman;serif" w:hAnsi="Times New Roman;serif"/>
            <w:b w:val="false"/>
            <w:color w:val="0000FF"/>
            <w:sz w:val="20"/>
            <w:u w:val="single"/>
          </w:rPr>
          <w:t>Note 12—Earnings Per Share and Earnings Per Unit</w:t>
        </w:r>
      </w:hyperlink>
      <w:r>
        <w:rPr>
          <w:color w:val="000000"/>
        </w:rPr>
        <w:t xml:space="preserve"> </w:t>
      </w:r>
      <w:r>
        <w:rPr>
          <w:rFonts w:ascii="Times New Roman;serif" w:hAnsi="Times New Roman;serif"/>
          <w:b w:val="false"/>
          <w:color w:val="000000"/>
          <w:sz w:val="20"/>
        </w:rPr>
        <w:t>for the detailed EPS and EPU calculations.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Underwriting Commissions and Offering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Underwriting commissions and offering costs incurred in connection with common stock offerings are reflected as a reduction of additional paid-in capital. Costs incurred that are not directly associated with the completion of a common stock offering are expensed when incurred.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and MGM Resorts International (together with, as the context requires, its subsidiaries, “MGM”) are the guarantors of all the lease payment obligations of the tenants under the applicable leases of the properties that they each respectively lease from us. Revenue from our lease agreements with MGM represented 38%, 38% and 39% of our lease revenues for the years ended December 31, 2025, 2024 and 2023, respectively. Contractual rent from our lease agreements with MGM represented 36%, 36% and 37% of our total contractual rent for the years ended December 31, 2025, 2024 and 2023, respectively. Revenue from our lease agreements with Caesars represented 36%, 36%, and 37% of our lease revenues for the years ended December 31, 2025, 2024 and 2023, respectively. Contractual rent from our lease agreements with Caesars represented 37%, 37% and 39% of our total contractual rent for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properties on the Las Vegas Strip generated approximately 49%, 48% and 49% of our lease revenues for the years ended December 31, 2025, 2024 and 2023, respectively. Except as described above, we do not believe there are any other significant concentrations of credit risk. </w:t>
      </w:r>
    </w:p>
    <w:p>
      <w:pPr>
        <w:pStyle w:val="TextBody"/>
        <w:bidi w:val="0"/>
        <w:spacing w:lineRule="auto" w:line="288" w:before="180" w:after="283"/>
        <w:jc w:val="both"/>
        <w:rPr/>
      </w:pPr>
      <w:r>
        <w:rPr>
          <w:rFonts w:ascii="Times New Roman;serif" w:hAnsi="Times New Roman;serif"/>
          <w:b w:val="false"/>
          <w:color w:val="000000"/>
          <w:sz w:val="20"/>
        </w:rPr>
        <w:t xml:space="preserve">Caesars and MGM are publicly traded companies that are subject to the informational filing requirements of the Securities Exchange Act of 1934, as amended, and are required to file periodic reports on Form 10-K and Form 10-Q and current reports on Form 8-K with the SEC. Caesars’ and MGM’s SEC filings are available to the public from the SEC’s web 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 We make no representation as to the accuracy or completeness of the information regarding Caesars and MGM that is available through the SEC’s website or otherwise made available by Caesars, MGM or any third party, and none of such information is incorporated by reference in this Annual Report on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 Pronouncements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Recently Adopted</w:t>
      </w:r>
    </w:p>
    <w:p>
      <w:pPr>
        <w:pStyle w:val="TextBody"/>
        <w:bidi w:val="0"/>
        <w:spacing w:lineRule="auto" w:line="288" w:before="180" w:after="283"/>
        <w:jc w:val="both"/>
        <w:rPr/>
      </w:pPr>
      <w:r>
        <w:rPr>
          <w:rFonts w:ascii="Times New Roman;serif" w:hAnsi="Times New Roman;serif"/>
          <w:b w:val="false"/>
          <w:color w:val="000000"/>
          <w:sz w:val="20"/>
        </w:rPr>
        <w:t xml:space="preserve">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adopted the guidance on January 1, 2025, and as a result of the adoption of ASU 2023-09 Income Taxes, we added additional disclosures in </w:t>
      </w:r>
      <w:hyperlink w:anchor="i368d3c19aa9d44c4a3d1ba3257c0bdcf_190">
        <w:r>
          <w:rPr>
            <w:rStyle w:val="InternetLink"/>
            <w:rFonts w:ascii="Times New Roman;serif" w:hAnsi="Times New Roman;serif"/>
            <w:b w:val="false"/>
            <w:color w:val="0000FF"/>
            <w:sz w:val="20"/>
            <w:u w:val="single"/>
          </w:rPr>
          <w:t>Note 14 - Income Taxes</w:t>
        </w:r>
      </w:hyperlink>
      <w:r>
        <w:rPr>
          <w:color w:val="000000"/>
        </w:rPr>
        <w:t xml:space="preserve"> </w:t>
      </w:r>
      <w:r>
        <w:rPr>
          <w:rFonts w:ascii="Times New Roman;serif" w:hAnsi="Times New Roman;serif"/>
          <w:b w:val="false"/>
          <w:color w:val="000000"/>
          <w:sz w:val="20"/>
        </w:rPr>
        <w:t>addressing and discussing the additional requirements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Note 3 — Real Estate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2025 Activity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Property Acquisitions and Investments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Golden Entertainment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6, 2025, we announced that we entered into an agreement to acquire 100% of the land, real property and improvements of seven casino properties (the “Golden Portfolio”) from Golden Entertainment, Inc. (“Golden”) for $1.16 billion and to enter into a triple-net master lease (the “Golden Master Lease”) with a newly formed entity that will be owned and controlled by Blake L. Sartini, current chairman and chief executive officer of Golden, which entity will acquire the operating business of Golden in connection with the closing of the transaction (“Golden OpCo”).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Master Lease will have an initial total annual rent of $87.0 million and an initial term of 30 years, with four 5-year tenant renewal options. Rent under the Golden Master Lease will escalate annually at 2.0% beginning in Lease Year 3. The obligations of Golden OpCo under the Golden Master Lease will be guaranteed by a holding company that is owned and controlled by Mr. Sartini and owns all of the gaming and operating assets of Golden.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Master Transaction Agreement, Golden shareholders will receive approximately 24.3 million shares of newly issued VICI stock in exchange for the outstanding shares of Golden stock, which represents an agreed-upon exchange ratio of 0.902 per share of Golden’s common stock based on VICI’s 10-day volume weighted average price as of November 5, 2025, as well as cash consideration that is payable by an affiliate of the Golden OpCo. In connection with the transaction, VICI will assume and immediately retire Golden’s outstanding $426.0 million of debt.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in mid-2026, subject to the approval of the Golden stockholders, as well as customary closing conditions and regulatory approvals.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Leasing</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PENN Lease Combination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4, 2025, we combined the existing individual leases with PENN with respect to the Hollywood Casino at Greektown (the “Greektown Lease”) in Detroit, Michigan, and the Margaritaville Resort Casino (the “Margaritaville Lease”) in Bossier City, Louisiana, into one master lease for both properties (the “PENN Master Lease”). The PENN Master Lease has initial annual rent equal to $80.7 million (the “Combined Rent”), representing the combined annual rent amounts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1"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Greektown Lease and the Margaritaville Lease as of December 4, 2025. There was no change to the aggregate amount of rent collected by us as a result of the combination. Annual rent escalation on the Combined Rent will occur on June 1 of each year based on the following construct: on June 1, 2026, the Combined Rent will escalate at a fixed 1.0%, and beginning on June 1, 2027, and for each year thereafter, the Combined Rent will escalate at 1.0% if the minimum net revenue to rent ratio (the “Minimum Ratio”) is achieved. The Minimum Ratio will be set as of June 1, 2026 and will be based on the sum of net revenues generated by the two assets over the performance period from June 1, 2025 to May 31, 2026, divided by the Combined Rent. The PENN Master Lease has an initial maturity on May 23, 2034 with four 5-year tenant renewal options. The existing guarantor under the Greektown Lease and Margaritaville Lease remains the same for the PENN Master Lease with PENN continuing to guarantee all obligations.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combination of the individual leases into the PENN Master Lease resulted in a lease modification under ASC 842. Accordingly, we reassessed lease classification for each property individually, and upon reassessment, we determined that both properties under the PENN Master Lease continue to meet the definition of a sales-type lease. Accordingly, since the classification remains unchanged, we prospectively adjusted the future minimum lease cash flows and rate implicit in the lease such that the carrying value of the lease remains unchanged subsequent to modification.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Northfield Park Severance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16, 2025, we announced that, in connection with MGM’s agreement to sell the operations of MGM Northfield Park (“Northfield Park”), located in Northfield, Ohio, to an affiliate of funds managed by Clairvest Group Inc. (“Clairvest”), we agreed to enter into (i) a new triple-net lease agreement with an affiliate of Clairvest with respect to the real property of Northfield Park (the “Northfield Park Lease”) and (ii) an amendment to the existing MGM Master Lease (as defined below) in order to account for MGM’s divestiture of the operations of Northfield Park and to reduce the annual base rent under the MGM Master Lease by the initial base rent under the Northfield Park Lease. The Northfield Park Lease will have an initial annual base rent of $53.0 million (or $54.0 million if the transaction closes on or after May 1, 2026 to reflect the 2.0% annual escalation provided under the MGM Master Lease). Upon closing, the Northfield Park Lease will begin a new 25-year lease term with three 10-year tenant renewal options, with other economic terms substantially similar to the MGM Master Lease, including escalation of 2.0% per annum (with escalation equal to the greater of 2.0% and the change in CPI (capped at 3.0%) beginning at the same time as the MGM Master Lease in 2032) and a minimum capital expenditure requirement equal to 1.0% of annual net revenue. The Northfield Park Lease will be guaranteed by an affiliate of funds managed by Clairvest that will own the operations of Northfield Park. The transaction is subject to customary closing conditions and regulatory approvals and is expected to be completed in the first half of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Real Estate Debt Investments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2025 real estate debt investment activity: </w:t>
      </w:r>
    </w:p>
    <w:tbl>
      <w:tblPr>
        <w:tblW w:w="10205" w:type="dxa"/>
        <w:jc w:val="left"/>
        <w:tblInd w:w="0" w:type="dxa"/>
        <w:tblLayout w:type="fixed"/>
        <w:tblCellMar>
          <w:top w:w="28" w:type="dxa"/>
          <w:left w:w="28" w:type="dxa"/>
          <w:bottom w:w="28" w:type="dxa"/>
          <w:right w:w="28" w:type="dxa"/>
        </w:tblCellMar>
      </w:tblPr>
      <w:tblGrid>
        <w:gridCol w:w="702"/>
        <w:gridCol w:w="587"/>
        <w:gridCol w:w="556"/>
        <w:gridCol w:w="109"/>
        <w:gridCol w:w="109"/>
        <w:gridCol w:w="109"/>
        <w:gridCol w:w="294"/>
        <w:gridCol w:w="1151"/>
        <w:gridCol w:w="151"/>
        <w:gridCol w:w="109"/>
        <w:gridCol w:w="109"/>
        <w:gridCol w:w="109"/>
        <w:gridCol w:w="109"/>
        <w:gridCol w:w="109"/>
        <w:gridCol w:w="446"/>
        <w:gridCol w:w="428"/>
        <w:gridCol w:w="429"/>
        <w:gridCol w:w="109"/>
        <w:gridCol w:w="109"/>
        <w:gridCol w:w="109"/>
        <w:gridCol w:w="1322"/>
        <w:gridCol w:w="1211"/>
        <w:gridCol w:w="1729"/>
      </w:tblGrid>
      <w:tr>
        <w:trPr/>
        <w:tc>
          <w:tcPr>
            <w:tcW w:w="7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Fork Casino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personal property and revenues of the North Fork Mono Casino &amp; Resort located near Madera, California</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Greenwich Village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the Greenwich Village neighborhood in New York, NY</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One Beverly Hills Mezzanine Loan</w:t>
      </w:r>
    </w:p>
    <w:p>
      <w:pPr>
        <w:pStyle w:val="TextBody"/>
        <w:bidi w:val="0"/>
        <w:spacing w:lineRule="auto" w:line="288" w:before="180" w:after="283"/>
        <w:jc w:val="both"/>
        <w:rPr/>
      </w:pPr>
      <w:r>
        <w:rPr>
          <w:rFonts w:ascii="Times New Roman;serif" w:hAnsi="Times New Roman;serif"/>
          <w:b w:val="false"/>
          <w:color w:val="000000"/>
          <w:sz w:val="20"/>
        </w:rPr>
        <w:t xml:space="preserve">On February 19, 2025, we purchased a $300.0 million interest in an existing mezzanine loan related to the development of One Beverly Hills, a landmark 17.5-acre luxury experiential lifestyle hub in Beverly Hills, California. On June 23, 2025, we purchased an additional $150.0 million interest in the existing mezzanine loan, </w:t>
      </w:r>
      <w:r>
        <w:rPr>
          <w:rFonts w:ascii="Times New Roman;serif" w:hAnsi="Times New Roman;serif"/>
          <w:b w:val="false"/>
          <w:color w:val="231F20"/>
          <w:sz w:val="20"/>
        </w:rPr>
        <w:t>concurrent with a commensurate increase in the total size of the mezzanine loan</w:t>
      </w:r>
      <w:r>
        <w:rPr>
          <w:rFonts w:ascii="Times New Roman;serif" w:hAnsi="Times New Roman;serif"/>
          <w:b w:val="false"/>
          <w:color w:val="000000"/>
          <w:sz w:val="20"/>
        </w:rPr>
        <w:t xml:space="preserve">.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phases in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2"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maturity in March 2026 and one 12-month extension option, subject to certain conditions. Under the provisions of the existing mezzanine loan, interest is paid-in-kind and added to the outstanding principal balance. We funded each of the investments with a combination of cash on hand and a draw under the Revolving Credit Facility (as defined below).</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North Fork Casino Loan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4, 2025, we provided a commitment of up to $510.0 million of a $725.0 million delayed draw term loan facility (the “Term Loan Arrangement”) to the North Fork Rancheria Economic Development Authority, a wholly owned entity of the North Fork Rancheria of Mono Indians of California. Proceeds from the Term Loan Arrangement will be used for the development of the North Fork Mono Casino &amp; Resort (“North Fork”) located near Madera, California, which will be developed and managed by affiliates of Red Rock Resorts, Inc.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 and is expected to be completed in the second half of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2024 Activity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Property Acquisitions and Investments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Venetian Capital Investment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2024, we entered into agreements to fund up to $700.0 million of capital investment into the Venetian Resort for extensive reinvestment projects through our Partner Property Growth Fund strategy (the “Venetian Capital Investment”). The Venetian Capital Investment will fund several projects, including hotel room product renovations, gaming floor optimization and entertainment and convention center enhancements, among others, seeking to improve the overall guest experience and enhance the value of the property. The invested capital will earn a return through the addition of incremental rent to the lease agreement for the Venetian Resort (as amended in connection with the Venetian Capital Investment, the “Venetian Lease”).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up to $700.0 million of funding through the Venetian Capital Investment is comprised of $400.0 million that has already been funded and an incremental $300.0 million that the Venetian Resort will have the option, but not the obligation, to draw in whole or in part until November 1, 2026. The initial $400.0 million investment was funded based on a fixed schedule: $100.0 million was funded in the second quarter of 2024, $150.0 million was funded in the third quarter of 2024 and $150.0 million was funded in the fourth quarter of 2024. The previous Property Growth Fund agreement entered into with the tenant in connection with the Venetian Resort acquisition in 2021 providing for up to $1.0 billion of future development and construction project funding was terminated on May 1, 2024 concurrently with the entry into the agreement to fund the Venetian Capital Investment.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Venetian Capital Investment, annual rent under the Venetian Lease increased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The aggregate annual rent under the Venetian Lease increased by $29.0 million as a result of the $400.0 million of funding in 2024 under the Venetian Capital Investment.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determined that the amendment to the Venetian Lease in connection with the Venetian Capital Investment represented a lease modification under ASC 842 pursuant to which we were required to reassess the lease classification. Upon reassessment, we determined that the Venetian Lease continues to meet the definition of a sales-type lease. Accordingly, since the classification remains unchanged, we modified the future minimum lease cash flows to reflect the amendment and prospectively adjusted the discount rate used to recognize income, incorporating the impact of the additional funding and related incremental rent in connection with the Venetian Capital Investment.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Leasing Activity</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Indigenous Gaming Partners - PURE Lease Assignment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2024, we entered into an amendment and consented to the assignment of the master lease agreement for the PURE Canadian portfolio (consisting of PURE Casino Calgary, PURE Casino Edmonton, PURE Casino Lethbridge and PURE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3"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Casino Yellowhead) (the “PURE Master Lease”) to an affiliate of Indigenous Gaming Partners Inc. (“IGP”), in connection with the acquisition of the operating assets of PURE Canadian Gaming Corp. by a subsidiary of IGP. The economic terms of the PURE Master Lease remain unchanged.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assignment of the PURE Master Lease, we received a 5-year ROFO on future sale-leaseback transactions with IGP. Any additional properties acquired pursuant to the ROFO will be added to the PURE Master Lease.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Real Estate Debt Investments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2024 real estate debt investment activity: </w:t>
      </w:r>
    </w:p>
    <w:tbl>
      <w:tblPr>
        <w:tblW w:w="10205" w:type="dxa"/>
        <w:jc w:val="left"/>
        <w:tblInd w:w="0" w:type="dxa"/>
        <w:tblLayout w:type="fixed"/>
        <w:tblCellMar>
          <w:top w:w="28" w:type="dxa"/>
          <w:left w:w="28" w:type="dxa"/>
          <w:bottom w:w="28" w:type="dxa"/>
          <w:right w:w="28" w:type="dxa"/>
        </w:tblCellMar>
      </w:tblPr>
      <w:tblGrid>
        <w:gridCol w:w="863"/>
        <w:gridCol w:w="590"/>
        <w:gridCol w:w="564"/>
        <w:gridCol w:w="109"/>
        <w:gridCol w:w="109"/>
        <w:gridCol w:w="109"/>
        <w:gridCol w:w="311"/>
        <w:gridCol w:w="1219"/>
        <w:gridCol w:w="160"/>
        <w:gridCol w:w="109"/>
        <w:gridCol w:w="109"/>
        <w:gridCol w:w="109"/>
        <w:gridCol w:w="109"/>
        <w:gridCol w:w="109"/>
        <w:gridCol w:w="465"/>
        <w:gridCol w:w="449"/>
        <w:gridCol w:w="451"/>
        <w:gridCol w:w="109"/>
        <w:gridCol w:w="109"/>
        <w:gridCol w:w="109"/>
        <w:gridCol w:w="1310"/>
        <w:gridCol w:w="1085"/>
        <w:gridCol w:w="1539"/>
      </w:tblGrid>
      <w:tr>
        <w:trPr/>
        <w:tc>
          <w:tcPr>
            <w:tcW w:w="86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2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Great Wolf Mezzanine Loan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of nine Great Wolf Lodge resorts across the United States</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One Madison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at the One Madison building in New York, NY</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Homefield Margaritaville Loan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Margaritaville Resort in Kansas City, Kansas, under development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(1) In connection with the Great Wolf Mezzanine Loan, the $79.5 million mezzanine loan for Great Wolf Lodge Maryland was repaid in full.</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(2) Simultaneous with entering into the loan agreement, we entered into a call right agreement that provides us with a call option on (i) the Margaritaville Resort, (ii) the new Homefield Kansas City youth sports training facility, (iii) the new Homefield baseball center, and (iv) the existing Homefield youth sports complex in Olathe, Kansas. We also received a right of first refusal to acquire the real estate of any future Homefield property, should Homefield elect to monetize such assets in a sale-leaseback transaction. If the call option is exercised, all of the properties, including the Margaritaville Resort, will be subject to a single long-term triple-net master lease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4 — Real Estate Portfolio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sales-type, representing our investment in 26 casino assets leased on a triple-net basis to our tenants under nine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loans and securities, representing our 19 debt investments in senior secured and mezzanine loans, preferred equity and senior secured notes;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our real estate portfolio as of December 31, 2025 and 2024:</w:t>
      </w:r>
    </w:p>
    <w:tbl>
      <w:tblPr>
        <w:tblW w:w="7736" w:type="dxa"/>
        <w:jc w:val="left"/>
        <w:tblInd w:w="0" w:type="dxa"/>
        <w:tblLayout w:type="fixed"/>
        <w:tblCellMar>
          <w:top w:w="28" w:type="dxa"/>
          <w:left w:w="28" w:type="dxa"/>
          <w:bottom w:w="28" w:type="dxa"/>
          <w:right w:w="28" w:type="dxa"/>
        </w:tblCellMar>
      </w:tblPr>
      <w:tblGrid>
        <w:gridCol w:w="1549"/>
        <w:gridCol w:w="1361"/>
        <w:gridCol w:w="1365"/>
        <w:gridCol w:w="232"/>
        <w:gridCol w:w="1192"/>
        <w:gridCol w:w="120"/>
        <w:gridCol w:w="109"/>
        <w:gridCol w:w="109"/>
        <w:gridCol w:w="109"/>
        <w:gridCol w:w="232"/>
        <w:gridCol w:w="1189"/>
        <w:gridCol w:w="169"/>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sales-type, net </w:t>
            </w:r>
            <w:r>
              <w:rPr>
                <w:rFonts w:ascii="Times New Roman;serif" w:hAnsi="Times New Roman;serif"/>
                <w:b w:val="false"/>
                <w:i/>
                <w:color w:val="000000"/>
                <w:sz w:val="13"/>
              </w:rPr>
              <w:t>(1)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net </w:t>
            </w:r>
            <w:r>
              <w:rPr>
                <w:rFonts w:ascii="Times New Roman;serif" w:hAnsi="Times New Roman;serif"/>
                <w:b w:val="false"/>
                <w:i/>
                <w:color w:val="000000"/>
                <w:sz w:val="13"/>
              </w:rPr>
              <w:t>(1)</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leases, net</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42,403,696 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42,011,421 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portfolio</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45,077,155 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43,813,681 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estimated residual values of the leased property (not guaranteed) under the respective lease agreements, which has a material impact on the determination of the rate implicit in the lease and the lease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4"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- 29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leases and lease financing receivables:</w:t>
      </w:r>
    </w:p>
    <w:tbl>
      <w:tblPr>
        <w:tblW w:w="9567" w:type="dxa"/>
        <w:jc w:val="center"/>
        <w:tblInd w:w="0" w:type="dxa"/>
        <w:tblLayout w:type="fixed"/>
        <w:tblCellMar>
          <w:top w:w="28" w:type="dxa"/>
          <w:left w:w="28" w:type="dxa"/>
          <w:bottom w:w="28" w:type="dxa"/>
          <w:right w:w="28" w:type="dxa"/>
        </w:tblCellMar>
      </w:tblPr>
      <w:tblGrid>
        <w:gridCol w:w="1805"/>
        <w:gridCol w:w="1585"/>
        <w:gridCol w:w="1590"/>
        <w:gridCol w:w="211"/>
        <w:gridCol w:w="976"/>
        <w:gridCol w:w="109"/>
        <w:gridCol w:w="109"/>
        <w:gridCol w:w="109"/>
        <w:gridCol w:w="109"/>
        <w:gridCol w:w="211"/>
        <w:gridCol w:w="976"/>
        <w:gridCol w:w="109"/>
        <w:gridCol w:w="109"/>
        <w:gridCol w:w="109"/>
        <w:gridCol w:w="109"/>
        <w:gridCol w:w="211"/>
        <w:gridCol w:w="97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 contingent rent </w:t>
            </w:r>
            <w:r>
              <w:rPr>
                <w:rFonts w:ascii="Times New Roman;serif" w:hAnsi="Times New Roman;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 fixed 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 contingent rent </w:t>
            </w:r>
            <w:r>
              <w:rPr>
                <w:rFonts w:ascii="Times New Roman;serif" w:hAnsi="Times New Roman;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minimum lease payments owed to us for each of the five succeeding years and thereafter under sales-type leases and our leases accounted for as financing receivables, are as follows:</w:t>
      </w:r>
    </w:p>
    <w:tbl>
      <w:tblPr>
        <w:tblW w:w="9196" w:type="dxa"/>
        <w:jc w:val="left"/>
        <w:tblInd w:w="0" w:type="dxa"/>
        <w:tblLayout w:type="fixed"/>
        <w:tblCellMar>
          <w:top w:w="28" w:type="dxa"/>
          <w:left w:w="28" w:type="dxa"/>
          <w:bottom w:w="28" w:type="dxa"/>
          <w:right w:w="28" w:type="dxa"/>
        </w:tblCellMar>
      </w:tblPr>
      <w:tblGrid>
        <w:gridCol w:w="1217"/>
        <w:gridCol w:w="1069"/>
        <w:gridCol w:w="1073"/>
        <w:gridCol w:w="109"/>
        <w:gridCol w:w="109"/>
        <w:gridCol w:w="109"/>
        <w:gridCol w:w="211"/>
        <w:gridCol w:w="1081"/>
        <w:gridCol w:w="109"/>
        <w:gridCol w:w="109"/>
        <w:gridCol w:w="109"/>
        <w:gridCol w:w="109"/>
        <w:gridCol w:w="302"/>
        <w:gridCol w:w="1551"/>
        <w:gridCol w:w="156"/>
        <w:gridCol w:w="109"/>
        <w:gridCol w:w="109"/>
        <w:gridCol w:w="109"/>
        <w:gridCol w:w="211"/>
        <w:gridCol w:w="108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Minimum Lease Payments </w:t>
            </w:r>
            <w:r>
              <w:rPr>
                <w:rFonts w:ascii="Times New Roman;serif" w:hAnsi="Times New Roman;serif"/>
                <w:b/>
                <w:i/>
                <w:color w:val="000000"/>
                <w:sz w:val="13"/>
              </w:rPr>
              <w:t>(1) (2)</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87,080,526 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165,104,930 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93,718,119 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181,000,604 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initial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Present value of lease payments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(62,698,905)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(74,299,468)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(136,998,373)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42,403,696 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Minimum lease payments do not include contingent rent, as discussed below, that may be received under our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minimum lease payments includes the non-cancelable lease term and any tenant renewal options that we determined were reasonably assured, consistent with our conclusions under ASC 842 and ASC 310.</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The present value of lease payments includes the unguaranteed residual value of $16.4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5"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Provisions</w:t>
      </w:r>
    </w:p>
    <w:p>
      <w:pPr>
        <w:pStyle w:val="TextBody"/>
        <w:bidi w:val="0"/>
        <w:spacing w:lineRule="auto" w:line="288" w:before="180" w:after="283"/>
        <w:jc w:val="both"/>
        <w:rPr/>
      </w:pPr>
      <w:r>
        <w:rPr>
          <w:rFonts w:ascii="Times New Roman;serif" w:hAnsi="Times New Roman;serif"/>
          <w:b w:val="false"/>
          <w:color w:val="000000"/>
          <w:sz w:val="20"/>
        </w:rPr>
        <w:t>As of December 31, 2025 we owned 93 assets leased under 17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December 31, 2025, our lease agreements had a</w:t>
      </w:r>
      <w:r>
        <w:rPr>
          <w:color w:val="000000"/>
          <w:shd w:fill="FFFFFF" w:val="clear"/>
        </w:rPr>
        <w:t xml:space="preserve"> </w:t>
      </w:r>
      <w:r>
        <w:rPr>
          <w:rFonts w:ascii="Times New Roman;serif" w:hAnsi="Times New Roman;serif"/>
          <w:b w:val="false"/>
          <w:color w:val="000000"/>
          <w:sz w:val="20"/>
          <w:shd w:fill="FFFFFF" w:val="clear"/>
        </w:rPr>
        <w:t>weighted average lease term based on contractual rent, including extension options, of approximately 39.6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the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52"/>
        <w:gridCol w:w="433"/>
        <w:gridCol w:w="434"/>
        <w:gridCol w:w="109"/>
        <w:gridCol w:w="109"/>
        <w:gridCol w:w="109"/>
        <w:gridCol w:w="772"/>
        <w:gridCol w:w="590"/>
        <w:gridCol w:w="592"/>
        <w:gridCol w:w="109"/>
        <w:gridCol w:w="109"/>
        <w:gridCol w:w="109"/>
        <w:gridCol w:w="629"/>
        <w:gridCol w:w="549"/>
        <w:gridCol w:w="551"/>
        <w:gridCol w:w="109"/>
        <w:gridCol w:w="109"/>
        <w:gridCol w:w="109"/>
        <w:gridCol w:w="649"/>
        <w:gridCol w:w="523"/>
        <w:gridCol w:w="525"/>
        <w:gridCol w:w="109"/>
        <w:gridCol w:w="109"/>
        <w:gridCol w:w="109"/>
        <w:gridCol w:w="581"/>
        <w:gridCol w:w="581"/>
        <w:gridCol w:w="836"/>
      </w:tblGrid>
      <w:tr>
        <w:trPr/>
        <w:tc>
          <w:tcPr>
            <w:tcW w:w="6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Regional Master Lease and Caesars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Las Vegas</w:t>
              <w:br/>
              <w:t>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Grand/Mandalay Bay Lease</w:t>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2/28/2050</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10-year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5-year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5-year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10-year terms</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5/1/25-4/30/26 </w:t>
              <w:br/>
              <w:t>(Lease Year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11/1/25 - 10/31/26 (Lease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11/1/25 - 10/31/26 (Lease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 2/28/26 (Lease Year 6)</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$774,682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$740,548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$322,392 </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 escalator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years 2-10 -</w:t>
            </w:r>
            <w:r>
              <w:rPr>
                <w:color w:val="000000"/>
              </w:rPr>
              <w:t xml:space="preserve"> </w:t>
            </w:r>
            <w:r>
              <w:rPr>
                <w:rFonts w:ascii="Times New Roman;serif" w:hAnsi="Times New Roman;serif"/>
                <w:b w:val="false"/>
                <w:color w:val="000000"/>
                <w:sz w:val="20"/>
              </w:rPr>
              <w:t>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years 11-end of term - &gt;2%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years 2-15 -</w:t>
            </w:r>
            <w:r>
              <w:rPr>
                <w:color w:val="000000"/>
              </w:rPr>
              <w:t xml:space="preserve"> </w:t>
            </w:r>
            <w:r>
              <w:rPr>
                <w:rFonts w:ascii="Times New Roman;serif" w:hAnsi="Times New Roman;serif"/>
                <w:b w:val="false"/>
                <w:color w:val="000000"/>
                <w:sz w:val="20"/>
              </w:rPr>
              <w:t>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16-end of term - &gt;2% / change in CPI (capped at 3%)</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rent adjustment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Current annual rent with respect to the Caesars Joliet Lease is presented prior to accounting for the non-controlling interest, or rent payable, to the 20% third-party ownership of Harrah’s Joliet Landco LLC. After adjusting for the 20% non-controlling interest, combined current annual rent under the Caesars Regional Master Lease and Caesars Joliet Lease is $730.9 million. </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(2) Any amounts representing rents in excess of the CPI floors specified above are considered contingent rent in accordance with GAAP.</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(3) Variable rent is not subject to the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6"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Expenditure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gaming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501"/>
        <w:gridCol w:w="441"/>
        <w:gridCol w:w="444"/>
        <w:gridCol w:w="109"/>
        <w:gridCol w:w="109"/>
        <w:gridCol w:w="109"/>
        <w:gridCol w:w="523"/>
        <w:gridCol w:w="487"/>
        <w:gridCol w:w="489"/>
        <w:gridCol w:w="109"/>
        <w:gridCol w:w="109"/>
        <w:gridCol w:w="109"/>
        <w:gridCol w:w="443"/>
        <w:gridCol w:w="358"/>
        <w:gridCol w:w="359"/>
        <w:gridCol w:w="109"/>
        <w:gridCol w:w="109"/>
        <w:gridCol w:w="109"/>
        <w:gridCol w:w="611"/>
        <w:gridCol w:w="611"/>
        <w:gridCol w:w="613"/>
        <w:gridCol w:w="109"/>
        <w:gridCol w:w="109"/>
        <w:gridCol w:w="109"/>
        <w:gridCol w:w="581"/>
        <w:gridCol w:w="483"/>
        <w:gridCol w:w="485"/>
        <w:gridCol w:w="109"/>
        <w:gridCol w:w="109"/>
        <w:gridCol w:w="109"/>
        <w:gridCol w:w="392"/>
        <w:gridCol w:w="306"/>
        <w:gridCol w:w="443"/>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Regional Master Lease and Caesars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Grand/Mandalay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Venetian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 Other Gaming Leases </w:t>
            </w:r>
            <w:r>
              <w:rPr>
                <w:rFonts w:ascii="Times New Roman;serif" w:hAnsi="Times New Roman;serif"/>
                <w:b/>
                <w:i/>
                <w:color w:val="000000"/>
                <w:sz w:val="12"/>
              </w:rPr>
              <w:t>(1)</w:t>
            </w:r>
          </w:p>
        </w:tc>
      </w:tr>
      <w:tr>
        <w:trPr/>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of net revenues based on rolling three-year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of net revenues</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Rolling three-year minimum</w:t>
            </w:r>
            <w:r>
              <w:rPr>
                <w:color w:val="000000"/>
              </w:rPr>
              <w:t xml:space="preserve">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the tenants under our other gaming lease agreements not specifically outlined in the table, as specified in their respective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leases with Caesars require a $107.5 million floor on annual capital expenditures for Caesars Palace Las Vegas,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Caesars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in Loans and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in loans and securities as of December 31, 2025 and 2024:</w:t>
      </w:r>
    </w:p>
    <w:tbl>
      <w:tblPr>
        <w:tblW w:w="10205" w:type="dxa"/>
        <w:jc w:val="left"/>
        <w:tblInd w:w="0" w:type="dxa"/>
        <w:tblLayout w:type="fixed"/>
        <w:tblCellMar>
          <w:top w:w="28" w:type="dxa"/>
          <w:left w:w="28" w:type="dxa"/>
          <w:bottom w:w="28" w:type="dxa"/>
          <w:right w:w="28" w:type="dxa"/>
        </w:tblCellMar>
      </w:tblPr>
      <w:tblGrid>
        <w:gridCol w:w="673"/>
        <w:gridCol w:w="470"/>
        <w:gridCol w:w="469"/>
        <w:gridCol w:w="109"/>
        <w:gridCol w:w="109"/>
        <w:gridCol w:w="109"/>
        <w:gridCol w:w="217"/>
        <w:gridCol w:w="1004"/>
        <w:gridCol w:w="112"/>
        <w:gridCol w:w="109"/>
        <w:gridCol w:w="109"/>
        <w:gridCol w:w="109"/>
        <w:gridCol w:w="219"/>
        <w:gridCol w:w="1016"/>
        <w:gridCol w:w="113"/>
        <w:gridCol w:w="109"/>
        <w:gridCol w:w="109"/>
        <w:gridCol w:w="109"/>
        <w:gridCol w:w="292"/>
        <w:gridCol w:w="1143"/>
        <w:gridCol w:w="151"/>
        <w:gridCol w:w="109"/>
        <w:gridCol w:w="109"/>
        <w:gridCol w:w="109"/>
        <w:gridCol w:w="400"/>
        <w:gridCol w:w="299"/>
        <w:gridCol w:w="747"/>
        <w:gridCol w:w="109"/>
        <w:gridCol w:w="109"/>
        <w:gridCol w:w="109"/>
        <w:gridCol w:w="361"/>
        <w:gridCol w:w="361"/>
        <w:gridCol w:w="523"/>
      </w:tblGrid>
      <w:tr>
        <w:trPr/>
        <w:tc>
          <w:tcPr>
            <w:tcW w:w="67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2,580,087 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r>
    </w:tbl>
    <w:tbl>
      <w:tblPr>
        <w:tblW w:w="10205" w:type="dxa"/>
        <w:jc w:val="left"/>
        <w:tblInd w:w="0" w:type="dxa"/>
        <w:tblLayout w:type="fixed"/>
        <w:tblCellMar>
          <w:top w:w="28" w:type="dxa"/>
          <w:left w:w="28" w:type="dxa"/>
          <w:bottom w:w="28" w:type="dxa"/>
          <w:right w:w="28" w:type="dxa"/>
        </w:tblCellMar>
      </w:tblPr>
      <w:tblGrid>
        <w:gridCol w:w="673"/>
        <w:gridCol w:w="470"/>
        <w:gridCol w:w="469"/>
        <w:gridCol w:w="109"/>
        <w:gridCol w:w="109"/>
        <w:gridCol w:w="109"/>
        <w:gridCol w:w="217"/>
        <w:gridCol w:w="1004"/>
        <w:gridCol w:w="112"/>
        <w:gridCol w:w="109"/>
        <w:gridCol w:w="109"/>
        <w:gridCol w:w="109"/>
        <w:gridCol w:w="219"/>
        <w:gridCol w:w="1016"/>
        <w:gridCol w:w="113"/>
        <w:gridCol w:w="109"/>
        <w:gridCol w:w="109"/>
        <w:gridCol w:w="109"/>
        <w:gridCol w:w="292"/>
        <w:gridCol w:w="1143"/>
        <w:gridCol w:w="151"/>
        <w:gridCol w:w="109"/>
        <w:gridCol w:w="109"/>
        <w:gridCol w:w="109"/>
        <w:gridCol w:w="400"/>
        <w:gridCol w:w="299"/>
        <w:gridCol w:w="747"/>
        <w:gridCol w:w="109"/>
        <w:gridCol w:w="109"/>
        <w:gridCol w:w="109"/>
        <w:gridCol w:w="361"/>
        <w:gridCol w:w="361"/>
        <w:gridCol w:w="523"/>
      </w:tblGrid>
      <w:tr>
        <w:trPr/>
        <w:tc>
          <w:tcPr>
            <w:tcW w:w="67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years</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1,678,147 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Carrying value includes unamortized loan origination costs and are net of allowance for credit losses.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The weighted average interest rate is based on current outstanding principal balance and SOFR, as applicable for floating rate loans, as of December 31, 2025 and 2024.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Assumes all extension options are exercised; however, our loans may be repaid, subject to certain conditions, prior to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7"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investments in loans and securities for the years ended December 31, 2025, 2024 and 2023:</w:t>
      </w:r>
    </w:p>
    <w:tbl>
      <w:tblPr>
        <w:tblW w:w="7046" w:type="dxa"/>
        <w:jc w:val="left"/>
        <w:tblInd w:w="0" w:type="dxa"/>
        <w:tblLayout w:type="fixed"/>
        <w:tblCellMar>
          <w:top w:w="28" w:type="dxa"/>
          <w:left w:w="28" w:type="dxa"/>
          <w:bottom w:w="28" w:type="dxa"/>
          <w:right w:w="28" w:type="dxa"/>
        </w:tblCellMar>
      </w:tblPr>
      <w:tblGrid>
        <w:gridCol w:w="891"/>
        <w:gridCol w:w="783"/>
        <w:gridCol w:w="785"/>
        <w:gridCol w:w="211"/>
        <w:gridCol w:w="976"/>
        <w:gridCol w:w="109"/>
        <w:gridCol w:w="109"/>
        <w:gridCol w:w="109"/>
        <w:gridCol w:w="109"/>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fundings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CECL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Ending Balance December 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5 — Allowance for Credit Losses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allowance for credit losses as of December 31, 2025 and December 31, 2024:</w:t>
      </w:r>
    </w:p>
    <w:tbl>
      <w:tblPr>
        <w:tblW w:w="10205" w:type="dxa"/>
        <w:jc w:val="center"/>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45,768,089 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December 31, 2025 and December 31, 2024, such allowance is $6.4 million and $9.5 million, respectively, and is recorded in Other liabilities.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chart reflects the roll-forward of the allowance for credit losses on our real estate portfolio for the years ended December 31, 2025, 2024 and 2023:</w:t>
      </w:r>
    </w:p>
    <w:tbl>
      <w:tblPr>
        <w:tblW w:w="8922" w:type="dxa"/>
        <w:jc w:val="left"/>
        <w:tblInd w:w="0" w:type="dxa"/>
        <w:tblLayout w:type="fixed"/>
        <w:tblCellMar>
          <w:top w:w="28" w:type="dxa"/>
          <w:left w:w="28" w:type="dxa"/>
          <w:bottom w:w="28" w:type="dxa"/>
          <w:right w:w="28" w:type="dxa"/>
        </w:tblCellMar>
      </w:tblPr>
      <w:tblGrid>
        <w:gridCol w:w="1571"/>
        <w:gridCol w:w="1380"/>
        <w:gridCol w:w="1384"/>
        <w:gridCol w:w="211"/>
        <w:gridCol w:w="976"/>
        <w:gridCol w:w="109"/>
        <w:gridCol w:w="109"/>
        <w:gridCol w:w="109"/>
        <w:gridCol w:w="109"/>
        <w:gridCol w:w="211"/>
        <w:gridCol w:w="976"/>
        <w:gridCol w:w="109"/>
        <w:gridCol w:w="109"/>
        <w:gridCol w:w="109"/>
        <w:gridCol w:w="109"/>
        <w:gridCol w:w="211"/>
        <w:gridCol w:w="97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Initial allowance from current period investments</w:t>
            </w:r>
            <w:r>
              <w:rPr>
                <w:color w:val="000000"/>
              </w:rPr>
              <w:t xml:space="preserve"> </w:t>
            </w:r>
            <w:r>
              <w:rPr>
                <w:rFonts w:ascii="Times New Roman;serif" w:hAnsi="Times New Roman;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credit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Ending Balance December 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initial allowance for the years ended December 31, 2025, 2024 and 2023 is based on investment activity of $966.0 million, $365.0 million and $4.8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885"/>
                <wp:effectExtent l="0" t="0" r="0" b="0"/>
                <wp:wrapNone/>
                <wp:docPr id="108"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During the year ended December 31, 2025, we recognized a </w:t>
      </w:r>
      <w:r>
        <w:rPr>
          <w:rFonts w:ascii="Times New Roman;serif" w:hAnsi="Times New Roman;serif"/>
          <w:b w:val="false"/>
          <w:color w:val="000000"/>
          <w:sz w:val="20"/>
        </w:rPr>
        <w:t>$180.8 million</w:t>
      </w:r>
      <w:r>
        <w:rPr>
          <w:color w:val="000000"/>
          <w:shd w:fill="FFFFFF" w:val="clear"/>
        </w:rPr>
        <w:t xml:space="preserve"> </w:t>
      </w:r>
      <w:r>
        <w:rPr>
          <w:rFonts w:ascii="Times New Roman;serif" w:hAnsi="Times New Roman;serif"/>
          <w:b w:val="false"/>
          <w:color w:val="000000"/>
          <w:sz w:val="20"/>
        </w:rPr>
        <w:t xml:space="preserve">increase in our allowance for credit losses primarily driven by the market performance of our tenants and negative changes in the macroeconomic forecast during the period, both of which impact the R&amp;S Period PD.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During the year ended December 31, 2024, we recognized a </w:t>
      </w:r>
      <w:r>
        <w:rPr>
          <w:rFonts w:ascii="Times New Roman;serif" w:hAnsi="Times New Roman;serif"/>
          <w:b w:val="false"/>
          <w:color w:val="000000"/>
          <w:sz w:val="20"/>
        </w:rPr>
        <w:t>$122.5 million</w:t>
      </w:r>
      <w:r>
        <w:rPr>
          <w:color w:val="000000"/>
          <w:shd w:fill="FFFFFF" w:val="clear"/>
        </w:rPr>
        <w:t xml:space="preserve"> </w:t>
      </w:r>
      <w:r>
        <w:rPr>
          <w:rFonts w:ascii="Times New Roman;serif" w:hAnsi="Times New Roman;serif"/>
          <w:b w:val="false"/>
          <w:color w:val="000000"/>
          <w:sz w:val="20"/>
        </w:rPr>
        <w:t>increase in our allowance for credit losses primarily driven by the market performance of our tenants and negative changes in the macroeconomic forecast during the period, as well as adjustments made to the assumptions used to project future cash flows for one of our investments.</w:t>
      </w:r>
    </w:p>
    <w:p>
      <w:pPr>
        <w:pStyle w:val="TextBody"/>
        <w:bidi w:val="0"/>
        <w:spacing w:lineRule="auto" w:line="288" w:before="160" w:after="283"/>
        <w:jc w:val="both"/>
        <w:rPr/>
      </w:pPr>
      <w:r>
        <w:rPr>
          <w:rFonts w:ascii="Times New Roman;serif" w:hAnsi="Times New Roman;serif"/>
          <w:b w:val="false"/>
          <w:color w:val="000000"/>
          <w:sz w:val="20"/>
        </w:rPr>
        <w:t xml:space="preserve">During the year ended December 31, 2023, we recognized a $103.6 million </w:t>
      </w:r>
      <w:r>
        <w:rPr>
          <w:rFonts w:ascii="Times New Roman;serif" w:hAnsi="Times New Roman;serif"/>
          <w:b w:val="false"/>
          <w:color w:val="000000"/>
          <w:sz w:val="20"/>
          <w:shd w:fill="FFFFFF" w:val="clear"/>
        </w:rPr>
        <w:t xml:space="preserve">increase in our allowance for credit losses primarily driven </w:t>
      </w:r>
      <w:r>
        <w:rPr>
          <w:rFonts w:ascii="Times New Roman;serif" w:hAnsi="Times New Roman;serif"/>
          <w:b w:val="false"/>
          <w:color w:val="000000"/>
          <w:sz w:val="20"/>
        </w:rPr>
        <w:t xml:space="preserve">by initial CECL allowances on our investment activity during such period, partially offset by an overall decrease in the R&amp;S Period PD of our tenants and their parent guarantors as a result of their market performance during the year.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placed a fully funded senior secured loan collateralized by a luxury golf-resort development with an unpaid principal balance of $82.8 million on non-accrual status. The borrower is in active discussions with a third party to recapitalize the development.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Credit Quality Indicators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The following tables detail the amortized cost basis and year of origination of our </w:t>
      </w:r>
      <w:r>
        <w:rPr>
          <w:rFonts w:ascii="Times New Roman;serif" w:hAnsi="Times New Roman;serif"/>
          <w:b w:val="false"/>
          <w:color w:val="000000"/>
          <w:sz w:val="20"/>
        </w:rPr>
        <w:t xml:space="preserve">Investments in leases - sales-type and financing receivable, Investments in loans and Other assets </w:t>
      </w:r>
      <w:r>
        <w:rPr>
          <w:rFonts w:ascii="Times New Roman;serif" w:hAnsi="Times New Roman;serif"/>
          <w:b w:val="false"/>
          <w:color w:val="000000"/>
          <w:sz w:val="20"/>
          <w:shd w:fill="FFFFFF" w:val="clear"/>
        </w:rPr>
        <w:t>by the credit quality indicator we assigned to each lease or loan guarantor as of December 31, 2025 and 2024:</w:t>
      </w:r>
    </w:p>
    <w:tbl>
      <w:tblPr>
        <w:tblW w:w="11920" w:type="dxa"/>
        <w:jc w:val="center"/>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December 31, 2025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7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December 31, 2024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33,365,718 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20" w:after="283"/>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(1)Excludes the CECL allowance for unfunded commitments recorded in Other liabilities as such commitments are not currently reflected on our Balance Sheets, rather the CECL allowance is based on our current best estimate of future funding commitments.</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9"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6 — Other Assets and Other Liabilities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assets as of December 31, 2025 and 2024:</w:t>
      </w:r>
    </w:p>
    <w:tbl>
      <w:tblPr>
        <w:tblW w:w="7691" w:type="dxa"/>
        <w:jc w:val="center"/>
        <w:tblInd w:w="0" w:type="dxa"/>
        <w:tblLayout w:type="fixed"/>
        <w:tblCellMar>
          <w:top w:w="28" w:type="dxa"/>
          <w:left w:w="28" w:type="dxa"/>
          <w:bottom w:w="28" w:type="dxa"/>
          <w:right w:w="28" w:type="dxa"/>
        </w:tblCellMar>
      </w:tblPr>
      <w:tblGrid>
        <w:gridCol w:w="1533"/>
        <w:gridCol w:w="1347"/>
        <w:gridCol w:w="1350"/>
        <w:gridCol w:w="251"/>
        <w:gridCol w:w="1164"/>
        <w:gridCol w:w="130"/>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Sales-type sub-leases, net </w:t>
            </w:r>
            <w:r>
              <w:rPr>
                <w:rFonts w:ascii="Times New Roman;serif" w:hAnsi="Times New Roman;serif"/>
                <w:b w:val="false"/>
                <w:i/>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used in operations,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and sub-lease right of use assets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reimbursement receivables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December 31, 2025 and December 31, 2024, sales-type sub-leases are net of $23.9 million and $20.6 million of Allowance for credit losses, respectively. Refer to </w:t>
      </w:r>
      <w:hyperlink w:anchor="i368d3c19aa9d44c4a3d1ba3257c0bdcf_160">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w:t>
      </w:r>
      <w:r>
        <w:rPr>
          <w:rFonts w:ascii="Times New Roman;serif" w:hAnsi="Times New Roman;serif"/>
          <w:b/>
          <w:i/>
          <w:color w:val="000000"/>
          <w:sz w:val="16"/>
        </w:rPr>
        <w:t>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used in operations, included within other assets, is primarily attributable to the land, building and improvements of our golf operations and consists of the following as of December 31, 2025 and 2024: </w:t>
      </w:r>
    </w:p>
    <w:tbl>
      <w:tblPr>
        <w:tblW w:w="7886" w:type="dxa"/>
        <w:jc w:val="left"/>
        <w:tblInd w:w="0" w:type="dxa"/>
        <w:tblLayout w:type="fixed"/>
        <w:tblCellMar>
          <w:top w:w="28" w:type="dxa"/>
          <w:left w:w="28" w:type="dxa"/>
          <w:bottom w:w="28" w:type="dxa"/>
          <w:right w:w="28" w:type="dxa"/>
        </w:tblCellMar>
      </w:tblPr>
      <w:tblGrid>
        <w:gridCol w:w="1599"/>
        <w:gridCol w:w="1408"/>
        <w:gridCol w:w="1418"/>
        <w:gridCol w:w="313"/>
        <w:gridCol w:w="1070"/>
        <w:gridCol w:w="161"/>
        <w:gridCol w:w="109"/>
        <w:gridCol w:w="109"/>
        <w:gridCol w:w="109"/>
        <w:gridCol w:w="309"/>
        <w:gridCol w:w="1056"/>
        <w:gridCol w:w="225"/>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equipment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used in operations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used in operations, 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82" w:type="dxa"/>
        <w:jc w:val="center"/>
        <w:tblInd w:w="0" w:type="dxa"/>
        <w:tblLayout w:type="fixed"/>
        <w:tblCellMar>
          <w:top w:w="28" w:type="dxa"/>
          <w:left w:w="28" w:type="dxa"/>
          <w:bottom w:w="28" w:type="dxa"/>
          <w:right w:w="28" w:type="dxa"/>
        </w:tblCellMar>
      </w:tblPr>
      <w:tblGrid>
        <w:gridCol w:w="679"/>
        <w:gridCol w:w="597"/>
        <w:gridCol w:w="599"/>
        <w:gridCol w:w="211"/>
        <w:gridCol w:w="616"/>
        <w:gridCol w:w="109"/>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liabilities as of December 31, 2025 and 2024:</w:t>
      </w:r>
    </w:p>
    <w:tbl>
      <w:tblPr>
        <w:tblW w:w="7196" w:type="dxa"/>
        <w:jc w:val="left"/>
        <w:tblInd w:w="0" w:type="dxa"/>
        <w:tblLayout w:type="fixed"/>
        <w:tblCellMar>
          <w:top w:w="28" w:type="dxa"/>
          <w:left w:w="28" w:type="dxa"/>
          <w:bottom w:w="28" w:type="dxa"/>
          <w:right w:w="28" w:type="dxa"/>
        </w:tblCellMar>
      </w:tblPr>
      <w:tblGrid>
        <w:gridCol w:w="1354"/>
        <w:gridCol w:w="1189"/>
        <w:gridCol w:w="1192"/>
        <w:gridCol w:w="251"/>
        <w:gridCol w:w="1164"/>
        <w:gridCol w:w="130"/>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sub-lease liabilities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liabilities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sub-lease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allowance for unfunded commitments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1,004,340 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885"/>
                <wp:effectExtent l="0" t="0" r="0" b="0"/>
                <wp:wrapNone/>
                <wp:docPr id="110" name="Frame1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7 — Debt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our debt obligations as of December 31, 2025 and 2024:</w:t>
      </w:r>
    </w:p>
    <w:tbl>
      <w:tblPr>
        <w:tblW w:w="10205" w:type="dxa"/>
        <w:jc w:val="left"/>
        <w:tblInd w:w="0" w:type="dxa"/>
        <w:tblLayout w:type="fixed"/>
        <w:tblCellMar>
          <w:top w:w="28" w:type="dxa"/>
          <w:left w:w="28" w:type="dxa"/>
          <w:bottom w:w="28" w:type="dxa"/>
          <w:right w:w="28" w:type="dxa"/>
        </w:tblCellMar>
      </w:tblPr>
      <w:tblGrid>
        <w:gridCol w:w="1103"/>
        <w:gridCol w:w="936"/>
        <w:gridCol w:w="935"/>
        <w:gridCol w:w="109"/>
        <w:gridCol w:w="109"/>
        <w:gridCol w:w="109"/>
        <w:gridCol w:w="535"/>
        <w:gridCol w:w="508"/>
        <w:gridCol w:w="516"/>
        <w:gridCol w:w="109"/>
        <w:gridCol w:w="109"/>
        <w:gridCol w:w="109"/>
        <w:gridCol w:w="461"/>
        <w:gridCol w:w="446"/>
        <w:gridCol w:w="448"/>
        <w:gridCol w:w="109"/>
        <w:gridCol w:w="109"/>
        <w:gridCol w:w="109"/>
        <w:gridCol w:w="220"/>
        <w:gridCol w:w="1133"/>
        <w:gridCol w:w="113"/>
        <w:gridCol w:w="109"/>
        <w:gridCol w:w="109"/>
        <w:gridCol w:w="109"/>
        <w:gridCol w:w="223"/>
        <w:gridCol w:w="1149"/>
        <w:gridCol w:w="171"/>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CAD Borrowings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4.464%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17,092,453 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885"/>
                <wp:effectExtent l="0" t="0" r="0" b="0"/>
                <wp:wrapNone/>
                <wp:docPr id="111"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104"/>
        <w:gridCol w:w="937"/>
        <w:gridCol w:w="934"/>
        <w:gridCol w:w="109"/>
        <w:gridCol w:w="109"/>
        <w:gridCol w:w="109"/>
        <w:gridCol w:w="541"/>
        <w:gridCol w:w="508"/>
        <w:gridCol w:w="510"/>
        <w:gridCol w:w="109"/>
        <w:gridCol w:w="109"/>
        <w:gridCol w:w="109"/>
        <w:gridCol w:w="461"/>
        <w:gridCol w:w="446"/>
        <w:gridCol w:w="448"/>
        <w:gridCol w:w="109"/>
        <w:gridCol w:w="109"/>
        <w:gridCol w:w="109"/>
        <w:gridCol w:w="220"/>
        <w:gridCol w:w="1133"/>
        <w:gridCol w:w="113"/>
        <w:gridCol w:w="109"/>
        <w:gridCol w:w="109"/>
        <w:gridCol w:w="109"/>
        <w:gridCol w:w="223"/>
        <w:gridCol w:w="1149"/>
        <w:gridCol w:w="170"/>
      </w:tblGrid>
      <w:tr>
        <w:trPr/>
        <w:tc>
          <w:tcPr>
            <w:tcW w:w="110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CAD Borrowings</w:t>
            </w:r>
            <w:r>
              <w:rPr>
                <w:color w:val="000000"/>
              </w:rPr>
              <w:t xml:space="preserve">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5.689%</w:t>
            </w:r>
            <w:r>
              <w:rPr>
                <w:color w:val="000000"/>
              </w:rPr>
              <w:t xml:space="preserve">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4.413%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17,098,846 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16,732,889 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(2)Borrowings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year ended December 31, 2025, the weighted average commitment fees for the Revolving Credit Facility was 0.20%. </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(3)Interest rates represent the contractual interest rates adjusted to account for the impact of the forward-starting interest rate swaps and treasury locks (as further described in </w:t>
      </w:r>
      <w:hyperlink w:anchor="i368d3c19aa9d44c4a3d1ba3257c0bdcf_172">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xml:space="preserve">). The contractual interest rates on the April 2022 Notes (as defined below) maturing 2028, 2030 and 2032 are 4.750%, 4.950% and 5.125%, respectively, the contractual interest rate on the March 2024 Notes (as defined below) maturing 2034 is 5.750%, the contractual interest rates on the December 2024 Notes (as defined below) maturing 2031 is 5.125%, and the contractual interest rate on the April 2025 Notes (as defined below) maturing 2035 is 5.625%. </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(4)The interest rate represents the weighted average interest rates of the Senior Unsecured Notes adjusted to account for the impact of the forward-starting interest rate swaps and treasury locks (as further described in </w:t>
      </w:r>
      <w:hyperlink w:anchor="i368d3c19aa9d44c4a3d1ba3257c0bdcf_172">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xml:space="preserve">), as applicable. The contractual weighted average interest rate as of December 31, 2025, which excludes the impact of the forward-starting interest rate swaps and treasury locks, was 4.62%.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885"/>
                <wp:effectExtent l="0" t="0" r="0" b="0"/>
                <wp:wrapNone/>
                <wp:docPr id="112" name="Frame1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schedule of future minimum payments of our debt obligations as of December 31, 2025:</w:t>
      </w:r>
    </w:p>
    <w:tbl>
      <w:tblPr>
        <w:tblW w:w="4634" w:type="dxa"/>
        <w:jc w:val="center"/>
        <w:tblInd w:w="0" w:type="dxa"/>
        <w:tblLayout w:type="fixed"/>
        <w:tblCellMar>
          <w:top w:w="28" w:type="dxa"/>
          <w:left w:w="28" w:type="dxa"/>
          <w:bottom w:w="28" w:type="dxa"/>
          <w:right w:w="28" w:type="dxa"/>
        </w:tblCellMar>
      </w:tblPr>
      <w:tblGrid>
        <w:gridCol w:w="853"/>
        <w:gridCol w:w="750"/>
        <w:gridCol w:w="752"/>
        <w:gridCol w:w="332"/>
        <w:gridCol w:w="1705"/>
        <w:gridCol w:w="24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Minimum Payments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1,892,453 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repayments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17,092,453 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outstanding senior unsecured notes consist of (i) $2.25 billion aggregate principal amount of Senior Notes issued on November 26, 2019 (the “November 2019 Notes”), (ii) $1.75 billion aggregate principal amount of Senior Notes issued on February 5, 2020 (the “February 2020 Notes”), (iii) $4.5 billion aggregate principal amount of Senior Notes issued on April 29, 2022 (the “April 2022 Notes”), (iv) approximately $2.3 billion aggregate principal amount of Senior Notes issued on April 29, 2022, in each case issued by VICI LP and VICI Note Co. Inc. (the “Exchange Notes”), (v) approximately $63.6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(vi) $1.05 billion aggregate principal amount of Senior Notes issued on March 18, 2024 (the “March 2024 Notes”), (vii) $750.0 million aggregate principal of Senior Notes issued on December 19, 2024, (the “December 2024 Notes”), and (viii) $1.3 billion aggregate principal amount of Senior Notes issued on April 7, 2025 (the “April 2025 Notes”). The outstanding November 2019 Notes, February 2020 Notes, April 2022 Notes, Exchange Notes, MGP OP Notes, March 2024 Notes, December 2024 Notes and April 2025 Notes are collectively referred to as the “Senior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7, 2025, VICI LP issued the April 2025 Notes comprised of (i) $400.0 million aggregate principal amount of 4.750% Senior Notes due 2028, which mature on April 1, 2028, and (ii) $900.0 million aggregate principal amount of 5.625% Senior Notes due 2035, which mature on April 1, 2035, in each case under a supplemental indenture dated as of April, 7, 2025, between VICI LP and the trustee. We used the net proceeds of the April 2025 Notes to redeem our then-outstanding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Guarantee and 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885"/>
                <wp:effectExtent l="0" t="0" r="0" b="0"/>
                <wp:wrapNone/>
                <wp:docPr id="113" name="Frame1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governing each of the April 2022 Notes, March 2024 Notes, December 2024 Notes and April 2025 Notes contains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Unsecured Credit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 Concurrently with entry into the Credit Agreement and Revolving Credit Facility, we terminated the credit agreement dated February 8, 2022 by and among VICI LP, the lenders from time to time party thereto, and JPMorgan Chase Bank, N.A., as administrative agent, as amended from time to time (the “2022 Credit Agreement”) and the existing revolving credit facility in the amount of $2.5 billion scheduled to mature on March 31, 2026 (the “2022 Revolving Credit Facility”). In connection with the termination of the 2022 Revolving Credit Facility, all outstanding balances thereunder were repaid and reborrowed under the Revolving Credit Facility.</w:t>
      </w:r>
    </w:p>
    <w:p>
      <w:pPr>
        <w:pStyle w:val="TextBody"/>
        <w:bidi w:val="0"/>
        <w:spacing w:lineRule="auto" w:line="288" w:before="180" w:after="283"/>
        <w:jc w:val="both"/>
        <w:rPr/>
      </w:pPr>
      <w:r>
        <w:rPr>
          <w:rFonts w:ascii="Times New Roman;serif" w:hAnsi="Times New Roman;serif"/>
          <w:b w:val="false"/>
          <w:color w:val="000000"/>
          <w:sz w:val="20"/>
        </w:rPr>
        <w:t xml:space="preserve">The Revolving Credit Facility includes two six-month maturity extension options </w:t>
      </w:r>
      <w:r>
        <w:rPr>
          <w:rFonts w:ascii="Times New Roman;serif" w:hAnsi="Times New Roman;serif"/>
          <w:b w:val="false"/>
          <w:color w:val="000000"/>
          <w:sz w:val="20"/>
          <w:shd w:fill="FFFFFF" w:val="clear"/>
        </w:rPr>
        <w:t>(or one twelve-month extension option)</w:t>
      </w:r>
      <w:r>
        <w:rPr>
          <w:rFonts w:ascii="Times New Roman;serif" w:hAnsi="Times New Roman;serif"/>
          <w:b w:val="false"/>
          <w:color w:val="000000"/>
          <w:sz w:val="20"/>
        </w:rPr>
        <w:t>, the exercise of which in each case is subject to customary conditions and the payment of an extension fee of (i) 0.0625% on the extended commitments</w:t>
      </w:r>
      <w:r>
        <w:rPr>
          <w:rFonts w:ascii="Times New Roman;serif" w:hAnsi="Times New Roman;serif"/>
          <w:b w:val="false"/>
          <w:color w:val="000000"/>
          <w:sz w:val="20"/>
          <w:shd w:fill="FFFFFF" w:val="clear"/>
        </w:rPr>
        <w:t>, in the case of each six-month extension of the Revolving Credit Facility, and (ii) 0.125% on the extended commitments, in the case of a twelve-month extension of the Revolving Credit Facility</w:t>
      </w:r>
      <w:r>
        <w:rPr>
          <w:rFonts w:ascii="Times New Roman;serif" w:hAnsi="Times New Roman;serif"/>
          <w:b w:val="false"/>
          <w:color w:val="000000"/>
          <w:sz w:val="20"/>
        </w:rPr>
        <w:t xml:space="preserve">.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pPr>
      <w:r>
        <w:rPr>
          <w:rFonts w:ascii="Times New Roman;serif" w:hAnsi="Times New Roman;serif"/>
          <w:b w:val="false"/>
          <w:color w:val="000000"/>
          <w:sz w:val="20"/>
          <w:shd w:fill="FFFFFF" w:val="clear"/>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w:t>
      </w:r>
      <w:r>
        <w:rPr>
          <w:color w:val="000000"/>
        </w:rPr>
        <w:t xml:space="preserve"> </w:t>
      </w:r>
      <w:r>
        <w:rPr>
          <w:rFonts w:ascii="Times New Roman;serif" w:hAnsi="Times New Roman;serif"/>
          <w:b w:val="false"/>
          <w:color w:val="000000"/>
          <w:sz w:val="20"/>
          <w:shd w:fill="FFFFFF" w:val="clear"/>
        </w:rPr>
        <w:t>In addition to U.S. Dollar borrowings, borrowings under the Revolving Credit Facility are also available in certain specific foreign currencies, bearing interest based on rates customary for such foreign currencies and subject to the same applicable margins for U.S. Dollar borrowings.</w:t>
      </w:r>
      <w:r>
        <w:rPr>
          <w:color w:val="000000"/>
        </w:rPr>
        <w:t xml:space="preserve"> </w:t>
      </w:r>
      <w:r>
        <w:rPr>
          <w:rFonts w:ascii="Times New Roman;serif" w:hAnsi="Times New Roman;serif"/>
          <w:b w:val="false"/>
          <w:color w:val="000000"/>
          <w:sz w:val="20"/>
          <w:shd w:fill="FFFFFF" w:val="clear"/>
        </w:rPr>
        <w:t xml:space="preserve">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 </w:t>
      </w:r>
    </w:p>
    <w:p>
      <w:pPr>
        <w:pStyle w:val="TextBody"/>
        <w:bidi w:val="0"/>
        <w:spacing w:lineRule="auto" w:line="288" w:before="180" w:after="283"/>
        <w:jc w:val="both"/>
        <w:rPr/>
      </w:pPr>
      <w:r>
        <w:rPr>
          <w:rFonts w:ascii="Times New Roman;serif" w:hAnsi="Times New Roman;serif"/>
          <w:b w:val="false"/>
          <w:color w:val="000000"/>
          <w:sz w:val="20"/>
          <w:shd w:fill="FFFFFF" w:val="clear"/>
        </w:rPr>
        <w:t>The Credit Agreement contains customary representations and warranties and affirmative, negative and financial covenants.</w:t>
      </w:r>
      <w:r>
        <w:rPr>
          <w:color w:val="000000"/>
        </w:rPr>
        <w:t xml:space="preserve"> </w:t>
      </w:r>
      <w:r>
        <w:rPr>
          <w:rFonts w:ascii="Times New Roman;serif" w:hAnsi="Times New Roman;serif"/>
          <w:b w:val="false"/>
          <w:color w:val="000000"/>
          <w:sz w:val="20"/>
          <w:shd w:fill="FFFFFF" w:val="clear"/>
        </w:rPr>
        <w:t xml:space="preserve">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w:t>
      </w:r>
      <w:r>
        <w:rPr>
          <w:rFonts w:ascii="Times New Roman;serif" w:hAnsi="Times New Roman;serif"/>
          <w:b w:val="false"/>
          <w:color w:val="000000"/>
          <w:sz w:val="20"/>
        </w:rPr>
        <w:t xml:space="preserve">The Credit Agreement is consistent with certain tax-related requirements related to security for our debt. </w:t>
      </w:r>
    </w:p>
    <w:p>
      <w:pPr>
        <w:pStyle w:val="TextBody"/>
        <w:bidi w:val="0"/>
        <w:spacing w:lineRule="auto" w:line="288" w:before="18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we had C$165.0 million and £16.5 million outstanding on the Revolving Credit Facility in connection with the funding of a portion of our Canadian investments and our United Kingdom investments,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MGM Grand/Mandalay Bay CMBS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9, 2023, as a result of our acquisition of the remaining 49.9% interest in the MGM Grand/Mandalay Bay JV, we consolidated the assets and liabilities of the MGM Grand/Mandalay Bay JV, which includes the $3.0 billion in principal amount of outstanding CMBS debt (the “MGM Grand/ Mandalay Bay CMBS Debt”). The MGM Grand/Mandalay Bay CMBS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885"/>
                <wp:effectExtent l="0" t="0" r="0" b="0"/>
                <wp:wrapNone/>
                <wp:docPr id="114" name="Frame1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- 39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December 31, 2025, we are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8 — Derivatives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Interest-Rate Derivatives</w:t>
      </w:r>
    </w:p>
    <w:p>
      <w:pPr>
        <w:pStyle w:val="TextBody"/>
        <w:bidi w:val="0"/>
        <w:spacing w:lineRule="auto" w:line="288" w:before="180" w:after="283"/>
        <w:jc w:val="both"/>
        <w:rPr/>
      </w:pPr>
      <w:r>
        <w:rPr>
          <w:rFonts w:ascii="Times New Roman;serif" w:hAnsi="Times New Roman;serif"/>
          <w:b w:val="false"/>
          <w:i/>
          <w:color w:val="000000"/>
          <w:sz w:val="20"/>
        </w:rPr>
        <w:t>Outstanding Derivatives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detail our outstanding interest rate derivatives that were designated as cash flow hedges of interest rate risk as of December 31, 2024. There were no derivative instruments outstanding as of December 31, 2025. </w:t>
      </w:r>
    </w:p>
    <w:tbl>
      <w:tblPr>
        <w:tblW w:w="10205" w:type="dxa"/>
        <w:jc w:val="left"/>
        <w:tblInd w:w="0" w:type="dxa"/>
        <w:tblLayout w:type="fixed"/>
        <w:tblCellMar>
          <w:top w:w="28" w:type="dxa"/>
          <w:left w:w="28" w:type="dxa"/>
          <w:bottom w:w="28" w:type="dxa"/>
          <w:right w:w="28" w:type="dxa"/>
        </w:tblCellMar>
      </w:tblPr>
      <w:tblGrid>
        <w:gridCol w:w="1016"/>
        <w:gridCol w:w="618"/>
        <w:gridCol w:w="609"/>
        <w:gridCol w:w="109"/>
        <w:gridCol w:w="109"/>
        <w:gridCol w:w="109"/>
        <w:gridCol w:w="516"/>
        <w:gridCol w:w="516"/>
        <w:gridCol w:w="517"/>
        <w:gridCol w:w="109"/>
        <w:gridCol w:w="109"/>
        <w:gridCol w:w="109"/>
        <w:gridCol w:w="309"/>
        <w:gridCol w:w="255"/>
        <w:gridCol w:w="249"/>
        <w:gridCol w:w="109"/>
        <w:gridCol w:w="109"/>
        <w:gridCol w:w="109"/>
        <w:gridCol w:w="294"/>
        <w:gridCol w:w="294"/>
        <w:gridCol w:w="298"/>
        <w:gridCol w:w="109"/>
        <w:gridCol w:w="109"/>
        <w:gridCol w:w="109"/>
        <w:gridCol w:w="633"/>
        <w:gridCol w:w="633"/>
        <w:gridCol w:w="638"/>
        <w:gridCol w:w="109"/>
        <w:gridCol w:w="109"/>
        <w:gridCol w:w="109"/>
        <w:gridCol w:w="341"/>
        <w:gridCol w:w="341"/>
        <w:gridCol w:w="493"/>
      </w:tblGrid>
      <w:tr>
        <w:trPr/>
        <w:tc>
          <w:tcPr>
            <w:tcW w:w="10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2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2035</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Settled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tbl>
      <w:tblPr>
        <w:tblW w:w="10205" w:type="dxa"/>
        <w:jc w:val="left"/>
        <w:tblInd w:w="0" w:type="dxa"/>
        <w:tblLayout w:type="fixed"/>
        <w:tblCellMar>
          <w:top w:w="28" w:type="dxa"/>
          <w:left w:w="28" w:type="dxa"/>
          <w:bottom w:w="28" w:type="dxa"/>
          <w:right w:w="28" w:type="dxa"/>
        </w:tblCellMar>
      </w:tblPr>
      <w:tblGrid>
        <w:gridCol w:w="508"/>
        <w:gridCol w:w="388"/>
        <w:gridCol w:w="389"/>
        <w:gridCol w:w="109"/>
        <w:gridCol w:w="109"/>
        <w:gridCol w:w="109"/>
        <w:gridCol w:w="370"/>
        <w:gridCol w:w="370"/>
        <w:gridCol w:w="371"/>
        <w:gridCol w:w="109"/>
        <w:gridCol w:w="109"/>
        <w:gridCol w:w="109"/>
        <w:gridCol w:w="654"/>
        <w:gridCol w:w="654"/>
        <w:gridCol w:w="659"/>
        <w:gridCol w:w="109"/>
        <w:gridCol w:w="109"/>
        <w:gridCol w:w="109"/>
        <w:gridCol w:w="462"/>
        <w:gridCol w:w="462"/>
        <w:gridCol w:w="464"/>
        <w:gridCol w:w="109"/>
        <w:gridCol w:w="109"/>
        <w:gridCol w:w="109"/>
        <w:gridCol w:w="231"/>
        <w:gridCol w:w="907"/>
        <w:gridCol w:w="119"/>
        <w:gridCol w:w="109"/>
        <w:gridCol w:w="109"/>
        <w:gridCol w:w="109"/>
        <w:gridCol w:w="415"/>
        <w:gridCol w:w="854"/>
        <w:gridCol w:w="293"/>
      </w:tblGrid>
      <w:tr>
        <w:trPr/>
        <w:tc>
          <w:tcPr>
            <w:tcW w:w="5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Settlement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Proceeds/(Payments)</w:t>
            </w:r>
          </w:p>
        </w:tc>
      </w:tr>
      <w:tr>
        <w:trPr/>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885"/>
                <wp:effectExtent l="0" t="0" r="0" b="0"/>
                <wp:wrapNone/>
                <wp:docPr id="115" name="Frame1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2363"/>
        <w:gridCol w:w="2057"/>
        <w:gridCol w:w="2067"/>
        <w:gridCol w:w="211"/>
        <w:gridCol w:w="668"/>
        <w:gridCol w:w="109"/>
        <w:gridCol w:w="109"/>
        <w:gridCol w:w="109"/>
        <w:gridCol w:w="109"/>
        <w:gridCol w:w="211"/>
        <w:gridCol w:w="721"/>
        <w:gridCol w:w="109"/>
        <w:gridCol w:w="109"/>
        <w:gridCol w:w="109"/>
        <w:gridCol w:w="109"/>
        <w:gridCol w:w="211"/>
        <w:gridCol w:w="668"/>
        <w:gridCol w:w="156"/>
      </w:tblGrid>
      <w:tr>
        <w:trPr/>
        <w:tc>
          <w:tcPr>
            <w:tcW w:w="236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recorded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interest expense related to the amortization of the forward-starting interest rate swaps and treasury locks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foreign transactions in Canada and the United Kingdom, we currently have C$165.0 million and £16.5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years ended December 31, 2025 and 2024, we recognized $7.5 million and $12.9 million in unrealized gains, respectively,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9 —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and liabilities measured at fair value on a recurring basis as of December 31, 2025 and 2024:</w:t>
      </w:r>
    </w:p>
    <w:tbl>
      <w:tblPr>
        <w:tblW w:w="7224" w:type="dxa"/>
        <w:jc w:val="left"/>
        <w:tblInd w:w="0" w:type="dxa"/>
        <w:tblLayout w:type="fixed"/>
        <w:tblCellMar>
          <w:top w:w="28" w:type="dxa"/>
          <w:left w:w="28" w:type="dxa"/>
          <w:bottom w:w="28" w:type="dxa"/>
          <w:right w:w="28" w:type="dxa"/>
        </w:tblCellMar>
      </w:tblPr>
      <w:tblGrid>
        <w:gridCol w:w="799"/>
        <w:gridCol w:w="702"/>
        <w:gridCol w:w="704"/>
        <w:gridCol w:w="304"/>
        <w:gridCol w:w="1039"/>
        <w:gridCol w:w="157"/>
        <w:gridCol w:w="109"/>
        <w:gridCol w:w="109"/>
        <w:gridCol w:w="109"/>
        <w:gridCol w:w="211"/>
        <w:gridCol w:w="406"/>
        <w:gridCol w:w="109"/>
        <w:gridCol w:w="109"/>
        <w:gridCol w:w="109"/>
        <w:gridCol w:w="109"/>
        <w:gridCol w:w="211"/>
        <w:gridCol w:w="721"/>
        <w:gridCol w:w="109"/>
        <w:gridCol w:w="109"/>
        <w:gridCol w:w="109"/>
        <w:gridCol w:w="109"/>
        <w:gridCol w:w="211"/>
        <w:gridCol w:w="40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Short-term investments </w:t>
            </w:r>
            <w:r>
              <w:rPr>
                <w:rFonts w:ascii="Times New Roman;serif" w:hAnsi="Times New Roman;serif"/>
                <w:b w:val="false"/>
                <w:i/>
                <w:color w:val="000000"/>
                <w:sz w:val="13"/>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9967" w:type="dxa"/>
        <w:jc w:val="left"/>
        <w:tblInd w:w="0" w:type="dxa"/>
        <w:tblLayout w:type="fixed"/>
        <w:tblCellMar>
          <w:top w:w="28" w:type="dxa"/>
          <w:left w:w="28" w:type="dxa"/>
          <w:bottom w:w="28" w:type="dxa"/>
          <w:right w:w="28" w:type="dxa"/>
        </w:tblCellMar>
      </w:tblPr>
      <w:tblGrid>
        <w:gridCol w:w="1831"/>
        <w:gridCol w:w="1610"/>
        <w:gridCol w:w="1613"/>
        <w:gridCol w:w="338"/>
        <w:gridCol w:w="987"/>
        <w:gridCol w:w="174"/>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Derivative instruments - forward-starting interest rate swap </w:t>
            </w:r>
            <w:r>
              <w:rPr>
                <w:rFonts w:ascii="Times New Roman;serif" w:hAnsi="Times New Roman;serif"/>
                <w:b w:val="false"/>
                <w:i/>
                <w:color w:val="000000"/>
                <w:sz w:val="13"/>
              </w:rPr>
              <w:t>(2)</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carrying value of these investments is equal to their fair value due to the short-term nature of the investments as well as their credit quality.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885"/>
                <wp:effectExtent l="0" t="0" r="0" b="0"/>
                <wp:wrapNone/>
                <wp:docPr id="116" name="Frame1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- 41</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our financial instruments at December 31, 2025 and 2024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5"/>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9"/>
      </w:tblGrid>
      <w:tr>
        <w:trPr/>
        <w:tc>
          <w:tcPr>
            <w:tcW w:w="12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w:t>
            </w:r>
            <w:r>
              <w:rPr>
                <w:rFonts w:ascii="Times New Roman;serif" w:hAnsi="Times New Roman;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17,723,171 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loans and securities </w:t>
            </w:r>
            <w:r>
              <w:rPr>
                <w:rFonts w:ascii="Times New Roman;serif" w:hAnsi="Times New Roman;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Debt </w:t>
            </w:r>
            <w:r>
              <w:rPr>
                <w:rFonts w:ascii="Times New Roman;serif" w:hAnsi="Times New Roman;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2,686,960 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Unsecured Notes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13,803,273 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13,619,484 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The fair value of these assets is based on significant “unobservable” market inputs and, as such, these fair value measurements are considered Level 3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10 — Commitments and Contingent Liabilities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from time to time, we may be subject to legal claims and administrative proceedings. As of December 31, 2025,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rPr>
        <w:t xml:space="preserve">Operating Lease Commitments. </w:t>
      </w:r>
      <w:r>
        <w:rPr>
          <w:rFonts w:ascii="Times New Roman;serif" w:hAnsi="Times New Roman;serif"/>
          <w:b w:val="false"/>
          <w:color w:val="000000"/>
          <w:sz w:val="20"/>
        </w:rPr>
        <w:t>We are liable under operating leases for: (i) land at the Cascata golf course, which expires in 2038 and has three 10-year extension options and (ii) our corporate headquarters in New York, NY, which expires in 2035 and has one five-year renewal option.</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rPr>
        <w:t xml:space="preserve">Sub-Lease Commitments. </w:t>
      </w:r>
      <w:r>
        <w:rPr>
          <w:rFonts w:ascii="Times New Roman;serif" w:hAnsi="Times New Roman;serif"/>
          <w:b w:val="false"/>
          <w:color w:val="000000"/>
          <w:sz w:val="20"/>
        </w:rPr>
        <w:t>Certain of our acquisitions necessitate that we assume, as the lessee, ground and use leases that are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we are the primary obligor of certain of such ground and use leases and, accordingly, have presented these leases on a gross basis on our Balance Sheets and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ground and use leases determined to be operating leases, we recorded sub-lease right-of-use assets in Other assets and sub-lease liabilities in Other liabilities. For ground and lease uses determined to be finance leases, we recorded a sales-type sub-lease in Other assets and finance sub-lease liability in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885"/>
                <wp:effectExtent l="0" t="0" r="0" b="0"/>
                <wp:wrapNone/>
                <wp:docPr id="117" name="Frame1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- 42</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balance and location in our Balance Sheets of the ground and use sub-leases as of December 31, 2025 and 2024:</w:t>
      </w:r>
    </w:p>
    <w:tbl>
      <w:tblPr>
        <w:tblW w:w="8650" w:type="dxa"/>
        <w:jc w:val="left"/>
        <w:tblInd w:w="0" w:type="dxa"/>
        <w:tblLayout w:type="fixed"/>
        <w:tblCellMar>
          <w:top w:w="28" w:type="dxa"/>
          <w:left w:w="28" w:type="dxa"/>
          <w:bottom w:w="28" w:type="dxa"/>
          <w:right w:w="28" w:type="dxa"/>
        </w:tblCellMar>
      </w:tblPr>
      <w:tblGrid>
        <w:gridCol w:w="1880"/>
        <w:gridCol w:w="1652"/>
        <w:gridCol w:w="1657"/>
        <w:gridCol w:w="313"/>
        <w:gridCol w:w="1070"/>
        <w:gridCol w:w="161"/>
        <w:gridCol w:w="109"/>
        <w:gridCol w:w="109"/>
        <w:gridCol w:w="109"/>
        <w:gridCol w:w="309"/>
        <w:gridCol w:w="1056"/>
        <w:gridCol w:w="225"/>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(operating lease and sub-leases right-of-use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(operating lease and sub-lease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(sales-type sub-leases, net) </w:t>
            </w:r>
            <w:r>
              <w:rPr>
                <w:rFonts w:ascii="Times New Roman;serif" w:hAnsi="Times New Roman;serif"/>
                <w:b w:val="false"/>
                <w:i/>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(finance sub-lease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pPr>
      <w:r>
        <w:rPr>
          <w:rFonts w:ascii="Times New Roman;serif" w:hAnsi="Times New Roman;serif"/>
          <w:b w:val="false"/>
          <w:i/>
          <w:color w:val="000000"/>
          <w:sz w:val="16"/>
        </w:rPr>
        <w:t xml:space="preserve">(1) As of December 31, 2025 and December 31, 2024, sales-type sub-leases are net of $23.9 million and $20.6 million of allowance for credit losses, respectively. Refer to </w:t>
      </w:r>
      <w:hyperlink w:anchor="i368d3c19aa9d44c4a3d1ba3257c0bdcf_160">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6071" w:type="dxa"/>
        <w:jc w:val="left"/>
        <w:tblInd w:w="0" w:type="dxa"/>
        <w:tblLayout w:type="fixed"/>
        <w:tblCellMar>
          <w:top w:w="28" w:type="dxa"/>
          <w:left w:w="28" w:type="dxa"/>
          <w:bottom w:w="28" w:type="dxa"/>
          <w:right w:w="28" w:type="dxa"/>
        </w:tblCellMar>
      </w:tblPr>
      <w:tblGrid>
        <w:gridCol w:w="930"/>
        <w:gridCol w:w="815"/>
        <w:gridCol w:w="819"/>
        <w:gridCol w:w="211"/>
        <w:gridCol w:w="616"/>
        <w:gridCol w:w="109"/>
        <w:gridCol w:w="109"/>
        <w:gridCol w:w="109"/>
        <w:gridCol w:w="109"/>
        <w:gridCol w:w="211"/>
        <w:gridCol w:w="616"/>
        <w:gridCol w:w="109"/>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expense </w:t>
            </w:r>
            <w:r>
              <w:rPr>
                <w:rFonts w:ascii="Times New Roman;serif" w:hAnsi="Times New Roman;serif"/>
                <w:b w:val="false"/>
                <w:i/>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sub-leases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sub-leases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Total rental income and rental expense for operating and finance sub-lease commitments are presented gross and included in Other income and Other expenses in our Statement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minimum lease commitments relating to the base lease rent portion of noncancelable operating leases and ground and use sub-leases at December 31, 2025 are as follows: </w:t>
      </w:r>
    </w:p>
    <w:tbl>
      <w:tblPr>
        <w:tblW w:w="10205" w:type="dxa"/>
        <w:jc w:val="left"/>
        <w:tblInd w:w="0" w:type="dxa"/>
        <w:tblLayout w:type="fixed"/>
        <w:tblCellMar>
          <w:top w:w="28" w:type="dxa"/>
          <w:left w:w="28" w:type="dxa"/>
          <w:bottom w:w="28" w:type="dxa"/>
          <w:right w:w="28" w:type="dxa"/>
        </w:tblCellMar>
      </w:tblPr>
      <w:tblGrid>
        <w:gridCol w:w="1086"/>
        <w:gridCol w:w="737"/>
        <w:gridCol w:w="738"/>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108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2,956,385 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Discounting factor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2,093,540 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Discount rates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5.3% -7.0%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- 5.8%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 - 8.3%</w:t>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years</w:t>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885"/>
                <wp:effectExtent l="0" t="0" r="0" b="0"/>
                <wp:wrapNone/>
                <wp:docPr id="118" name="Frame1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- 43</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11 — Stockholders' Equity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Authorized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the authority to issue 1,400,000,000 shares of stock, consisting of 1,350,000,000 shares of common stock, $0.01 par value per share and 50,000,000 shares of Preferred Stock, $0.01 par value per share.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Marketed Forward Offerings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marketed public offering activity, all of which were subject to forward sale agreements, during the year ended December 31, 2023. There were no marketed public forward offering activity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491"/>
        <w:gridCol w:w="432"/>
        <w:gridCol w:w="435"/>
        <w:gridCol w:w="298"/>
        <w:gridCol w:w="298"/>
        <w:gridCol w:w="299"/>
        <w:gridCol w:w="109"/>
        <w:gridCol w:w="109"/>
        <w:gridCol w:w="109"/>
        <w:gridCol w:w="554"/>
        <w:gridCol w:w="321"/>
        <w:gridCol w:w="273"/>
        <w:gridCol w:w="109"/>
        <w:gridCol w:w="109"/>
        <w:gridCol w:w="109"/>
        <w:gridCol w:w="273"/>
        <w:gridCol w:w="799"/>
        <w:gridCol w:w="141"/>
        <w:gridCol w:w="109"/>
        <w:gridCol w:w="109"/>
        <w:gridCol w:w="109"/>
        <w:gridCol w:w="233"/>
        <w:gridCol w:w="1080"/>
        <w:gridCol w:w="120"/>
        <w:gridCol w:w="109"/>
        <w:gridCol w:w="109"/>
        <w:gridCol w:w="109"/>
        <w:gridCol w:w="288"/>
        <w:gridCol w:w="843"/>
        <w:gridCol w:w="149"/>
        <w:gridCol w:w="109"/>
        <w:gridCol w:w="109"/>
        <w:gridCol w:w="109"/>
        <w:gridCol w:w="218"/>
        <w:gridCol w:w="855"/>
        <w:gridCol w:w="170"/>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 except share and per share data)</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Effective Date </w:t>
            </w:r>
            <w:r>
              <w:rPr>
                <w:rFonts w:ascii="Times New Roman;serif" w:hAnsi="Times New Roman;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Shares Sold </w:t>
            </w:r>
            <w:r>
              <w:rPr>
                <w:rFonts w:ascii="Times New Roman;serif" w:hAnsi="Times New Roman;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Net Value</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2023 Offering</w:t>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30,302,500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(1)All forward sale agreements require settlement within one year of the Effective Date. </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amount is inclusive of shares sold pursuant to the exercise in full of the underwriters’ option to purchase additional common stock, which includes 3,952,500 shares.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did not have any shares outstanding from our marketed public forward offerings subject to forward sale agreements. Refer to “At-the-Market Offering Program” below for information regarding the share activity and shares outstanding under our forward sale agreements under our ATM Program (as defined below). Refer to “Forward Settlement Activity” below for information regarding the settlement of the forward offerings.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did not receive any proceeds from the sale of shares at the time we entered into each of the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885"/>
                <wp:effectExtent l="0" t="0" r="0" b="0"/>
                <wp:wrapNone/>
                <wp:docPr id="119" name="Frame1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- 44</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activity under the ATM Program during the years ended December 31, 2025, 2024 and 2023, all of which were subject to forward sale agreements, which we refer to as ATM forward sale agreements:</w:t>
      </w:r>
    </w:p>
    <w:tbl>
      <w:tblPr>
        <w:tblW w:w="10205" w:type="dxa"/>
        <w:jc w:val="left"/>
        <w:tblInd w:w="0" w:type="dxa"/>
        <w:tblLayout w:type="fixed"/>
        <w:tblCellMar>
          <w:top w:w="28" w:type="dxa"/>
          <w:left w:w="28" w:type="dxa"/>
          <w:bottom w:w="28" w:type="dxa"/>
          <w:right w:w="28" w:type="dxa"/>
        </w:tblCellMar>
      </w:tblPr>
      <w:tblGrid>
        <w:gridCol w:w="710"/>
        <w:gridCol w:w="591"/>
        <w:gridCol w:w="595"/>
        <w:gridCol w:w="558"/>
        <w:gridCol w:w="523"/>
        <w:gridCol w:w="343"/>
        <w:gridCol w:w="109"/>
        <w:gridCol w:w="109"/>
        <w:gridCol w:w="109"/>
        <w:gridCol w:w="333"/>
        <w:gridCol w:w="972"/>
        <w:gridCol w:w="172"/>
        <w:gridCol w:w="109"/>
        <w:gridCol w:w="109"/>
        <w:gridCol w:w="109"/>
        <w:gridCol w:w="226"/>
        <w:gridCol w:w="887"/>
        <w:gridCol w:w="116"/>
        <w:gridCol w:w="109"/>
        <w:gridCol w:w="109"/>
        <w:gridCol w:w="109"/>
        <w:gridCol w:w="333"/>
        <w:gridCol w:w="972"/>
        <w:gridCol w:w="172"/>
        <w:gridCol w:w="109"/>
        <w:gridCol w:w="109"/>
        <w:gridCol w:w="109"/>
        <w:gridCol w:w="246"/>
        <w:gridCol w:w="964"/>
        <w:gridCol w:w="184"/>
      </w:tblGrid>
      <w:tr>
        <w:trPr/>
        <w:tc>
          <w:tcPr>
            <w:tcW w:w="7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 except share and per share data)</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Net Value</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7,835,973 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12,015,399 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21,365,397 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7,750,000 forward shares remaining to be settled under our ATM forward sale agreements. The net forward sales price per share of forward shares under the ATM Program was $31.40 and would result in us receiving approximately $243.3 million in net cash proceeds if we were to physically settle the shares. Alternatively, if we were to cash settle the shares under the ATM forward sale agreements, it would result in a cash inflow of $25.4 million, or, if we were to net share settle the shares under the ATM forward sale agreements, it would result in us receiving approximately 903,735 shares of common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 Settlement Activity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settlement activity of the outstanding forward shares under our marketed public offerings and the ATM Program during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818"/>
        <w:gridCol w:w="605"/>
        <w:gridCol w:w="609"/>
        <w:gridCol w:w="365"/>
        <w:gridCol w:w="365"/>
        <w:gridCol w:w="366"/>
        <w:gridCol w:w="109"/>
        <w:gridCol w:w="109"/>
        <w:gridCol w:w="109"/>
        <w:gridCol w:w="359"/>
        <w:gridCol w:w="359"/>
        <w:gridCol w:w="360"/>
        <w:gridCol w:w="109"/>
        <w:gridCol w:w="109"/>
        <w:gridCol w:w="109"/>
        <w:gridCol w:w="694"/>
        <w:gridCol w:w="503"/>
        <w:gridCol w:w="419"/>
        <w:gridCol w:w="109"/>
        <w:gridCol w:w="109"/>
        <w:gridCol w:w="109"/>
        <w:gridCol w:w="389"/>
        <w:gridCol w:w="1137"/>
        <w:gridCol w:w="200"/>
        <w:gridCol w:w="109"/>
        <w:gridCol w:w="109"/>
        <w:gridCol w:w="109"/>
        <w:gridCol w:w="237"/>
        <w:gridCol w:w="930"/>
        <w:gridCol w:w="182"/>
      </w:tblGrid>
      <w:tr>
        <w:trPr/>
        <w:tc>
          <w:tcPr>
            <w:tcW w:w="81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 except share and per share data)</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Settlement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Settlement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Forward Share Price Upon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Forward Shares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12,101,372 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Forward Shares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13,194,739 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2023 Forward Sale Agreements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30,302,500 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2022 Forward Sale Agreements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18,975,000 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Forward Shares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29,788,250 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1698"/>
        <w:gridCol w:w="1494"/>
        <w:gridCol w:w="1498"/>
        <w:gridCol w:w="109"/>
        <w:gridCol w:w="109"/>
        <w:gridCol w:w="109"/>
        <w:gridCol w:w="668"/>
        <w:gridCol w:w="668"/>
        <w:gridCol w:w="156"/>
        <w:gridCol w:w="109"/>
        <w:gridCol w:w="109"/>
        <w:gridCol w:w="109"/>
        <w:gridCol w:w="668"/>
        <w:gridCol w:w="668"/>
        <w:gridCol w:w="156"/>
        <w:gridCol w:w="109"/>
        <w:gridCol w:w="109"/>
        <w:gridCol w:w="109"/>
        <w:gridCol w:w="668"/>
        <w:gridCol w:w="668"/>
        <w:gridCol w:w="214"/>
      </w:tblGrid>
      <w:tr>
        <w:trPr/>
        <w:tc>
          <w:tcPr>
            <w:tcW w:w="16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1,042,702,763 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963,096,563 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79,065,750 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1,042,702,763 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885"/>
                <wp:effectExtent l="0" t="0" r="0" b="0"/>
                <wp:wrapNone/>
                <wp:docPr id="120" name="Frame1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- 45</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Dividends declared (on a per share basis) during the years ended December 31, 2025 and 2024 were as follows:</w:t>
      </w:r>
    </w:p>
    <w:tbl>
      <w:tblPr>
        <w:tblW w:w="10205" w:type="dxa"/>
        <w:jc w:val="left"/>
        <w:tblInd w:w="0" w:type="dxa"/>
        <w:tblLayout w:type="fixed"/>
        <w:tblCellMar>
          <w:top w:w="28" w:type="dxa"/>
          <w:left w:w="28" w:type="dxa"/>
          <w:bottom w:w="28" w:type="dxa"/>
          <w:right w:w="28" w:type="dxa"/>
        </w:tblCellMar>
      </w:tblPr>
      <w:tblGrid>
        <w:gridCol w:w="584"/>
        <w:gridCol w:w="513"/>
        <w:gridCol w:w="516"/>
        <w:gridCol w:w="109"/>
        <w:gridCol w:w="109"/>
        <w:gridCol w:w="109"/>
        <w:gridCol w:w="570"/>
        <w:gridCol w:w="564"/>
        <w:gridCol w:w="565"/>
        <w:gridCol w:w="109"/>
        <w:gridCol w:w="109"/>
        <w:gridCol w:w="109"/>
        <w:gridCol w:w="461"/>
        <w:gridCol w:w="461"/>
        <w:gridCol w:w="463"/>
        <w:gridCol w:w="109"/>
        <w:gridCol w:w="109"/>
        <w:gridCol w:w="109"/>
        <w:gridCol w:w="1038"/>
        <w:gridCol w:w="1027"/>
        <w:gridCol w:w="1043"/>
        <w:gridCol w:w="109"/>
        <w:gridCol w:w="109"/>
        <w:gridCol w:w="109"/>
        <w:gridCol w:w="211"/>
        <w:gridCol w:w="721"/>
        <w:gridCol w:w="160"/>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
        <w:gridCol w:w="513"/>
        <w:gridCol w:w="516"/>
        <w:gridCol w:w="109"/>
        <w:gridCol w:w="109"/>
        <w:gridCol w:w="109"/>
        <w:gridCol w:w="570"/>
        <w:gridCol w:w="564"/>
        <w:gridCol w:w="565"/>
        <w:gridCol w:w="109"/>
        <w:gridCol w:w="109"/>
        <w:gridCol w:w="109"/>
        <w:gridCol w:w="461"/>
        <w:gridCol w:w="461"/>
        <w:gridCol w:w="463"/>
        <w:gridCol w:w="109"/>
        <w:gridCol w:w="109"/>
        <w:gridCol w:w="109"/>
        <w:gridCol w:w="1038"/>
        <w:gridCol w:w="1027"/>
        <w:gridCol w:w="1043"/>
        <w:gridCol w:w="109"/>
        <w:gridCol w:w="109"/>
        <w:gridCol w:w="109"/>
        <w:gridCol w:w="211"/>
        <w:gridCol w:w="721"/>
        <w:gridCol w:w="160"/>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12 — Earnings Per Share and Earnings Per Unit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180" w:after="283"/>
        <w:jc w:val="both"/>
        <w:rPr/>
      </w:pPr>
      <w:r>
        <w:rPr>
          <w:rFonts w:ascii="Times New Roman;serif" w:hAnsi="Times New Roman;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368d3c19aa9d44c4a3d1ba3257c0bdcf_181">
        <w:r>
          <w:rPr>
            <w:rStyle w:val="InternetLink"/>
            <w:rFonts w:ascii="Times New Roman;serif" w:hAnsi="Times New Roman;serif"/>
            <w:b w:val="false"/>
            <w:color w:val="0000FF"/>
            <w:sz w:val="20"/>
            <w:u w:val="single"/>
          </w:rPr>
          <w:t>Note 11 - Stockholders' Equity</w:t>
        </w:r>
      </w:hyperlink>
      <w:r>
        <w:rPr>
          <w:rFonts w:ascii="Times New Roman;serif" w:hAnsi="Times New Roman;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9512" w:type="dxa"/>
        <w:jc w:val="left"/>
        <w:tblInd w:w="0" w:type="dxa"/>
        <w:tblLayout w:type="fixed"/>
        <w:tblCellMar>
          <w:top w:w="28" w:type="dxa"/>
          <w:left w:w="28" w:type="dxa"/>
          <w:bottom w:w="28" w:type="dxa"/>
          <w:right w:w="28" w:type="dxa"/>
        </w:tblCellMar>
      </w:tblPr>
      <w:tblGrid>
        <w:gridCol w:w="1886"/>
        <w:gridCol w:w="1657"/>
        <w:gridCol w:w="1676"/>
        <w:gridCol w:w="488"/>
        <w:gridCol w:w="488"/>
        <w:gridCol w:w="156"/>
        <w:gridCol w:w="140"/>
        <w:gridCol w:w="140"/>
        <w:gridCol w:w="140"/>
        <w:gridCol w:w="488"/>
        <w:gridCol w:w="488"/>
        <w:gridCol w:w="156"/>
        <w:gridCol w:w="140"/>
        <w:gridCol w:w="140"/>
        <w:gridCol w:w="140"/>
        <w:gridCol w:w="488"/>
        <w:gridCol w:w="488"/>
        <w:gridCol w:w="213"/>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Determination of shares: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1,015,777 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885"/>
                <wp:effectExtent l="0" t="0" r="0" b="0"/>
                <wp:wrapNone/>
                <wp:docPr id="121" name="Frame1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- 46</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tbl>
      <w:tblPr>
        <w:tblW w:w="9807" w:type="dxa"/>
        <w:jc w:val="center"/>
        <w:tblInd w:w="0" w:type="dxa"/>
        <w:tblLayout w:type="fixed"/>
        <w:tblCellMar>
          <w:top w:w="28" w:type="dxa"/>
          <w:left w:w="28" w:type="dxa"/>
          <w:bottom w:w="28" w:type="dxa"/>
          <w:right w:w="28" w:type="dxa"/>
        </w:tblCellMar>
      </w:tblPr>
      <w:tblGrid>
        <w:gridCol w:w="1888"/>
        <w:gridCol w:w="1661"/>
        <w:gridCol w:w="1671"/>
        <w:gridCol w:w="211"/>
        <w:gridCol w:w="976"/>
        <w:gridCol w:w="109"/>
        <w:gridCol w:w="109"/>
        <w:gridCol w:w="109"/>
        <w:gridCol w:w="109"/>
        <w:gridCol w:w="211"/>
        <w:gridCol w:w="976"/>
        <w:gridCol w:w="109"/>
        <w:gridCol w:w="109"/>
        <w:gridCol w:w="109"/>
        <w:gridCol w:w="109"/>
        <w:gridCol w:w="211"/>
        <w:gridCol w:w="976"/>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Earnings Per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section presents the basic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units outstanding used in the calculation of basic EPU to the weighted-average units outstanding used in the calculation of diluted EPU:</w:t>
      </w:r>
    </w:p>
    <w:tbl>
      <w:tblPr>
        <w:tblW w:w="8657" w:type="dxa"/>
        <w:jc w:val="left"/>
        <w:tblInd w:w="0" w:type="dxa"/>
        <w:tblLayout w:type="fixed"/>
        <w:tblCellMar>
          <w:top w:w="28" w:type="dxa"/>
          <w:left w:w="28" w:type="dxa"/>
          <w:bottom w:w="28" w:type="dxa"/>
          <w:right w:w="28" w:type="dxa"/>
        </w:tblCellMar>
      </w:tblPr>
      <w:tblGrid>
        <w:gridCol w:w="1577"/>
        <w:gridCol w:w="1387"/>
        <w:gridCol w:w="1400"/>
        <w:gridCol w:w="488"/>
        <w:gridCol w:w="488"/>
        <w:gridCol w:w="156"/>
        <w:gridCol w:w="140"/>
        <w:gridCol w:w="140"/>
        <w:gridCol w:w="140"/>
        <w:gridCol w:w="488"/>
        <w:gridCol w:w="488"/>
        <w:gridCol w:w="156"/>
        <w:gridCol w:w="140"/>
        <w:gridCol w:w="140"/>
        <w:gridCol w:w="140"/>
        <w:gridCol w:w="488"/>
        <w:gridCol w:w="488"/>
        <w:gridCol w:w="213"/>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Determination of units: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885"/>
                <wp:effectExtent l="0" t="0" r="0" b="0"/>
                <wp:wrapNone/>
                <wp:docPr id="122" name="Frame1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- 47</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tbl>
      <w:tblPr>
        <w:tblW w:w="8277" w:type="dxa"/>
        <w:jc w:val="left"/>
        <w:tblInd w:w="0" w:type="dxa"/>
        <w:tblLayout w:type="fixed"/>
        <w:tblCellMar>
          <w:top w:w="28" w:type="dxa"/>
          <w:left w:w="28" w:type="dxa"/>
          <w:bottom w:w="28" w:type="dxa"/>
          <w:right w:w="28" w:type="dxa"/>
        </w:tblCellMar>
      </w:tblPr>
      <w:tblGrid>
        <w:gridCol w:w="1335"/>
        <w:gridCol w:w="1174"/>
        <w:gridCol w:w="1181"/>
        <w:gridCol w:w="211"/>
        <w:gridCol w:w="976"/>
        <w:gridCol w:w="109"/>
        <w:gridCol w:w="109"/>
        <w:gridCol w:w="109"/>
        <w:gridCol w:w="109"/>
        <w:gridCol w:w="211"/>
        <w:gridCol w:w="976"/>
        <w:gridCol w:w="109"/>
        <w:gridCol w:w="109"/>
        <w:gridCol w:w="109"/>
        <w:gridCol w:w="109"/>
        <w:gridCol w:w="211"/>
        <w:gridCol w:w="97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units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13 — Stock-Based Compensation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2025, 8,973,714 shares of common stock remained available for issuance by us as equity awards under the Plan.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Time-Based Restricted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Company granted approximately 272,000, 276,000, and 203,000 shares of restricted stock, respectively, under the Plan, subject to vesting restrictions based on service. Such restricted time-based stock awards vest ratably on an annual basis over a service period of one to three years. The number of shares granted was determined based on the 10-day volume weighted average price using the 10 trading days immediately preceding the grant date.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granted approximately 341,000, 348,000, and 235,000 performance-based restricted stock units, respectively, at target level of performance under the Plan, which are subject to vesting restrictions based on specified absolute and relative total stockholder return goals measured over a three-year performance period. For purposes of determining the fair value for expense recognition, we used a Monte Carlo Simulation (risk-neutral approach) as these awards contain a market condition. The risk-free interest rate assumptions used in the Monte Carlo Simulation were determined based on the zero-coupon risk-free rate of 4.2% - 4.3% and an expected price volatility of 20.0%. The expected price volatility was calculated based on both historical and implied volatility.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stock-based compensation expense recorded as General and administrative expense in the Statement of Operations:</w:t>
      </w:r>
    </w:p>
    <w:tbl>
      <w:tblPr>
        <w:tblW w:w="6822" w:type="dxa"/>
        <w:jc w:val="left"/>
        <w:tblInd w:w="0" w:type="dxa"/>
        <w:tblLayout w:type="fixed"/>
        <w:tblCellMar>
          <w:top w:w="28" w:type="dxa"/>
          <w:left w:w="28" w:type="dxa"/>
          <w:bottom w:w="28" w:type="dxa"/>
          <w:right w:w="28" w:type="dxa"/>
        </w:tblCellMar>
      </w:tblPr>
      <w:tblGrid>
        <w:gridCol w:w="1085"/>
        <w:gridCol w:w="954"/>
        <w:gridCol w:w="961"/>
        <w:gridCol w:w="211"/>
        <w:gridCol w:w="721"/>
        <w:gridCol w:w="109"/>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885"/>
                <wp:effectExtent l="0" t="0" r="0" b="0"/>
                <wp:wrapNone/>
                <wp:docPr id="123" name="Frame1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- 48</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activity of our incentive stock and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32"/>
        <w:gridCol w:w="676"/>
        <w:gridCol w:w="681"/>
        <w:gridCol w:w="435"/>
        <w:gridCol w:w="437"/>
        <w:gridCol w:w="181"/>
        <w:gridCol w:w="136"/>
        <w:gridCol w:w="136"/>
        <w:gridCol w:w="136"/>
        <w:gridCol w:w="500"/>
        <w:gridCol w:w="1464"/>
        <w:gridCol w:w="258"/>
        <w:gridCol w:w="109"/>
        <w:gridCol w:w="109"/>
        <w:gridCol w:w="109"/>
        <w:gridCol w:w="458"/>
        <w:gridCol w:w="414"/>
        <w:gridCol w:w="233"/>
        <w:gridCol w:w="174"/>
        <w:gridCol w:w="174"/>
        <w:gridCol w:w="174"/>
        <w:gridCol w:w="488"/>
        <w:gridCol w:w="1426"/>
        <w:gridCol w:w="365"/>
      </w:tblGrid>
      <w:tr>
        <w:trPr/>
        <w:tc>
          <w:tcPr>
            <w:tcW w:w="93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Time-Based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for per share data)</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Units</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2022</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507,339 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769,589 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474,867 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(363,267)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765,582 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531,268 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(243,615)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527,168 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909,566 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280,453 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340,554 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$19.4 million of unrecognized compensation cost related to non-vested stock-based compensation arrangements under the Plan. This cost is expected to be recognized over a weighted average period of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14 — Income Taxes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U.S. federal income tax except for the TRS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reflects the expected future tax consequences of temporary differences between the carrying amounts of assets or liabilities for financial reporting versus income tax purposes.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Income before income taxes for the year ended December 31, 2025 of $2,777.9 million was comprised of $2,767.1 million from U.S. operations and $10.8 million from foreign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885"/>
                <wp:effectExtent l="0" t="0" r="0" b="0"/>
                <wp:wrapNone/>
                <wp:docPr id="124" name="Frame1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- 49</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composition of our income tax expense (benefit) was as follows: </w:t>
      </w:r>
    </w:p>
    <w:tbl>
      <w:tblPr>
        <w:tblW w:w="12256" w:type="dxa"/>
        <w:jc w:val="left"/>
        <w:tblInd w:w="0" w:type="dxa"/>
        <w:tblLayout w:type="fixed"/>
        <w:tblCellMar>
          <w:top w:w="28" w:type="dxa"/>
          <w:left w:w="28" w:type="dxa"/>
          <w:bottom w:w="28" w:type="dxa"/>
          <w:right w:w="28" w:type="dxa"/>
        </w:tblCellMar>
      </w:tblPr>
      <w:tblGrid>
        <w:gridCol w:w="413"/>
        <w:gridCol w:w="344"/>
        <w:gridCol w:w="264"/>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36"/>
        <w:gridCol w:w="109"/>
        <w:gridCol w:w="109"/>
        <w:gridCol w:w="109"/>
        <w:gridCol w:w="109"/>
        <w:gridCol w:w="211"/>
        <w:gridCol w:w="63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income taxes paid, net of refunds received, of $7.3 million were comprised of $3.2 million U.S. Federal income tax, $1.3 million state and local income tax and $2.9 million foreign income tax in Canada.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net effects of temporary differences that gave rise to significant portions of the deferred tax assets and deferred tax liabilities were:</w:t>
      </w:r>
    </w:p>
    <w:tbl>
      <w:tblPr>
        <w:tblW w:w="6716" w:type="dxa"/>
        <w:jc w:val="center"/>
        <w:tblInd w:w="0" w:type="dxa"/>
        <w:tblLayout w:type="fixed"/>
        <w:tblCellMar>
          <w:top w:w="28" w:type="dxa"/>
          <w:left w:w="28" w:type="dxa"/>
          <w:bottom w:w="28" w:type="dxa"/>
          <w:right w:w="28" w:type="dxa"/>
        </w:tblCellMar>
      </w:tblPr>
      <w:tblGrid>
        <w:gridCol w:w="1179"/>
        <w:gridCol w:w="1037"/>
        <w:gridCol w:w="1039"/>
        <w:gridCol w:w="313"/>
        <w:gridCol w:w="1070"/>
        <w:gridCol w:w="161"/>
        <w:gridCol w:w="109"/>
        <w:gridCol w:w="109"/>
        <w:gridCol w:w="109"/>
        <w:gridCol w:w="309"/>
        <w:gridCol w:w="1056"/>
        <w:gridCol w:w="225"/>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Deferred tax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allowance - foreign investments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reserves and 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Deferred tax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 foreign investments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buildings and equipment,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effective income tax rate to the historical U.S. federal statutory rate of 21%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058"/>
        <w:gridCol w:w="568"/>
        <w:gridCol w:w="571"/>
        <w:gridCol w:w="211"/>
        <w:gridCol w:w="826"/>
        <w:gridCol w:w="109"/>
        <w:gridCol w:w="109"/>
        <w:gridCol w:w="109"/>
        <w:gridCol w:w="109"/>
        <w:gridCol w:w="270"/>
        <w:gridCol w:w="272"/>
        <w:gridCol w:w="417"/>
        <w:gridCol w:w="109"/>
        <w:gridCol w:w="109"/>
        <w:gridCol w:w="109"/>
        <w:gridCol w:w="211"/>
        <w:gridCol w:w="826"/>
        <w:gridCol w:w="109"/>
        <w:gridCol w:w="109"/>
        <w:gridCol w:w="109"/>
        <w:gridCol w:w="109"/>
        <w:gridCol w:w="270"/>
        <w:gridCol w:w="272"/>
        <w:gridCol w:w="417"/>
        <w:gridCol w:w="109"/>
        <w:gridCol w:w="109"/>
        <w:gridCol w:w="109"/>
        <w:gridCol w:w="211"/>
        <w:gridCol w:w="826"/>
        <w:gridCol w:w="109"/>
        <w:gridCol w:w="109"/>
        <w:gridCol w:w="109"/>
        <w:gridCol w:w="109"/>
        <w:gridCol w:w="270"/>
        <w:gridCol w:w="272"/>
        <w:gridCol w:w="475"/>
      </w:tblGrid>
      <w:tr>
        <w:trPr/>
        <w:tc>
          <w:tcPr>
            <w:tcW w:w="10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expense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 income not subject to U.S. federal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gain attributable to taxable subsidiaries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885"/>
                <wp:effectExtent l="0" t="0" r="0" b="0"/>
                <wp:wrapNone/>
                <wp:docPr id="125" name="Frame1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- 50</w:t>
                      </w:r>
                    </w:p>
                  </w:txbxContent>
                </v:textbox>
                <w10:wrap type="none"/>
              </v:rect>
            </w:pict>
          </mc:Fallback>
        </mc:AlternateContent>
      </w:r>
    </w:p>
    <w:p>
      <w:pPr>
        <w:pStyle w:val="TextBody"/>
        <w:bidi w:val="0"/>
        <w:spacing w:lineRule="auto" w:line="288" w:before="60" w:after="283"/>
        <w:jc w:val="both"/>
        <w:rPr/>
      </w:pPr>
      <w:hyperlink w:anchor="i368d3c19aa9d44c4a3d1ba3257c0bdcf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declared dividends of $1.765, $1.695 and $1.610 per common share during the years ended December 31, 2025, 2024 and 2023, respectively. For U.S. federal income tax purposes, the portion of the dividends allocated to stockholders for the years ended December 31, 2025, 2024 and 2023 are characterized as follows:</w:t>
      </w:r>
    </w:p>
    <w:tbl>
      <w:tblPr>
        <w:tblW w:w="6117" w:type="dxa"/>
        <w:jc w:val="left"/>
        <w:tblInd w:w="0" w:type="dxa"/>
        <w:tblLayout w:type="fixed"/>
        <w:tblCellMar>
          <w:top w:w="28" w:type="dxa"/>
          <w:left w:w="28" w:type="dxa"/>
          <w:bottom w:w="28" w:type="dxa"/>
          <w:right w:w="28" w:type="dxa"/>
        </w:tblCellMar>
      </w:tblPr>
      <w:tblGrid>
        <w:gridCol w:w="831"/>
        <w:gridCol w:w="730"/>
        <w:gridCol w:w="734"/>
        <w:gridCol w:w="211"/>
        <w:gridCol w:w="721"/>
        <w:gridCol w:w="109"/>
        <w:gridCol w:w="109"/>
        <w:gridCol w:w="109"/>
        <w:gridCol w:w="109"/>
        <w:gridCol w:w="211"/>
        <w:gridCol w:w="721"/>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per share)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Section 199A dividends </w:t>
            </w:r>
            <w:r>
              <w:rPr>
                <w:rFonts w:ascii="Times New Roman;serif" w:hAnsi="Times New Roman;serif"/>
                <w:b w:val="false"/>
                <w:i/>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Qualified dividend </w:t>
            </w:r>
            <w:r>
              <w:rPr>
                <w:rFonts w:ascii="Times New Roman;serif" w:hAnsi="Times New Roman;serif"/>
                <w:b w:val="false"/>
                <w:i/>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Non-dividend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(1)These amounts are a subset of, and are included in, the ordinary dividend amounts.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NOLs of $151.6 million, generated by our REIT, that will expire in 2037, unless they are utilized by us prior to expiration.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2022, 2023, and 2024 tax years remain subject to examination by federal, state and local tax authorities. The tax filings for tax year 2025 have not yet been filed, and once made, will be subject to examination by taxing authorities for a period of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15 — Segment Information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real estate investment activities, which represent substantially all of our business. Accordingly, all of our operations have been considered to represent one operating segment and one reportable segment. Our Chief Operating Decision Maker (“CODM”) is Edward B. Pitoniak, our CEO, who assesses the performance of our Company using consolidated Net income.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The CODM does not review assets at a different asset level or category than the amounts disclosed in the consolidated balance sheet.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160"/>
        <w:jc w:val="right"/>
        <w:rPr>
          <w:rFonts w:ascii="Times New Roman;serif" w:hAnsi="Times New Roman;serif"/>
          <w:b/>
          <w:color w:val="000000"/>
          <w:sz w:val="20"/>
        </w:rPr>
      </w:pPr>
      <w:r>
        <w:rPr>
          <w:rFonts w:ascii="Times New Roman;serif" w:hAnsi="Times New Roman;serif"/>
          <w:b/>
          <w:color w:val="000000"/>
          <w:sz w:val="20"/>
        </w:rPr>
        <w:t>Exhibit 4.39</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885"/>
                <wp:effectExtent l="0" t="0" r="0" b="0"/>
                <wp:wrapNone/>
                <wp:docPr id="126" name="Frame1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 - 51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REGISTRANT’S SECURITIES </w:t>
        <w:br/>
        <w:t xml:space="preserve">REGISTERED PURSUANT TO SECTION 12 OF THE </w:t>
        <w:br/>
        <w:t>SECURITIES EXCHANGE ACT OF 1934</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1,068,811,371 shares of our common stock are issued and outstanding, and no shares of preferred stock of any class (including Series A preferred stock) are issued or outstanding.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Maryland law, a stockholder generally is not liable for a corporation’s debts or obligations solely as a result of the stockholder’s status as a stockholder.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Power to Reclassify and Issue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Series A Preferred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Restrictions on Ownership and Transfer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also provides that: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person is prohibited from transferring shares of our stock if the transfer would result in shares of our stock being beneficially owned by fewer than 100 persons.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sales proceeds received by the trustee for the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net sales proceeds in excess of the amount payable to the intended transferee shall be paid to the charitable beneficiary.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shares of our stock held in the trust will be deemed to be offered for sale to us, or our designee, at a price per share equal to the lesser of: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 per share in the transaction that resulted in the transfer to the trust or, in the case of a gift, devise or other such transaction, at market price, at the time of such gift, devise or other such transaction;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price on the date we accept, or our designee accepts, such offer.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our board of directors authorizes any of our shares to be represented by certificates, the certificates will bear a legend referring to the restrictions described above.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restrictions on ownership and transfer of our stock could delay, defer or prevent a transaction or a change of control of us that might involve a premium price for our common stock or otherwise be in the best interests of our stockholders.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Redemption of Securities Owned or Controlled by an Unsuitable Person or Affiliate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Certain Provisions of Maryland Law and Our Charter and Bylaws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summary of certain provisions of Maryland law and of our charter and bylaws is only a summary, and is subject to, and qualified in its entirety by reference to, our charter and bylaws and the applicable provisions of the MGCL.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Election and Removal of Directors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any vacancy on our board of directors may be filled only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Amendment to Charter and Bylaws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provided in our charter with respect to indemnification and limitation of liability of directors and officers and certain amendments to our charter affecting these provisions,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Business Combinations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any person who beneficially, directly or indirectly, owns 10% or more of the voting power of the corporation’s outstanding voting stock;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affiliate or associate of the corporation who, at any time within the two-year period before the date in question, was the beneficial owner, directly or indirectly, of 10% or more of the voting power of the corporation’s then outstanding voting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After the five-year prohibition, any business combination between the Maryland corporation and the interested stockholder generally must be recommended by the corporation’s board of directors and approved by the affirmative vote of at least: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80% of the votes entitled to be cast by holders of outstanding shares of voting stock of the corporation;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 enter into a business combination with us that our stockholders may view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Control Share Acquisitions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one-tenth or more but less than one-third;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one-third or more but less than a majority;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majority or more of all voting power.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Maryland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contain a provision exempting any acquisition of our stock by any person from the foregoing provisions on control shares. In the event that our bylaws are amended by our directors or our stockholders to modify or eliminate this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provision, acquisitions of our common stock may constitute a control share acquisition and may be subject to the Maryland Control Share Acquisition Act.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Subtitle 8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classified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two-thirds vote requirement for removing a director;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requirement that the number of directors be fixed only by vote of the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provision that a special meeting of stockholders must be called upon stockholder request only on the written request of stockholders entitled to cast a majority of the votes entitled to be cast at the meeting.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Special Meetings of Stockholders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Stockholder Action by Written Consent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Competing Interests and Activities of Our Directors or Officers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Advance Notice of Director Nomination and New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Proxy Access Nominations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Effect of Certain Provisions of Maryland Law and our Charter and Bylaws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Exclusive Forum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 (c) 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Limitation of Liability and Indemnification of Directors and Officers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 or omission of the director or officer was material to the matter giving rise to the proceeding and (a) was committed in bad faith or (b) was the result of active and deliberate dishonesty;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present or former director or officer who is made or threatened to be made a party to, or witness in, a proceeding by reason of his or her service in that capacity; or</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and bylaws provide that we have the power, with approval of our board, to provide such indemnification and advance of expenses to a person who served a predecessor of us in any such capacity described above and to any employee or agent of us or a predecessor of us.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Indemnification Agreements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purchased and maintain insurance on behalf of all of our directors and executive officers against liability asserted against or incurred by them in their official capacities, whether or not we are required to have the power to indemnify them against the same liability.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10.39</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AMENDED AND RESTATED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February 25, 2026, (the “Effective Date”) by and between VICI Properties Inc. (“</w:t>
      </w:r>
      <w:r>
        <w:rPr>
          <w:rFonts w:ascii="Times New Roman;serif" w:hAnsi="Times New Roman;serif"/>
          <w:b w:val="false"/>
          <w:color w:val="000000"/>
          <w:sz w:val="24"/>
          <w:u w:val="single"/>
        </w:rPr>
        <w:t>VICI REIT</w:t>
      </w:r>
      <w:r>
        <w:rPr>
          <w:color w:val="000000"/>
        </w:rPr>
        <w:t>”</w:t>
      </w:r>
      <w:r>
        <w:rPr>
          <w:rFonts w:ascii="Times New Roman;serif" w:hAnsi="Times New Roman;serif"/>
          <w:b w:val="false"/>
          <w:color w:val="000000"/>
          <w:sz w:val="24"/>
        </w:rPr>
        <w:t>), VICI Properties L.P.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each with its principal place of business at 535 Madison Avenue, New York, New York 10022, and Edward Baltazar Pitoniak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amends and restates in its entirety the existing employment agreement by and between Executive and the Company dated September 25, 2019 (the “</w:t>
      </w:r>
      <w:r>
        <w:rPr>
          <w:rFonts w:ascii="Times New Roman;serif" w:hAnsi="Times New Roman;serif"/>
          <w:b w:val="false"/>
          <w:color w:val="000000"/>
          <w:sz w:val="24"/>
          <w:u w:val="single"/>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general partner of the Company, VICI Properties GP LLC, a Delaware limited liability company, is a wholly owned subsidiary of VICI REIT;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wishes to offer continued employment to Executive, and Executive wishes to accept such offer, on the terms set forth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Accordingly,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Term</w:t>
      </w:r>
      <w:r>
        <w:rPr>
          <w:rFonts w:ascii="Times New Roman;serif" w:hAnsi="Times New Roman;serif"/>
          <w:b w:val="false"/>
          <w:color w:val="000000"/>
          <w:sz w:val="24"/>
        </w:rPr>
        <w:t>. The Company hereby employs Executive, and Executive hereby accepts such employment, for a term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commencing as of the Effective Date and continuing until terminated in accordance with the provisions of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Executive shall be employed by the Company as Chief Executive Officer of the Company, and, as such, Executive shall report directly to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As long as Executive serves as the Chief Executive Officer of the Company, the Company shall cause the Executive to be nominated to serve on the Board, subject to the limitations of applicable law, each time that his term as a director is set to expire. The Executive may also hold such directorships and officerships in VICI REIT, the Company and any of their affiliates to which, from time to time, the Executive may be elected or appointed during the Term. Executive shall faithfully perform for the Company the duties of said office and shall perform such other duties of an executive, managerial or administrative nature as shall be specified and designated from time to time by the Board, which duties shall not be materially inconsistent with the duties performed by executives holding similar offices with comparable companies. Executive shall devote substantially all of his business time and effort to the performance of his duties hereunder, except that Executive may devote reasonable time and attention to civic, charitable, business or social activities so long as such activities do not interfere with Executive’s employment duties. In addition, Executive will be permitted to serve, with the prior written consent of the Board, as a member of the board of directors or advisory boards (or their equivalents, in the case of a non-corporate entity) of non-competing businesses. Executive shall comply with the policies, procedures, standards, and regulations established from time to time by the Company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Executive shall obtain and keep in full force and effect throughout the Term all gaming licenses or approvals necessary or appropriate for Executive’s position. During the Term, Executive shall be based in the Company’s offices in New York, NY, except for reasonably required travel on the Company’s business consistent with Executive’s position.</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Salary</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Contract Year</w:t>
      </w:r>
      <w:r>
        <w:rPr>
          <w:color w:val="000000"/>
        </w:rPr>
        <w:t xml:space="preserve">” </w:t>
      </w:r>
      <w:r>
        <w:rPr>
          <w:rFonts w:ascii="Times New Roman;serif" w:hAnsi="Times New Roman;serif"/>
          <w:b w:val="false"/>
          <w:color w:val="000000"/>
          <w:sz w:val="24"/>
        </w:rPr>
        <w:t>shall mean each calendar year during the Term. The Company shall pay Executive a base salary at the rate of $1,000,000 per annum (as the same may be increased from time to time, the “</w:t>
      </w:r>
      <w:r>
        <w:rPr>
          <w:rFonts w:ascii="Times New Roman;serif" w:hAnsi="Times New Roman;serif"/>
          <w:b w:val="false"/>
          <w:color w:val="000000"/>
          <w:sz w:val="24"/>
          <w:u w:val="single"/>
        </w:rPr>
        <w:t>Annual Salary</w:t>
      </w:r>
      <w:r>
        <w:rPr>
          <w:color w:val="000000"/>
        </w:rPr>
        <w:t>”</w:t>
      </w:r>
      <w:r>
        <w:rPr>
          <w:rFonts w:ascii="Times New Roman;serif" w:hAnsi="Times New Roman;serif"/>
          <w:b w:val="false"/>
          <w:color w:val="000000"/>
          <w:sz w:val="24"/>
        </w:rPr>
        <w:t>), in accordance with the customary payroll practices of the Company applicable to senior executives, but not less frequently than monthly. The Compensation Committee of the Board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shall review Executive’s base salary each Contract Year and may increase such amount as it may deem advisable, in its sole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Bonus and Incentive Compensation</w:t>
      </w:r>
      <w:r>
        <w:rPr>
          <w:rFonts w:ascii="Times New Roman;serif" w:hAnsi="Times New Roman;serif"/>
          <w:b w:val="false"/>
          <w:color w:val="000000"/>
          <w:sz w:val="24"/>
        </w:rPr>
        <w:t>. Executive will be entitled to participate in the Company’s annual bonus program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Executive shall be eligible to receive a bonus each Contract Year commencing with the 2026 Contract Year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with a target amount equal to 225% of Annual Salary (as the same may be increased from time to time,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and a maximum amount equal to 450% of Annual Salary (as the same may be increased from time to time, “</w:t>
      </w:r>
      <w:r>
        <w:rPr>
          <w:rFonts w:ascii="Times New Roman;serif" w:hAnsi="Times New Roman;serif"/>
          <w:b w:val="false"/>
          <w:color w:val="000000"/>
          <w:sz w:val="24"/>
          <w:u w:val="single"/>
        </w:rPr>
        <w:t>Maximum Bonus</w:t>
      </w:r>
      <w:r>
        <w:rPr>
          <w:color w:val="000000"/>
        </w:rPr>
        <w:t>”</w:t>
      </w:r>
      <w:r>
        <w:rPr>
          <w:rFonts w:ascii="Times New Roman;serif" w:hAnsi="Times New Roman;serif"/>
          <w:b w:val="false"/>
          <w:color w:val="000000"/>
          <w:sz w:val="24"/>
        </w:rPr>
        <w:t>). Executive’s Annual Bonus shall be based on performance goals for the applicable year, all of which shall be determined by the Compensation Committee, which also shall determine the levels of performance below which no bonus will be payable. The Annual Bonus shall be paid in cash on a date within the 74-day period commencing on January 1 of the year following the year in which the applicable performance period ends. The payment of any Annual Bonus following Executive’s termination of employment shall be as set forth in Section 4.</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Equity Incentive Awards</w:t>
      </w:r>
      <w:r>
        <w:rPr>
          <w:rFonts w:ascii="Times New Roman;serif" w:hAnsi="Times New Roman;serif"/>
          <w:b w:val="false"/>
          <w:color w:val="000000"/>
          <w:sz w:val="24"/>
        </w:rPr>
        <w:t>. Executive shall receive each Contract Year commencing with the 2019 Contract Year awards under VICI REIT’s equity incentive plan or such other plans or programs as the Compensation Committee shall determine with a target value, as determined by the Compensation Committee, of at least 375% of Annual Salary, unless prior to the grant date applicable to executive officers generally, Executive has provided notice of intent to retire or either party has otherwise provided notice of termination to the other.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 provision in this Agreement to the contrary, amounts payable hereunder shall be subject to clawback or disgorgement, to the extent applicable, under (A) the Policies or any claw-back policy adopted by VICI REIT or the Company, (B) the Dodd-Frank Wall Street Reform and Consumer Protection Act, as amended, and rules, regulations, and binding, published guidance thereunder, which legislation provides for the clawback and recovery of incentive compensation in the event of certain financial statement restatements and (C) the Sarbanes-Oxley Act of 2002. If pursuant to Section 10D of the Securities Exchange Act of 1934,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xml:space="preserve">), VICI REIT or any Company Affiliate (as defined below) would not be eligible for continued listing, if applicable, under Section 10D(a) of the Act if it (or they) did not adopt policies consistent with Section 10D(b) of the Act, then, in accordance with those policies that are so required, any incentive-based compensation payable to Executive under this Agreement or otherwise shall be subject to claw-back in the circumstances, to the extent, and in the manner, required by Section 10D(b)(2) of the Act, as interpreted by rules of the Securities Exchange Commission. Nothing in this provision is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intended to supersede any existing or future claw-back provision adopted or amended by the Company, including, but not limited to the provision that may be set forth in VICI REIT’s equity incentive plan. For purposes of this Agreement a “</w:t>
      </w:r>
      <w:r>
        <w:rPr>
          <w:rFonts w:ascii="Times New Roman;serif" w:hAnsi="Times New Roman;serif"/>
          <w:b w:val="false"/>
          <w:color w:val="000000"/>
          <w:sz w:val="24"/>
          <w:u w:val="single"/>
        </w:rPr>
        <w:t>Company Affiliate</w:t>
      </w:r>
      <w:r>
        <w:rPr>
          <w:color w:val="000000"/>
        </w:rPr>
        <w:t xml:space="preserve">” </w:t>
      </w:r>
      <w:r>
        <w:rPr>
          <w:rFonts w:ascii="Times New Roman;serif" w:hAnsi="Times New Roman;serif"/>
          <w:b w:val="false"/>
          <w:color w:val="000000"/>
          <w:sz w:val="24"/>
        </w:rPr>
        <w:t>shall mean any individual or entity that directly or indirectly controls, is controlled by, or is under common control with VICI REIT or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Benefits</w:t>
      </w:r>
      <w:r>
        <w:rPr>
          <w:rFonts w:ascii="Times New Roman;serif" w:hAnsi="Times New Roman;serif"/>
          <w:b w:val="false"/>
          <w:color w:val="000000"/>
          <w:sz w:val="24"/>
        </w:rPr>
        <w:t>. Executive shall be permitted during the Term to participate in any group life, hospitalization or disability insurance plans, health programs, retirement plans, fringe benefit programs and similar benefits that may be available to other senior executives of VICI REIT or the Company generally, on the same terms as such other executives, in each case to the extent that Executive is eligible under the terms of such plans or programs. Executive shall be entitled to paid vacation in accordance with the normal vacation policies of the Company, as applicable to employees at Executive's level.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pay or reimburse Executive for all ordinary and reasonable out-of-pocket expenses incurred by Executive during the Term in the performance of Executive’s services under this Agreement; provided that such expenses are incurred and accounted for by Executive in accordance with the relevant Company Policies.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Indemnification Agreement; Directors and Officers Liability Insurance</w:t>
      </w:r>
      <w:r>
        <w:rPr>
          <w:rFonts w:ascii="Times New Roman;serif" w:hAnsi="Times New Roman;serif"/>
          <w:b w:val="false"/>
          <w:color w:val="000000"/>
          <w:sz w:val="24"/>
        </w:rPr>
        <w:t>. Executive and VICI REIT have entered into an Indemnification Agreement in the standard form used by VICI REIT for its directors and officers. Executive will continue to be covered by directors and officers liability insurance on the same basis as generally applied to VICI REIT’s directors and other officers.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Termination by the Company for Cause; Termination by Executive without Good Reason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Company shall have the right to terminate Executive’s employment for Cause. Upon the reasonable belief by the Board that Executive has committed an act (or has failed to act in a manner) which constitutes Cause, the Board may immediately suspend Executive from Executive’s duties herein and bar Executive from its premises during the period of the Company’s investigation of such acts (or failures to act) (the “</w:t>
      </w:r>
      <w:r>
        <w:rPr>
          <w:rFonts w:ascii="Times New Roman;serif" w:hAnsi="Times New Roman;serif"/>
          <w:b w:val="false"/>
          <w:color w:val="000000"/>
          <w:sz w:val="24"/>
          <w:u w:val="single"/>
        </w:rPr>
        <w:t>Investigation Period</w:t>
      </w:r>
      <w:r>
        <w:rPr>
          <w:color w:val="000000"/>
        </w:rPr>
        <w:t>”</w:t>
      </w:r>
      <w:r>
        <w:rPr>
          <w:rFonts w:ascii="Times New Roman;serif" w:hAnsi="Times New Roman;serif"/>
          <w:b w:val="false"/>
          <w:color w:val="000000"/>
          <w:sz w:val="24"/>
        </w:rPr>
        <w:t xml:space="preserve">) and any such suspension shall not be deemed to be a breach of this Agreement by the Company or the Executive and/or otherwise provide Executive a right to terminate Executive’s employment for Good Reason;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shall have the right to terminate Executive’s employment for Cause immediately and nothing in this Agreement shall require the Company to provide an Investigation Period or otherwise provide advance notice of termination for Cause, except to the extent that a cure period is available as provided for herein. To the extent that the events giving rise to Cause are, in the reasonable determination of the Board, able to be cured, the Company shall provide the Executive with written notice setting out the events giving rise to Cause and provide Executive with a 5-day period in which to cure such events prior to terminating Executive’s employment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Executive’s commission of, guilty plea or plea of no contest to, a felony or a misdemeanor (or its equivalent under applicable law),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conduct by Executive that constitutes fraud or embezzlement, or any acts of dishonesty in relation to Executive’s duties with VICI REIT or the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    Executive’s gross negligence, bad faith, or misconduct which causes either reputational or economic harm to VICI REIT the Company or any Company Affiliate, as determined by the Board in its sole discretion,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Executive’s willful refusal or failure to perform Executive’s duties hereunder, as determined by the Board in its sole discretion,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    Executive’s refusal or failure to perform any reasonable directive of VICI REIT or the Company,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    Executive’s knowing misrepresentation of any material fact that the Company reasonably requests,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(vii)    Executive being found unsuitable for, or having been denied, a gaming license, or having such license revoked by a gaming regulatory authority in any jurisdiction in which the Company or any Company Affiliate conducts operations,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    Executive’s violation, as determined by the Board, of any securities, gaming, or employment laws, rules, or regulations,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(ix)    Executive’s breach of Executive’s obligations under this Agreement or violation of the Policies, as determined by the Board in its sole discretion.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clause (iii) above, an act or omission shall not be deemed to be bad faith or misconduct if taken or omitted in the good faith belief that such act or omission was in, or not opposed to, the best interests of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may terminate Executive’s employment hereunder for Cause as set forth above, and Executive may, upon 90 days prior written notice to the Company, terminate his employment at any time. If the Company terminates Executive’s employment for Cause, or Executive terminates his employment and the termination by Executive is not covered by Section 4.3 or 4.4, then (i) within ten (10) business days following such termination, the Company shall pay to Executive any unpaid Annual Salary earned through the date of termination, (ii) within thirty (30) days following such termination or submission of documentation of such expenses, whichever is later, the Company shall reimburse Executive pursuant to Section 3.4 for reasonable expenses incurred but not paid prior to such termination of employment, and (iii)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shall provide to Executive other or additional benefits (if any), in accordance with the then-applicable terms of any then-applicable plan, program, agreement or other arrangement of any of the Company or any Company Affiliates in which Executive participates (the rights, including the time of payment, described in sub-clauses (i), (ii), and (iii) are collectively referred to as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Executive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Termination upon Death or Disability</w:t>
      </w:r>
      <w:r>
        <w:rPr>
          <w:rFonts w:ascii="Times New Roman;serif" w:hAnsi="Times New Roman;serif"/>
          <w:b w:val="false"/>
          <w:color w:val="000000"/>
          <w:sz w:val="24"/>
        </w:rPr>
        <w:t>. If Executive dies during the Term, the obligations of the Company to or with respect to Executive shall terminate in their entirety except as otherwise provided under this Section 4.2. If Executive becomes “disabled” (defined for purposes of this Agreement, if Executive by virtue of ill health or other disability is unable to perform substantially the duties assigned to him for at least 90 consecutive or non-consecutive days out of any consecutive 12-month period), the Company shall have the right, to the extent permitted by law (including under the Americans with Disabilities Act), to terminate the employment of Executive upon notice in writing to Executive. Upon death or termination of employment by virtue of disability in accordance with this Section 4.2, Executive (or Executive’s estate or beneficiaries in the case of the death of Executive) shall have no right to receive any compensation or benefits hereunder on and after the effective date of the termination of employment other than: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Accrued Obligations, as set forth in Section 4.1;</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any Annual Bonus earned for the Contract Year prior to the year of termination but not yet paid, which shall be paid at the date such Annual Bonus would have been paid had Executive’s employment not been terminated (any such entitlement, including the payment date, an “</w:t>
      </w:r>
      <w:r>
        <w:rPr>
          <w:rFonts w:ascii="Times New Roman;serif" w:hAnsi="Times New Roman;serif"/>
          <w:b w:val="false"/>
          <w:color w:val="000000"/>
          <w:sz w:val="24"/>
          <w:u w:val="single"/>
        </w:rPr>
        <w:t>Accrued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a cash payment equal to the prorated portion (based on the number of complete months employed during the Contract Year) of the Annual Bonus that Executive would have received had his employment not been terminated (based on the actual level of achievement of the applicable performance goals) for the Contract Year in which Executive’s employment hereunder terminates, payable at such time as the Annual Bonus would have been paid had Executive’s employment not been terminated, provided, however, that Executive shall not receive the Pro-Rata Bonus if the Company does not pay bonuses to employees generally for such Contract Year (such entitlement, including the payment date,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elimination of any time-based vesting conditions on each outstanding unvested restricted stock, stock option or other equity award in VICI REIT or the Company that Executive had been granted and which Executive then continues to hold;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the extent that any of Executive’s vested equity awards are subject to a restriction on transfer within a specified period following vesting, such restriction shall be lifted.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the case of a termination of Executive by virtue of disability, the compensation and benefits described in clauses (B) through (E), above, will be conditioned on Executive’s delivery of a separation agreement and release in the form attached hereto as Exhibit A (with such changes as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may be necessary due to applicable law)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which Separation Agreement shall have become irrevocable. Executive (or, in the case of his death, his estate and beneficiaries)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Termination by the Company without Cause or by Executive for Good Reason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Agreement, Executive shall have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to terminate Executive’s employment if, (i) within thirty (30) days after Executive knows (or has reason to know) of the occurrence of any of the following events, Executive provides written notice to the Company requesting that it cure such event, (ii) the Company fails to cure such event, if curable, within sixty (60) days following such notice, except as set forth below, and, (iii) within ten (10) days after the expiration of such cure period, Executive terminates his employment: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a reduction in Executive’s Annual Salary or Target Bonus or Maximum Bonus opportunity or failure to pay compensation due under this Agreement, which reduction only may be cured within thirty (30) days following written notice by Executive;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a material diminution in Executive’s duties or responsibilities or the assignment to Executive of duties materially inconsistent with Executive's positions, titles, offices, duties, or responsibilities with VICI REIT or the Company (not including any Investigation Period), which diminution or assignment only may be cured within thirty (30) days following written notice by Executive;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relocation of Executive’s principal business office to any location outside of New York, 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the Company’s failure to take commercially reasonable best efforts to re-nominate Executive to the Board (unless such nomination is prohibited by legal or regulatory requirements);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any other material breach by VICI REIT or the Company of any of its obligations to the Executive under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If the Company terminates Executive’s employment and the termination is not covered by Section 4.1, 4.2 or 4.4, or if Executive terminates his employment for Good Reason, the following shall apply: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Subject to Executive’s delivery of a Separation Agreement, which Separation Agreement shall have become irrevocable, and subject to Executive’s compliance with the covenants set forth in Section 6, Executive (or Executive’s estate or beneficiaries in the case of Executive’s death)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150% of the sum of (i) Executive’s Annual Salary (without any proration) and (ii) Executive’s Annual Bonus at the target level for the Contract Year in which Executive’s employment hereunder terminates (without any proration), payable in equal installments over a 12-month period in accordance with the Company’s usual and customary payroll practices;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    a cash payment of $40,000;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a pro-rata portion (based on the number of complete months employed during the applicable performance period and applied separately to each performance goal, to the extent applicable) of outstanding unvested equity awards that are subject to performance-based vesting conditions (whether or not in tandem with time-based vesting conditions) will not be forfeited as of such termination of employment but will continue to be outstanding until the end of the applicable performance period, at which time they may vest to the extent the applicable performance goals have been achieved;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(G)    to the extent that Executive holds outstanding vested stock options as of the termination of employment (including to the extent vested pursuant to clause (E) above), such stock options shall remain exercisable until the date six months after the effective date of such termination of employment, or the option expiration date, if earlier; and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(H)    to the extent that any of Executive’s vested equity awards are subject to a restriction on transfer within a specified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following vesting, such restriction shall be lifted as of the date the Separation Agreement has become irrevocable.</w:t>
      </w:r>
    </w:p>
    <w:p>
      <w:pPr>
        <w:pStyle w:val="TextBody"/>
        <w:bidi w:val="0"/>
        <w:spacing w:lineRule="auto" w:line="288" w:before="0" w:after="240"/>
        <w:ind w:left="0" w:right="0" w:hanging="720"/>
        <w:jc w:val="left"/>
        <w:rPr/>
      </w:pPr>
      <w:r>
        <w:rPr>
          <w:rFonts w:ascii="Times New Roman;serif" w:hAnsi="Times New Roman;serif"/>
          <w:b w:val="false"/>
          <w:color w:val="000000"/>
          <w:sz w:val="24"/>
        </w:rPr>
        <w:t>(iii)    Subject to Section 4.5, amounts payable pursuant to clause (C) of Section 4.3(b)(ii) shall commence, and the amount payable pursuant to clause (D) of Section 4.3(b)(ii) shall be paid, on the 74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from service (the “</w:t>
      </w:r>
      <w:r>
        <w:rPr>
          <w:rFonts w:ascii="Times New Roman;serif" w:hAnsi="Times New Roman;serif"/>
          <w:b w:val="false"/>
          <w:color w:val="000000"/>
          <w:sz w:val="24"/>
          <w:u w:val="single"/>
        </w:rPr>
        <w:t>Payment Commencement Date”</w:t>
      </w:r>
      <w:r>
        <w:rPr>
          <w:rFonts w:ascii="Times New Roman;serif" w:hAnsi="Times New Roman;serif"/>
          <w:b w:val="false"/>
          <w:color w:val="000000"/>
          <w:sz w:val="24"/>
        </w:rPr>
        <w:t>), provided Executive has delivered the Separation Agreement to the Employer and such Separation Agreement has become irrevocable, and provided, further, that the first such payment with respect to clause (C) shall be equal to the amount that would have been payable under such clauses between the date of termination and the Payment Commencement Date had such payments commenced at the separation from service.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Termination by the Company without Cause or by Executive for Good Reason in Connection with a Change in Control</w:t>
      </w:r>
      <w:r>
        <w:rPr>
          <w:rFonts w:ascii="Times New Roman;serif" w:hAnsi="Times New Roman;serif"/>
          <w:b w:val="false"/>
          <w:color w:val="000000"/>
          <w:sz w:val="24"/>
        </w:rPr>
        <w:t>. If the Company terminates Executive’s employment and the termination is not covered by Section 4.1 or 4.2, or if Executive terminates his employment for Good Reason, and the date of notice of such termination of employment is either within six months before or twelve months after a Change in Control, as defined below, the following shall apply in lieu of the provisions of Section 4.3(b):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Subject to Executive’s delivery of a Separation Agreement, which shall have become irrevocable, and subject to Executive’s compliance with the covenants set forth in Section 6, Executive (or Executive’s estate or beneficiaries in the case of the death of Executive)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 assuming achievement of all performance goals at target and regardless of whether the Company pays bonuses to employees generally for such Contract Year;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(C)    a cash payment equal to 200% of the sum of (i) Executive’s Annual Salary (without any proration) and (ii) Executive’s Annual Bonus at the target level for the Contract Year in which Executive’s employment hereunder terminates (without any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proration), payable in a lump sum (except to the extent that Section 409A of the Code requires such amount to be paid on the installment schedule described in Section 4.3(b)(ii)(C));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a cash payment of $40,000;</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(F)    all performance-based equity will remain outstanding and eligible to vest, subject solely to achievement of the applicable performance goals prorated through the date of termination;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to the extent that Executive holds outstanding stock options as of the termination of employment, such stock options shall remain exercisable until the date six months after the effective date of such termination of employment, or the option expiration date, if earlier; and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Subject to Section 4.5 and unless otherwise provided herein, amounts payable pursuant to clauses (B), (C) and (D) of Section 4.4(ii) shall be paid on the Payment Commencement Date, provided Executive has delivered the Separation Agreement to the Employer and such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For purposes of this Agreement, a “Change in Control” 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any transaction or group of related transactions (whether a merger, consolidation, sale or otherwise) pursuant to which any Person, as defined below, (in any case, excluding the Company and any Company Affiliate) or group (within the meaning of Section 13(d)(3) of the Exchange Act) of such Persons acting together pursuant to which such Person or group of Persons acquires a majority of the aggregate voting power of the capital stock ordinarily entitled to elect directors of VICI REIT;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any disposition in one transaction or a series of related transactions, of all or substantially all of the assets of VICI REIT and its Subsidiaries (which shall be defined to include any corporation, partnership, limited liability company or other entity of which more than 50% of the economic interest in such entity is owned directly or indirectly by VICI REIT or another subsidiary of VICI REIT), determined on a consolidated basis, to any Person or Persons (in any case, excluding the Company and any Company Affiliate);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within a 12-month period, a majority of the members of the Board cease to be Continuing Directors; as used herein, a “Continuing Director” means any member of the Board who was a member of such Board on the date hereof; provided that any person becoming a director subsequent to such date whose election or nomination for election was supported by a majority of the directors who then comprised the Continuing Directors shall be considered to be a Continuing Director.</w:t>
      </w:r>
    </w:p>
    <w:p>
      <w:pPr>
        <w:pStyle w:val="TextBody"/>
        <w:bidi w:val="0"/>
        <w:spacing w:lineRule="auto" w:line="288" w:before="0" w:after="240"/>
        <w:jc w:val="left"/>
        <w:rPr/>
      </w:pPr>
      <w:r>
        <w:rPr>
          <w:rFonts w:ascii="Times New Roman;serif" w:hAnsi="Times New Roman;serif"/>
          <w:b w:val="false"/>
          <w:color w:val="000000"/>
          <w:sz w:val="24"/>
        </w:rPr>
        <w:t>For the purposes hereof, the term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 individual, partnership, corporation, limited liability company, association, joint stock company, trust, joint venture, unincorporated organization, association or other entity or a governmental entity. Notwithstanding the foregoing, to the extent that a Change in Control is the basis for a payment that is subject to Section 409A of the Code, a Change in Control shall be deemed to occur with respect to such payment only if a change in the ownership or effective control of VICI REIT or a change in the ownership of a substantial portion of the assets of VICI REIT shall also be deemed to have occurred under Section 409A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Delay in Payment to a Specified Employee</w:t>
      </w:r>
      <w:r>
        <w:rPr>
          <w:rFonts w:ascii="Times New Roman;serif" w:hAnsi="Times New Roman;serif"/>
          <w:b w:val="false"/>
          <w:color w:val="000000"/>
          <w:sz w:val="24"/>
        </w:rPr>
        <w:t>. If Executive is a “specified employee” within the meaning of Treasury Regulation Section 1.409A-1(i) as of the date of Executive’s separation from service, the provisions of this Section 4.5 shall apply, but only if and to the extent required to avoid the imputation of any tax, penalty or interest pursuant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and interpretive guidance promulgated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No distribution shall be made to Executive under Section 4.2, 4.3 or 4.4 of this Agreement before the date that is six months after his separation from service or, if earlier, the date of Executive’s death. Any amounts otherwise payable to Executive upon or in the six month period following Executive’s separation from service that are not so paid by reason of this Section 4.5 shall be paid (without interest) as soon as practicable (and in all events within 10 days) after the date that is six months after Executive’s separation from service (or, if earlier, as soon as practicable, and in all events within 10 days, after the date of Executive’s death).</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that the payments and benefits (the “</w:t>
      </w:r>
      <w:r>
        <w:rPr>
          <w:rFonts w:ascii="Times New Roman;serif" w:hAnsi="Times New Roman;serif"/>
          <w:b w:val="false"/>
          <w:color w:val="000000"/>
          <w:sz w:val="24"/>
          <w:u w:val="single"/>
        </w:rPr>
        <w:t>Payments</w:t>
      </w:r>
      <w:r>
        <w:rPr>
          <w:color w:val="000000"/>
        </w:rPr>
        <w:t>”</w:t>
      </w:r>
      <w:r>
        <w:rPr>
          <w:rFonts w:ascii="Times New Roman;serif" w:hAnsi="Times New Roman;serif"/>
          <w:b w:val="false"/>
          <w:color w:val="000000"/>
          <w:sz w:val="24"/>
        </w:rPr>
        <w:t xml:space="preserve">) paid or provided to Executive under this Agreement or otherwise (a) constitute “parachute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within the meaning of Section 280G of the Code (“</w:t>
      </w:r>
      <w:r>
        <w:rPr>
          <w:rFonts w:ascii="Times New Roman;serif" w:hAnsi="Times New Roman;serif"/>
          <w:b w:val="false"/>
          <w:color w:val="000000"/>
          <w:sz w:val="24"/>
          <w:u w:val="single"/>
        </w:rPr>
        <w:t>Section 280G</w:t>
      </w:r>
      <w:r>
        <w:rPr>
          <w:color w:val="000000"/>
        </w:rPr>
        <w:t>”</w:t>
      </w:r>
      <w:r>
        <w:rPr>
          <w:rFonts w:ascii="Times New Roman;serif" w:hAnsi="Times New Roman;serif"/>
          <w:b w:val="false"/>
          <w:color w:val="000000"/>
          <w:sz w:val="24"/>
        </w:rPr>
        <w:t>), and (b) but for this Section 5, would be subject to the excise tax imposed by Section 4999 of the Code (“</w:t>
      </w:r>
      <w:r>
        <w:rPr>
          <w:rFonts w:ascii="Times New Roman;serif" w:hAnsi="Times New Roman;serif"/>
          <w:b w:val="false"/>
          <w:color w:val="000000"/>
          <w:sz w:val="24"/>
          <w:u w:val="single"/>
        </w:rPr>
        <w:t>Section 4999</w:t>
      </w:r>
      <w:r>
        <w:rPr>
          <w:color w:val="000000"/>
        </w:rPr>
        <w:t>”</w:t>
      </w:r>
      <w:r>
        <w:rPr>
          <w:rFonts w:ascii="Times New Roman;serif" w:hAnsi="Times New Roman;serif"/>
          <w:b w:val="false"/>
          <w:color w:val="000000"/>
          <w:sz w:val="24"/>
        </w:rPr>
        <w:t>), then the Payments shall be either (x) delivered in full, or (y) delivered as to such lesser extent which would result in no portion of the Payments being subject to excise tax under Section 4999, whichever of the foregoing amounts, taking into account the applicable federal, state and local income taxes and the excise tax imposed by Section 4999, results in the receipt by Executive on an after-tax basis of the greatest amount of the Payments, notwithstanding that all or some portion of the Payments may be taxable under Section 4999. The provisions of this Section 5 shall apply if, at the time of any change in ownership or control of VICI REIT (within the meaning of Section 280G), VICI REIT is an entity whose stock is readily tradable on an established securities market (or otherwise), within the meaning of Section 280G.</w:t>
      </w:r>
    </w:p>
    <w:p>
      <w:pPr>
        <w:pStyle w:val="TextBody"/>
        <w:bidi w:val="0"/>
        <w:spacing w:lineRule="auto" w:line="288" w:before="0" w:after="240"/>
        <w:ind w:left="0" w:right="0" w:firstLine="144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Accountants’ Determinations</w:t>
      </w:r>
      <w:r>
        <w:rPr>
          <w:rFonts w:ascii="Times New Roman;serif" w:hAnsi="Times New Roman;serif"/>
          <w:b w:val="false"/>
          <w:color w:val="000000"/>
          <w:sz w:val="24"/>
        </w:rPr>
        <w:t>. Unless VICI REIT, the Company and Executive otherwise agree in writing, any determination required under this Section 5 shall be made in writing by VICI REIT’s independent public accountants (the “</w:t>
      </w:r>
      <w:r>
        <w:rPr>
          <w:rFonts w:ascii="Times New Roman;serif" w:hAnsi="Times New Roman;serif"/>
          <w:b w:val="false"/>
          <w:color w:val="000000"/>
          <w:sz w:val="24"/>
          <w:u w:val="single"/>
        </w:rPr>
        <w:t>Accountants</w:t>
      </w:r>
      <w:r>
        <w:rPr>
          <w:color w:val="000000"/>
        </w:rPr>
        <w:t>”</w:t>
      </w:r>
      <w:r>
        <w:rPr>
          <w:rFonts w:ascii="Times New Roman;serif" w:hAnsi="Times New Roman;serif"/>
          <w:b w:val="false"/>
          <w:color w:val="000000"/>
          <w:sz w:val="24"/>
        </w:rPr>
        <w:t>) immediately prior to the transaction described in Section 280G(b)(2)(A)(i) of the Code, whose determination shall be conclusive and binding upon Executive, VICI REIT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 280G and Section 4999. VICI REIT, the Company and Executive shall furnish to the Accountants such information and documents as the Accountants may reasonably request in order to make a determination under this Section 5. The Company shall bear all costs the Accountants may reasonably incur in connection with any calculations contemplated by this Section 5. If a reduction in the Payments constituting “parachute payments” as defined in Section 280G is necessary so that benefits are delivered to a lesser extent, reduction will occur in the following order: (a) reduction of the cash payments and (b) cancellation of accelerated vesting of equity awards. In the event that the accelerated vesting of equity awards is to be cancelled, such vesting acceleration shall be cancelled in the reverse chronological order of Executive’s equity awards’ grant dates.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Non-Competition, Non-Solicitation, and Confidentiality; Certain Other Covenants</w:t>
      </w:r>
      <w:r>
        <w:rPr>
          <w:rFonts w:ascii="Times New Roman;serif" w:hAnsi="Times New Roman;serif"/>
          <w:b w:val="false"/>
          <w:color w:val="000000"/>
          <w:sz w:val="24"/>
        </w:rPr>
        <w:t xml:space="preserve">. Executive acknowledges that: (i) as a result of Executive’s employment by the Company, Executive has obtained and will obtain Confidential Information (as defined below); (ii) the Confidential Information has been developed and created by the Company and Company Affiliates at substantial expense and the Confidential Information constitutes valuable proprietary assets of the Company; (iii) the Company and the Company Affiliates will suffer substantial damage and irreparable harm which will be difficult to compute if, during the Term or thereafter, Executive should violate the provisions of this Section 6; (iv) the nature of the Company’s and the Company Affiliates’ business is such that it can be conducted anywhere in the world and is not limited to a geographic scope or region; (v) the Company and the Company Affiliates will suffer substantial damage which will be difficult to compute if, during the Term or thereafter, Executive should solicit or interfere with the Company’s or the Company Affiliates’ employees, clients, or customers in violation of the provisions of this Section 6 or should divulge Confidential Information relating to the business of the Company or the Company Affiliates; (vi) the provisions of this Agreement are reasonable and necessary for the protection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business of the Company and the Company Affiliates; (vii) the Company would not have hired or continued to employ Executive or grant the benefits contemplated under this Agreement unless Executive agreed to be bound by the terms hereof; and (viii) the provisions of this Agreement will not preclude Executive from other gainful employment following Executive’s termination from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Disclosure of Confidential Information</w:t>
      </w:r>
      <w:r>
        <w:rPr>
          <w:rFonts w:ascii="Times New Roman;serif" w:hAnsi="Times New Roman;serif"/>
          <w:b w:val="false"/>
          <w:color w:val="000000"/>
          <w:sz w:val="24"/>
        </w:rPr>
        <w:t>. Executive acknowledges that the Company will provide Executive with confidential and proprietary information regarding the business in which the Company and Company Affiliates are involved, and the Company and the Company Affiliates will provide Executive with trade secrets of the Company and the Company Affiliates (hereinafter all such confidential information and trade secrets referred to as the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For purposes of this Agreement, “Confidential Information” includes, but is not limited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Information related to the business of the Company and the Company Affiliates, including but not limited to marketing strategies and plans, operating policies and procedures, business and strategic plans, finances, financial management systems, financial statements and projections, accounting and tax positions and procedures, organizational charts, salary and benefit programs, and other business and financial information of the Company and the Company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Information regarding the tenants, borrowers, and financing partners of the Company and the Company Affiliates (collectively, “P</w:t>
      </w:r>
      <w:r>
        <w:rPr>
          <w:rFonts w:ascii="Times New Roman;serif" w:hAnsi="Times New Roman;serif"/>
          <w:b w:val="false"/>
          <w:color w:val="000000"/>
          <w:sz w:val="24"/>
          <w:u w:val="single"/>
        </w:rPr>
        <w:t>artners</w:t>
      </w:r>
      <w:r>
        <w:rPr>
          <w:color w:val="000000"/>
        </w:rPr>
        <w:t>”</w:t>
      </w:r>
      <w:r>
        <w:rPr>
          <w:rFonts w:ascii="Times New Roman;serif" w:hAnsi="Times New Roman;serif"/>
          <w:b w:val="false"/>
          <w:color w:val="000000"/>
          <w:sz w:val="24"/>
        </w:rPr>
        <w:t>) which Executive acquired as a result of his employment with the Company, including but not limited to, confidential agreements or contracts, work performed for Partners, Partner contacts, Partner requirements and needs, data used by the Company and the Company Affiliates to formulate Partner proposals, Partners’ financial information and other information regarding the Partners’ respective businesses;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Information regarding the vendors of the Company and the Company Affiliates which Executive acquired as a result of his employment with the Company, including but not limited to, product and service information and other information regarding the business activities of such vendors;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Training materials developed by and utilized by the Company and the Company Affiliates;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Any other information which Executive acquired as a result of his employment with the Company and which Executive has a reasonable basis to believe the Company or the Company Affiliates, as the case may be, would not want disclosed to a business competitor or to the general public;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Information which:</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is proprietary to, about or created by the Company or the Company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gives the Company or any of the Company Affiliates some competitive advantage, the opportunity of obtaining such advantage or the disclosure of which could be detrimental to the interests of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is not typically disclosed to non-executives by the Company or otherwise is treated as confidential by the Company or the Company Affiliates;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is designated as Confidential Information by the Company or the Company Affiliates or from all the relevant circumstances should reasonably be assumed by Executive to be confidential to the Company or any Company Affiliates;</w:t>
      </w:r>
    </w:p>
    <w:p>
      <w:pPr>
        <w:pStyle w:val="TextBody"/>
        <w:bidi w:val="0"/>
        <w:spacing w:lineRule="auto" w:line="288" w:before="0" w:after="240"/>
        <w:jc w:val="left"/>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Confidential Information shall not include information which at the time of receipt or thereafter becomes publicly known or is obtainable in the public domain, in either case through no wrongful act of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Covenant Not to Compete</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the disclosure of Confidential Information to Executive, Executive shall not, directly or indirectly, for compensation or otherwise, engage in or have any interest in (i) Gaming and Leisure Properties, Inc. and its Subsidiaries and Affiliates, and (ii) any sole proprietorship, partnership, corporation, company, association, business or any other person or entity (whether as an employee, officer, corporation, business or any creditor, consultant or otherwise) that, directly or indirectly, competes with the Company’s “Business” (as defined below) in any and all states in which the Company or any Company Affiliate conducts such business or within 100 miles of any location where the Company or any Company Affiliate conducts such business while Executive is employed by the Company or any Company Affiliate and, with respect to the period following the termination of Executive’s employment, within the two-year period preceding such termination of employment; provided, however, Executive may continue to hold securities of the Company or any Company Affiliate or continue to hold or acquire, solely as an investment, shares of capital stock or other equity securities of any company if (a) he currently holds an interest in such stock or other securities, and before the date hereof has disclosed to the Board in detail (i) the applicable company (or companies) and (ii) the specific stock or other equity securities of the entity he owns, or (b) the stock or other securities are traded on any national securities exchange or are regularly quoted in the over-the-counter market, so long as Executive does not control, acquire a controlling interest in, or become a member of a group which exercises direct or indirect control of more than 1% of any class of capital stock of such entity (other than through an investment in any mutual, private equity or hedge fund or similar pooled investment vehicle). For purposes of this Agreement, the Company’s “</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is defined as the ownership or operation of a Real Estate Investment Trust that invests in lines of business in which VICI REIT or the Company invests or in which VICI REIT or the Company has active plans to invest as of the date Executive’s employment terminates, and such other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businesses conducted by the Company or any Company Affiliate after the date hereof, and from time to time during the Term or such other businesses that the Company or any Company Affiliate had active plans to engage in as of the date Executive’s employment terminates.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Non-Solicitation of Certain Persons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business or other entity, solicit, attempt to contract with, or enter into a contractual or business relationship of any kind pertaining to any aspect of the Company’s Business, or any other business conducted by the Company or any Company Affiliate at the time of termination of employment or at any time in the prior 12-month period, with any person or entity with which the Company or any Company Affiliate has any contractual or business relationship of a material operating or strategic nature or in the previous 12 months has engaged in negotiations toward such a relationship.</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or other entity, either (a) hire, attempt to employ, contact with respect to hiring, solicit with respect to hiring or enter into any contractual arrangement with any employee or former employee of the Company or any Company Affiliate, or (b) induce or otherwise advise or encourage any employee of the Company or any Company Affiliate to leave his or her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6.5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Subject to Sections 6.6 and 6.10, while employed by the Company and after Executive’s employment terminates for any reason, in consideration of the obligations of VICI REIT and the Company hereunder, including without limitation its disclosure of Confidential Information to Executive, Executive shall keep secret and retain in strictest confidence, shall not disclose to any third-party, and shall not use for his benefit or the benefit of others, except in connection with the business affairs of the Company or any Company Affiliate (collectively, the “</w:t>
      </w:r>
      <w:r>
        <w:rPr>
          <w:rFonts w:ascii="Times New Roman;serif" w:hAnsi="Times New Roman;serif"/>
          <w:b w:val="false"/>
          <w:color w:val="000000"/>
          <w:sz w:val="24"/>
          <w:u w:val="single"/>
        </w:rPr>
        <w:t>Benefited Persons</w:t>
      </w:r>
      <w:r>
        <w:rPr>
          <w:color w:val="000000"/>
        </w:rPr>
        <w:t>”</w:t>
      </w:r>
      <w:r>
        <w:rPr>
          <w:rFonts w:ascii="Times New Roman;serif" w:hAnsi="Times New Roman;serif"/>
          <w:b w:val="false"/>
          <w:color w:val="000000"/>
          <w:sz w:val="24"/>
        </w:rPr>
        <w:t xml:space="preserve">), any Confidential Information unless such disclosure is required by a valid subpoena or other legal mandate or otherwise by rule of law or other valid order of a court or government body or agency or in any litigation between the Executive and any Benefited Person. In the event disclosure is so required, Executive shall provide the Company with written notice within three (3) days of receiving such subpoena or other order if legally permitted to do so, and shall cooperate with VICI REIT and the Company in seeking an appropriate protective order and in attempting to keep such information confidential to the maximum extent possible. Executive agrees to promptly deliver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Company upon request the originals and all copies, in whatever medium, of all such Confidential Information in Executive’s possession, custody or control.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6.6 </w:t>
      </w:r>
      <w:r>
        <w:rPr>
          <w:rFonts w:ascii="Times New Roman;serif" w:hAnsi="Times New Roman;serif"/>
          <w:b w:val="false"/>
          <w:color w:val="000000"/>
          <w:sz w:val="24"/>
          <w:u w:val="single"/>
        </w:rPr>
        <w:t>Permitted Uses of Trade Secrets</w:t>
      </w:r>
      <w:r>
        <w:rPr>
          <w:rFonts w:ascii="Times New Roman;serif" w:hAnsi="Times New Roman;serif"/>
          <w:b w:val="false"/>
          <w:color w:val="000000"/>
          <w:sz w:val="24"/>
        </w:rPr>
        <w:t>. Misappropriation of a trade secret of the Company or any Company Affiliate in breach of this Agreement may subject Executive to liability under the Defend Trade Secrets Act of 2016 (the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Company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6.7 </w:t>
      </w:r>
      <w:r>
        <w:rPr>
          <w:rFonts w:ascii="Times New Roman;serif" w:hAnsi="Times New Roman;serif"/>
          <w:b w:val="false"/>
          <w:color w:val="000000"/>
          <w:sz w:val="24"/>
          <w:u w:val="single"/>
        </w:rPr>
        <w:t>Tangible Items</w:t>
      </w:r>
      <w:r>
        <w:rPr>
          <w:rFonts w:ascii="Times New Roman;serif" w:hAnsi="Times New Roman;serif"/>
          <w:b w:val="false"/>
          <w:color w:val="000000"/>
          <w:sz w:val="24"/>
        </w:rPr>
        <w:t>. All files, records, documents, manuals, books, forms, reports, memoranda, studies, data, calculations, recordings, or correspondence, whether visually perceptible, machine-readable or otherwise, in whatever form they may exist, and all copies, abstracts and summaries of the foregoing, and all physical items related to the business of the Company or any Company Affiliate, whether of a public nature or not, and whether prepared by Executive or not, are and shall remain the exclusive property of the Company or any Company Affiliate, as applicable, and shall not be removed from its premises, except as required in the course of Executive’s employment by the Company, without the prior written consent of the Company. Such items, including any copies or other reproductions thereof, shall be promptly returned by Executive to the Company at any time upon the written request of the Company and in all events upon termination of his employment (or, if requested by the Company, destroyed by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6.8 </w:t>
      </w:r>
      <w:r>
        <w:rPr>
          <w:rFonts w:ascii="Times New Roman;serif" w:hAnsi="Times New Roman;serif"/>
          <w:b w:val="false"/>
          <w:color w:val="000000"/>
          <w:sz w:val="24"/>
          <w:u w:val="single"/>
        </w:rPr>
        <w:t>Remedies</w:t>
      </w:r>
      <w:r>
        <w:rPr>
          <w:rFonts w:ascii="Times New Roman;serif" w:hAnsi="Times New Roman;serif"/>
          <w:b w:val="false"/>
          <w:color w:val="000000"/>
          <w:sz w:val="24"/>
        </w:rPr>
        <w:t>. VICI REIT, the Company and Executive acknowledge and agree that a breach by Executive of any of the covenants contained in this Section 6 will cause immediate and irreparable harm and damage to the Company and the Company Affiliates, and that monetary damages will be inadequate to compensate the Company and the Company Affiliates, as the case may be, for such breach. Accordingly, Executive acknowledges that the Company and the Company Affiliates shall, in addition to any other remedies available to it at law or in equity, be entitled to an injunction from any court of competent jurisdiction enjoining and restraining any violation of said covenants by Executive or any of his affiliates, associates, partners or agents, either directly or indirectly, without the necessity of posting a bond, or proving the inadequacy of legal remedies or irreparable harm.</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6.9 </w:t>
      </w:r>
      <w:r>
        <w:rPr>
          <w:rFonts w:ascii="Times New Roman;serif" w:hAnsi="Times New Roman;serif"/>
          <w:b w:val="false"/>
          <w:color w:val="000000"/>
          <w:sz w:val="24"/>
          <w:u w:val="single"/>
        </w:rPr>
        <w:t>Modification</w:t>
      </w:r>
      <w:r>
        <w:rPr>
          <w:rFonts w:ascii="Times New Roman;serif" w:hAnsi="Times New Roman;serif"/>
          <w:b w:val="false"/>
          <w:color w:val="000000"/>
          <w:sz w:val="24"/>
        </w:rPr>
        <w:t xml:space="preserve">. If, at any time, a reviewing court of appropriate jurisdiction called upon to issue an injunction in accordance with Section 6.8 finds any of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Section 6 to be invalid or unenforceable under any applicable law, by reason of being vague or unreasonable as to area, duration, or scope of activity, this Agreement shall be considered divisible and such court shall have authority to modify this Agreement to cover only such area, duration, and scope as shall be determined to be reasonable and enforceable by the court. Executive, VICI REIT, and the Company agree that this Agreement, as so amended, shall be valid and binding as though any invalid or unenforceable provision had not been included herein.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6.10 </w:t>
      </w:r>
      <w:r>
        <w:rPr>
          <w:rFonts w:ascii="Times New Roman;serif" w:hAnsi="Times New Roman;serif"/>
          <w:b w:val="false"/>
          <w:color w:val="000000"/>
          <w:sz w:val="24"/>
          <w:u w:val="single"/>
        </w:rPr>
        <w:t>Confidential Disclosure to Governmental and Quasi-Governmental Entities</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6.11 </w:t>
      </w:r>
      <w:r>
        <w:rPr>
          <w:rFonts w:ascii="Times New Roman;serif" w:hAnsi="Times New Roman;serif"/>
          <w:b w:val="false"/>
          <w:color w:val="000000"/>
          <w:sz w:val="24"/>
          <w:u w:val="single"/>
        </w:rPr>
        <w:t>Company Property</w:t>
      </w:r>
      <w:r>
        <w:rPr>
          <w:rFonts w:ascii="Times New Roman;serif" w:hAnsi="Times New Roman;serif"/>
          <w:b w:val="false"/>
          <w:color w:val="000000"/>
          <w:sz w:val="24"/>
        </w:rPr>
        <w:t>. The parties hereto agree that any work of authorship, invention, design, discovery, development, technique, improvement, source code, hardware, device, data, apparatus, practice, process, method, or other work product whatever related to the Company’s or the Company Affiliates’ business (whether patentable or subject to copyright, or not, and hereinafter collectively called “</w:t>
      </w:r>
      <w:r>
        <w:rPr>
          <w:rFonts w:ascii="Times New Roman;serif" w:hAnsi="Times New Roman;serif"/>
          <w:b w:val="false"/>
          <w:color w:val="000000"/>
          <w:sz w:val="24"/>
          <w:u w:val="single"/>
        </w:rPr>
        <w:t>discovery</w:t>
      </w:r>
      <w:r>
        <w:rPr>
          <w:color w:val="000000"/>
        </w:rPr>
        <w:t>”</w:t>
      </w:r>
      <w:r>
        <w:rPr>
          <w:rFonts w:ascii="Times New Roman;serif" w:hAnsi="Times New Roman;serif"/>
          <w:b w:val="false"/>
          <w:color w:val="000000"/>
          <w:sz w:val="24"/>
        </w:rPr>
        <w:t>) that Executive, either solely or in collaboration with others, conceives, creates, makes, discovers, invents, develops, perfects, or reduces to practice during the term of Executive’s employment, whether or not during regular business hours or on the Company’s or any Company Affiliates’ premises, shall be the sole and complete property of the Company and/or the Company Affiliates. More particularly, and without limiting the foregoing,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(subsections (i) - (iv) collectively, “</w:t>
      </w:r>
      <w:r>
        <w:rPr>
          <w:rFonts w:ascii="Times New Roman;serif" w:hAnsi="Times New Roman;serif"/>
          <w:b w:val="false"/>
          <w:color w:val="000000"/>
          <w:sz w:val="24"/>
          <w:u w:val="single"/>
        </w:rPr>
        <w:t>Intellectual Property Products</w:t>
      </w:r>
      <w:r>
        <w:rPr>
          <w:color w:val="000000"/>
        </w:rPr>
        <w:t>”</w:t>
      </w:r>
      <w:r>
        <w:rPr>
          <w:rFonts w:ascii="Times New Roman;serif" w:hAnsi="Times New Roman;serif"/>
          <w:b w:val="false"/>
          <w:color w:val="000000"/>
          <w:sz w:val="24"/>
        </w:rPr>
        <w:t>) created, conceived, or prepared on the Company’s or the Company Affiliates’ premises or otherwise, whether or not during normal business hours, and related to the Company’s business, shall perpetually and throughout the world be the exclusive property of the Company and/or the Company Affiliates, as shall all tangible media (including, but not limited to, papers, computer media, and digital and cloud-based of all types and models) in which such Intellectual Property Products shall be recorded or otherwise fixed. Upon termination of Executive’s employment with the Company for any reason whatsoever, and at any earlier time the Company so requests, Executive will immediately deliver to the custody of the person designated by the General Counsel of the Company all originals and copies of any documents and other property of the Company or any Company Affiliates in Executive’s possession or under Executive’s custody or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6.12    </w:t>
      </w:r>
      <w:r>
        <w:rPr>
          <w:rFonts w:ascii="Times New Roman;serif" w:hAnsi="Times New Roman;serif"/>
          <w:b w:val="false"/>
          <w:color w:val="000000"/>
          <w:sz w:val="24"/>
          <w:u w:val="single"/>
        </w:rPr>
        <w:t>Works for Hire</w:t>
      </w:r>
      <w:r>
        <w:rPr>
          <w:rFonts w:ascii="Times New Roman;serif" w:hAnsi="Times New Roman;serif"/>
          <w:b w:val="false"/>
          <w:color w:val="000000"/>
          <w:sz w:val="24"/>
        </w:rPr>
        <w:t xml:space="preserve">. Executive agrees that all works of authorship created in whole or in part by Executive during Executive’s engagement by the Company and related to the Company’s business shall be works made for hire of which the Company or the Company Affiliates is the author and owner of copyright. To the extent that any competent decision-making authority should ever determine that any work of authorship created by Executive during Executive’s engagement by the Company is not a work made for hire, Executive hereby assigns all right, title, and interest in the copyright therein, in perpetuity and throughout the world, to the Company. To the extent that this Agreement does not otherwise serve to grant or otherwise vest in the Company or any of the Company Affiliates all rights in any Intellectual Property Product created in whole or in part by Executive during Executive’s engagement by the Company, Executive hereby assigns all right, title, and interest therein, in perpetuity and throughout the world, to the Company. Executive agrees to execute, immediately upon the Company’s reasonable request and without any additional compensation, any further assignments, applications, conveyances or other instruments, at any time after execution of this Agreement, whether or not Executive remains employed by the Company at the time such request is made, in order to permit the Company, the Company Affiliates, and/or their respective successors and assigns to protect, perfect, register, record, maintain, or enhance their rights in any Intellectual Property Product;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shall bear the cost of any such assignments, applications, or consequences.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Litigation and Regulatory Cooperation</w:t>
      </w:r>
      <w:r>
        <w:rPr>
          <w:rFonts w:ascii="Times New Roman;serif" w:hAnsi="Times New Roman;serif"/>
          <w:b w:val="false"/>
          <w:color w:val="000000"/>
          <w:sz w:val="24"/>
        </w:rPr>
        <w:t xml:space="preserve">. Executive agrees that upon separation for any reason from the Company, Executive will cooperate and assist in all ways reasonably requested by the Company in assuring an orderly transition of all matters being handled by him, subject however to Executive’s subsequent professional and employment obligations. During the Term and continuing thereafter upon termination of employment, Executive shall reasonably cooperate with the Company and the Company Affiliates in the defense or prosecution of any claims or actions now in existence or that may be brought or threatened in the future against or on behalf of any of the Company, the Company Affiliates, or any divisions, successors, and assigns thereof, about which the Company believes Executive may have relevant information. Executive’s cooperation in connection with such claims or actions shall include, but not be limited to, being available to meet with counsel to prepare for discovery or trial and to act as a witness on behalf of the Company, the Company Affiliates, or any successors and assigns thereof at mutually convenient times. Executive also shall, subject however to Executive’s subsequent professional and employment obligations, cooperate fully with the Company in connection with any investigation or review by any federal, state, or local regulatory authority as any such investigation or review relates to events or occurrences that transpired while Executive was employed by the Company. Executive’s cooperation and assistance pursuant to this Section 7 shall be without additional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will pay in advance for Executive’s reasonable travel expenses incurred with respect to such cooperation and assistance. Executive shall not be required to cooperate against his legal interests or the legal interests of any entity that is then his employer.</w: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xml:space="preserve">. Except with respect to claims arising out of or related to a breach or alleged breach of Section 6, which claims may be brought in court, all disputes between the parties or any claims concerning the performance, breach, construction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interpretation of this Agreement, or in any manner arising out of this Agreement or Executive’s employment by the Company, shall be submitted to binding arbitration in accordance with the Employment Arbitration Rules, as amended from time to time, of the American Arbitration Association (the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which arbitration shall be carried out in the manner set forth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Such arbitration shall be conducted in New York, New York or such other location as the Company’s headquarters may be located at such time, and the arbitrator will apply New York law, including federal law as applied in New York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fees and costs of the arbitrator and/or the AAA shall be divided among the Company and Executive, subject to reallocation as provided in Section 8(iv)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The arbitrator shall not have the authority to modify the terms of this Agreement except to the extent that the Agreement violates any governing statue, in which case the arbitrator may modify the Agreement solely as necessary to not conflict with such statute. The arbitrator shall have the authority to award any remedy or relief that a court of the State of New York or federal court located in the State of New York could grant in conformity with the applicable law on the basis of claims actually made in the arbitration. The arbitrator shall render an award and written opinion which shall set forth the factual and legal basis for the award. </w:t>
      </w:r>
    </w:p>
    <w:p>
      <w:pPr>
        <w:pStyle w:val="TextBody"/>
        <w:bidi w:val="0"/>
        <w:spacing w:lineRule="auto" w:line="288" w:before="0" w:after="240"/>
        <w:ind w:left="0" w:right="0" w:hanging="720"/>
        <w:jc w:val="left"/>
        <w:rPr/>
      </w:pPr>
      <w:r>
        <w:rPr>
          <w:rFonts w:ascii="Times New Roman;serif" w:hAnsi="Times New Roman;serif"/>
          <w:b w:val="false"/>
          <w:color w:val="000000"/>
          <w:sz w:val="24"/>
        </w:rPr>
        <w:t>(iii)    The award of the arbitrator shall be final and binding on VICI REIT, the Company and Executive, and judgment on the award may be confirmed and entered in any state or federal court located in New York, New York.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xml:space="preserve">), to any third party, with the sole exception of Executive’s legal counsel, who Executive shall ensure adheres to all confidentiality terms in this Agreement. In the event of any court proceeding to challenge or enforce an arbitrator’s award, the Company and Executive hereby consent to the exclusive jurisdiction of the state and federal courts in New York and agree to venue in that jurisdiction. VICI REIT, the Company and Executive agree to take all steps necessary to protect the confidentiality of the Arbitration Materials in connection with any such proceeding, agree to file all Confidential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documents containing Confidential Information) under seal to the extent possible, and agree to the entry of an appropriate protective order encompassing the confidentiality terms of this Agreement.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Each of VICI REIT, the Company and Executive agrees to pay its own costs and fees in connection with any arbitration of a dispute arising under this Agreement, and any court proceeding arising therefrom, provided, however, that (a) the arbitrator shall be authorized to award attorneys’ fees and costs to any party in accordance with applicable law and (b) the arbitrator shall award to the party substantially prevailing in such arbitration his or its costs, including reasonable attorneys’ fees.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TO THE EXTENT ANY DISPUTE IS FOUND NOT TO BE SUBJECT TO THIS ARBITRATION PROVISION, VICI REIT, THE COMPANY AND EXECUTIVE EACH HEREBY WAIVE THEIR RESPECTIVE RIGHTS TO TRIAL BY JURY.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ACKNOWLEDGES THAT EXECUTIVE HAS CAREFULLY READ THIS SECTION 8, VOLUNTARILY AGREES TO ARBITRATE ALL DISPUTES, AND HAS HAD THE OPPORTUNITY TO REVIEW THE PROVISIONS OF SECTION 8 WITH ANY ADVISORS AS EXECUTIVE CONSIDERED NECESSARY. BY SIGNING BELOW, EXECUTIVE SIGNIFIES EXECUTIVE’S UNDERSTANDING AND AGREEMENT TO SECTION 8.</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Severability</w:t>
      </w:r>
      <w:r>
        <w:rPr>
          <w:rFonts w:ascii="Times New Roman;serif" w:hAnsi="Times New Roman;serif"/>
          <w:b w:val="false"/>
          <w:color w:val="000000"/>
          <w:sz w:val="24"/>
        </w:rPr>
        <w:t>. As the provisions of this Agreement are independent of and severable from each other, the Company and Executive agree that if, in any action before any court or agency legally empowered to enforce this Agreement, any term, restriction, covenant, or promise hereof is found to be unreasonable or otherwise unenforceable, then such decision shall not affect the validity of the other provisions of this Agreement, and such invalid term, restriction, covenant, or promise shall also be deemed modified to the extent necessary to make it enforceable.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Notice</w:t>
      </w:r>
      <w:r>
        <w:rPr>
          <w:rFonts w:ascii="Times New Roman;serif" w:hAnsi="Times New Roman;serif"/>
          <w:b w:val="false"/>
          <w:color w:val="000000"/>
          <w:sz w:val="24"/>
        </w:rPr>
        <w:t>. For purposes of this Agreement, notices, demands and all other communications provided for in this Agreement shall be in writing and shall be deemed to have been duly given when received if delivered in person, the next business day if delivered by overnight commercial courier (e.g., Federal Express), or the third business day if mailed by United States certified mail, return receipt requested, postage prepaid, to the following addresses: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If to VICI REIT or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VICI Properties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535 Madison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If to Executive,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Edward Baltazar Pitoniak</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address on record with the Company</w:t>
      </w:r>
    </w:p>
    <w:p>
      <w:pPr>
        <w:pStyle w:val="TextBody"/>
        <w:bidi w:val="0"/>
        <w:spacing w:before="0" w:after="0"/>
        <w:ind w:left="0" w:right="0" w:firstLine="14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Either party may change its address for notices in accordance with this Section 10 by providing written notice of such change to the other party.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New York applicable to contracts to be performed therein.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Benefits; Binding Effect; Assignment</w:t>
      </w:r>
      <w:r>
        <w:rPr>
          <w:rFonts w:ascii="Times New Roman;serif" w:hAnsi="Times New Roman;serif"/>
          <w:b w:val="false"/>
          <w:color w:val="000000"/>
          <w:sz w:val="24"/>
        </w:rPr>
        <w:t>. This Agreement shall be binding upon and inure to the benefit of the parties and their respective heirs, personal representatives, legal representatives, successors and permitted assigns. Executive shall not assign this Agreement or any of Executive’s obligations hereunder in whole or in part. However, VICI REIT and the Company are expressly authorized to assign this Agreement to a Company Affiliate or an acquirer of substantially all the assets of VICI REIT or the Company upon written notice to Executive, provided that (a) the assignee assumes all of the obligations of VICI REIT and the Company under this Agreement, (b) Executive’s role when viewed from the perspective of the surviving or resulting business is comparable to such role immediately before the assignment, and (c) VICI REIT and the Company, for so long as an affiliate of the assignee, remains secondarily liable for the financial obligations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As all parties have had the opportunity to consult with legal counsel of their own choosing, no provision of this Agreement shall be construed against or interpreted to the disadvantage of any party by reason of such party having, or being deemed to have, drafted, devised, or imposed such provision.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and all prior understandings, agreements or undertakings including without limitation the Prior Agreement between the parties concerning Executive’s employment or the other subject matters of this Agreement are superseded and replaced in their entirety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lineRule="auto" w:line="288" w:before="0" w:after="24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shall not be required to mitigate damages or the amount of any payment provided for under this Agreement by seeking other employment or otherwise, nor will any payments hereunder be subject to offset in the event Executive does mitigate.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which together shall be one and the same instrument.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Tax Advice</w:t>
      </w:r>
      <w:r>
        <w:rPr>
          <w:rFonts w:ascii="Times New Roman;serif" w:hAnsi="Times New Roman;serif"/>
          <w:b w:val="false"/>
          <w:color w:val="000000"/>
          <w:sz w:val="24"/>
        </w:rPr>
        <w:t>. Executive confirms and represents to VICI REIT and the Company that he has had the opportunity to obtain the advice of legal counsel, financial and tax advisers, and such other professionals as he deems necessary for entering into this Agreement, and he has not relied upon the advice of VICI REIT, the Company or their respective officers, directors, or employees.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Withholding</w:t>
      </w:r>
      <w:r>
        <w:rPr>
          <w:rFonts w:ascii="Times New Roman;serif" w:hAnsi="Times New Roman;serif"/>
          <w:b w:val="false"/>
          <w:color w:val="000000"/>
          <w:sz w:val="24"/>
        </w:rPr>
        <w:t>. Any payments made to Executive under this Agreement shall be reduced by any applicable withholding taxes or other amounts required to be withheld by law or contract.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comply with, or be exempt from, the requirements of Section 409A, and shall be interpreted and construed consistent with that intent. No expenses eligible for reimbursement, or in-kind benefits to be provided, during any calendar year shall affect the amounts eligible for reimbursement in any other calendar year, to the extent subject to the requirements of Section 409A, and no such right to reimbursement or right to in-kind benefits shall be subject to liquidation or exchange for any other benefit. For purposes of Section 409A, each payment in a series of installment payments provided under this Agreement shall be treated as a separate payment. Any payments to be made under this Agreement upon a termination of employment shall only be made upon a “separation from service” under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Survivability</w:t>
      </w:r>
      <w:r>
        <w:rPr>
          <w:rFonts w:ascii="Times New Roman;serif" w:hAnsi="Times New Roman;serif"/>
          <w:b w:val="false"/>
          <w:color w:val="000000"/>
          <w:sz w:val="24"/>
        </w:rPr>
        <w:t>. Those provisions and obligations of this Agreement which are intended to survive shall survive notwithstanding termination of Executive’s employment with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signed their names as of the day and year first above written.</w:t>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Samantha S. Gallagher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Samantha Sacks Gallagher</w:t>
      </w:r>
    </w:p>
    <w:p>
      <w:pPr>
        <w:pStyle w:val="TextBody"/>
        <w:bidi w:val="0"/>
        <w:spacing w:lineRule="auto" w:line="288" w:before="0" w:after="0"/>
        <w:ind w:left="0" w:right="0" w:hanging="71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and Secretary</w:t>
      </w:r>
    </w:p>
    <w:p>
      <w:pPr>
        <w:pStyle w:val="TextBody"/>
        <w:bidi w:val="0"/>
        <w:spacing w:before="0" w:after="240"/>
        <w:ind w:left="0" w:right="0" w:firstLine="4500"/>
        <w:jc w:val="left"/>
        <w:rPr/>
      </w:pPr>
      <w:r>
        <w:rPr/>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Samantha S. Gallagher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Samantha Sacks Gallagher</w:t>
      </w:r>
    </w:p>
    <w:p>
      <w:pPr>
        <w:pStyle w:val="TextBody"/>
        <w:bidi w:val="0"/>
        <w:spacing w:lineRule="auto" w:line="288" w:before="0" w:after="0"/>
        <w:ind w:left="0" w:right="0" w:hanging="71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and Secretary</w:t>
      </w:r>
    </w:p>
    <w:p>
      <w:pPr>
        <w:pStyle w:val="TextBody"/>
        <w:bidi w:val="0"/>
        <w:spacing w:before="0" w:after="240"/>
        <w:ind w:left="0" w:right="0" w:firstLine="4500"/>
        <w:jc w:val="left"/>
        <w:rPr/>
      </w:pPr>
      <w:r>
        <w:rPr/>
      </w:r>
    </w:p>
    <w:p>
      <w:pPr>
        <w:pStyle w:val="TextBody"/>
        <w:bidi w:val="0"/>
        <w:spacing w:before="0" w:after="240"/>
        <w:ind w:left="0" w:right="0" w:firstLine="4500"/>
        <w:jc w:val="left"/>
        <w:rPr/>
      </w:pPr>
      <w:r>
        <w:rPr/>
      </w:r>
    </w:p>
    <w:p>
      <w:pPr>
        <w:pStyle w:val="TextBody"/>
        <w:bidi w:val="0"/>
        <w:spacing w:lineRule="auto" w:line="288" w:before="0" w:after="0"/>
        <w:ind w:left="0" w:right="0" w:firstLine="4507"/>
        <w:jc w:val="left"/>
        <w:rPr/>
      </w:pPr>
      <w:r>
        <w:rPr>
          <w:rFonts w:ascii="Times New Roman;serif" w:hAnsi="Times New Roman;serif"/>
          <w:b w:val="false"/>
          <w:i/>
          <w:color w:val="000000"/>
          <w:sz w:val="24"/>
          <w:u w:val="single"/>
        </w:rPr>
        <w:t>/s/ Edward B. Pitoniak</w:t>
      </w:r>
      <w:r>
        <w:rPr>
          <w:color w:val="000000"/>
          <w:u w:val="single"/>
        </w:rPr>
        <w:t xml:space="preserve"> </w:t>
      </w:r>
    </w:p>
    <w:p>
      <w:pPr>
        <w:pStyle w:val="TextBody"/>
        <w:bidi w:val="0"/>
        <w:spacing w:lineRule="auto" w:line="288" w:before="0" w:after="240"/>
        <w:ind w:left="0" w:right="0" w:firstLine="4500"/>
        <w:jc w:val="left"/>
        <w:rPr>
          <w:rFonts w:ascii="Times New Roman;serif" w:hAnsi="Times New Roman;serif"/>
          <w:b w:val="false"/>
          <w:color w:val="000000"/>
          <w:sz w:val="24"/>
        </w:rPr>
      </w:pPr>
      <w:r>
        <w:rPr>
          <w:rFonts w:ascii="Times New Roman;serif" w:hAnsi="Times New Roman;serif"/>
          <w:b w:val="false"/>
          <w:color w:val="000000"/>
          <w:sz w:val="24"/>
        </w:rPr>
        <w:t>Edward Baltazar Pitoniak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1155"/>
                <wp:effectExtent l="0" t="0" r="0" b="0"/>
                <wp:wrapNone/>
                <wp:docPr id="159" name="Frame1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In consideration of and in accordance with the February 25, 2026 Amended and Restated Employment Agreement by and between Edward Baltazar Pitoniak,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VICI Properties Inc. (“VICI REIT”) and VICI Properties L.P., (together with its successors and assigns,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of which this Exhibit A is part, Executive hereby agrees as follows. All terms not defined in this Separation Agreement and Release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shall have the same meanings as those set forth in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Consideration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acknowledges and agrees that the payments and benefits to be paid to Executive under Section [4.2][4.3][4.4] of the Employment Agreement, as set forth in a schedule hereto (the “</w:t>
      </w:r>
      <w:r>
        <w:rPr>
          <w:rFonts w:ascii="Times New Roman;serif" w:hAnsi="Times New Roman;serif"/>
          <w:b w:val="false"/>
          <w:color w:val="000000"/>
          <w:sz w:val="24"/>
          <w:u w:val="single"/>
        </w:rPr>
        <w:t>Consideration Amounts</w:t>
      </w:r>
      <w:r>
        <w:rPr>
          <w:color w:val="000000"/>
        </w:rPr>
        <w:t>”</w:t>
      </w:r>
      <w:r>
        <w:rPr>
          <w:rFonts w:ascii="Times New Roman;serif" w:hAnsi="Times New Roman;serif"/>
          <w:b w:val="false"/>
          <w:color w:val="000000"/>
          <w:sz w:val="24"/>
        </w:rPr>
        <w:t>), represent good, valuable, and sufficient consideration for signing this Separation Agreement, and exceed any amounts or interests to which Executive otherwise would be entitled. Executive acknowledges and agrees that except as specifically provided in this Separation Agreement, VICI REIT and the Company shall have no other obligations or liabilities, monetary or otherwise, to Executive following the date hereof and that the payments and benefits contemplated herein constitute a complete settlement, satisfaction, and waiver of any and all claims Executive may have against VICI REIT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color w:val="000000"/>
          <w:sz w:val="24"/>
          <w:u w:val="single"/>
        </w:rPr>
        <w:t>Release of Claims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Executive, for Executive, Executive’s spouse, and each of Executive’s heirs, beneficiaries, representatives, agents, successors, and assigns (collectively, “</w:t>
      </w:r>
      <w:r>
        <w:rPr>
          <w:rFonts w:ascii="Times New Roman;serif" w:hAnsi="Times New Roman;serif"/>
          <w:b w:val="false"/>
          <w:color w:val="000000"/>
          <w:sz w:val="24"/>
          <w:u w:val="single"/>
        </w:rPr>
        <w:t>Executive Releasors</w:t>
      </w:r>
      <w:r>
        <w:rPr>
          <w:color w:val="000000"/>
        </w:rPr>
        <w:t>”</w:t>
      </w:r>
      <w:r>
        <w:rPr>
          <w:rFonts w:ascii="Times New Roman;serif" w:hAnsi="Times New Roman;serif"/>
          <w:b w:val="false"/>
          <w:color w:val="000000"/>
          <w:sz w:val="24"/>
        </w:rPr>
        <w:t>), irrevocably and unconditionally releases and forever discharges each of VICI REIT and the Company, (i) each and all of their predecessors, parents, Subsidiaries, Affiliates, divisions, successors, and assigns (collectively with VICI REIT and the Company, the “</w:t>
      </w:r>
      <w:r>
        <w:rPr>
          <w:rFonts w:ascii="Times New Roman;serif" w:hAnsi="Times New Roman;serif"/>
          <w:b w:val="false"/>
          <w:color w:val="000000"/>
          <w:sz w:val="24"/>
          <w:u w:val="single"/>
        </w:rPr>
        <w:t>Company Entities</w:t>
      </w:r>
      <w:r>
        <w:rPr>
          <w:color w:val="000000"/>
        </w:rPr>
        <w:t>”</w:t>
      </w:r>
      <w:r>
        <w:rPr>
          <w:rFonts w:ascii="Times New Roman;serif" w:hAnsi="Times New Roman;serif"/>
          <w:b w:val="false"/>
          <w:color w:val="000000"/>
          <w:sz w:val="24"/>
        </w:rPr>
        <w:t>), (ii) each and all of the Company Entities’ current and former officers, directors, employees, and, in their respective capacities as such, each and all of the Company Entities’ shareholders, representatives, attorneys, agents, and assigns(collectively, with the Company Entities, the “</w:t>
      </w:r>
      <w:r>
        <w:rPr>
          <w:rFonts w:ascii="Times New Roman;serif" w:hAnsi="Times New Roman;serif"/>
          <w:b w:val="false"/>
          <w:color w:val="000000"/>
          <w:sz w:val="24"/>
          <w:u w:val="single"/>
        </w:rPr>
        <w:t>Company Releasees</w:t>
      </w:r>
      <w:r>
        <w:rPr>
          <w:color w:val="000000"/>
        </w:rPr>
        <w:t>”</w:t>
      </w:r>
      <w:r>
        <w:rPr>
          <w:rFonts w:ascii="Times New Roman;serif" w:hAnsi="Times New Roman;serif"/>
          <w:b w:val="false"/>
          <w:color w:val="000000"/>
          <w:sz w:val="24"/>
        </w:rPr>
        <w:t>), from any and all causes of action, claims, actions, rights, judgments, obligations, damages, demands, accountings, or liabilities of any kind or character, whether known or unknown, whether accrued or contingent, that Executive has, had, or may have against them, or any of them, by reason of, arising out of, connected with, touching upon, or concerning Executive’s employment with the Company, Executive’s separation from the Company, and Executive’s relationship with any or all of the Company Releasees, and from any and all statutory claims, regulatory claims, claims under the Employment Agreement, and any and all other claims or matters of whatever kind, nature, or description, arising from the beginning of the world up through the Separation Agreement Effective Date (as defined below) (collectively,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xml:space="preserve">). Executive acknowledges that the Released Claims specifically include, but are not limited to, any and all claims for fraud, breach of express or implied contract, breach of the implied covenant of good faith and fair dealing, interference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contractual rights, violation of public policy, invasion of privacy, intentional or negligent infliction of emotional distress, intentional or negligent misrepresentation, defamation, libel, slander, or breach of privacy; claims for failure to pay wages, benefits, deferred compensation, commissions, bonuses, vacation pay, expenses, severance pay, attorneys’ fees, or other compensation of any sort; claims related to stock options, equity awards, or other grants, awards, or warrants; claims related to any tangible or intangible property of Executive that remains with the Company; claims for retaliation, harassment or discrimination on the basis of race, color, sex, sexual orientation, national origin, ancestry, religion, age, disability, medical condition, marital status, gender identity, gender expression, or any other characteristic or criteria protected by law; any claim under Title VII of the Civil Rights Act of 1964 (Title VII, as amended), 42 U.S.C. §§ 2000e, et seq., the Civil Rights Act of 1991, the Civil Rights Act of 1866, the Family and Medical Leave Act (“</w:t>
      </w:r>
      <w:r>
        <w:rPr>
          <w:rFonts w:ascii="Times New Roman;serif" w:hAnsi="Times New Roman;serif"/>
          <w:b w:val="false"/>
          <w:color w:val="000000"/>
          <w:sz w:val="24"/>
          <w:u w:val="single"/>
        </w:rPr>
        <w:t>FMLA</w:t>
      </w:r>
      <w:r>
        <w:rPr>
          <w:color w:val="000000"/>
        </w:rPr>
        <w:t>”</w:t>
      </w:r>
      <w:r>
        <w:rPr>
          <w:rFonts w:ascii="Times New Roman;serif" w:hAnsi="Times New Roman;serif"/>
          <w:b w:val="false"/>
          <w:color w:val="000000"/>
          <w:sz w:val="24"/>
        </w:rPr>
        <w:t>), 29 U.S.C. §§ 2601, et seq., the Fair Labor Standards Act (“</w:t>
      </w:r>
      <w:r>
        <w:rPr>
          <w:rFonts w:ascii="Times New Roman;serif" w:hAnsi="Times New Roman;serif"/>
          <w:b w:val="false"/>
          <w:color w:val="000000"/>
          <w:sz w:val="24"/>
          <w:u w:val="single"/>
        </w:rPr>
        <w:t>FLSA</w:t>
      </w:r>
      <w:r>
        <w:rPr>
          <w:color w:val="000000"/>
        </w:rPr>
        <w:t>”</w:t>
      </w:r>
      <w:r>
        <w:rPr>
          <w:rFonts w:ascii="Times New Roman;serif" w:hAnsi="Times New Roman;serif"/>
          <w:b w:val="false"/>
          <w:color w:val="000000"/>
          <w:sz w:val="24"/>
        </w:rPr>
        <w:t>), 29 U.S.C. §§ 201, et seq., the Equal Pay Act, 29 U.S.C. §206(a) and interpretive regulations, the Americans with Disabilities Act (“</w:t>
      </w:r>
      <w:r>
        <w:rPr>
          <w:rFonts w:ascii="Times New Roman;serif" w:hAnsi="Times New Roman;serif"/>
          <w:b w:val="false"/>
          <w:color w:val="000000"/>
          <w:sz w:val="24"/>
          <w:u w:val="single"/>
        </w:rPr>
        <w:t>ADA</w:t>
      </w:r>
      <w:r>
        <w:rPr>
          <w:color w:val="000000"/>
        </w:rPr>
        <w:t>”</w:t>
      </w:r>
      <w:r>
        <w:rPr>
          <w:rFonts w:ascii="Times New Roman;serif" w:hAnsi="Times New Roman;serif"/>
          <w:b w:val="false"/>
          <w:color w:val="000000"/>
          <w:sz w:val="24"/>
        </w:rPr>
        <w:t>), 42 U.S.C. §§ 12101, et seq., the Consolidated Omnibus Budget Reconciliation Act of 1986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 Occupational Safety and Health Act (“</w:t>
      </w:r>
      <w:r>
        <w:rPr>
          <w:rFonts w:ascii="Times New Roman;serif" w:hAnsi="Times New Roman;serif"/>
          <w:b w:val="false"/>
          <w:color w:val="000000"/>
          <w:sz w:val="24"/>
          <w:u w:val="single"/>
        </w:rPr>
        <w:t>OSHA</w:t>
      </w:r>
      <w:r>
        <w:rPr>
          <w:color w:val="000000"/>
        </w:rPr>
        <w:t>”</w:t>
      </w:r>
      <w:r>
        <w:rPr>
          <w:rFonts w:ascii="Times New Roman;serif" w:hAnsi="Times New Roman;serif"/>
          <w:b w:val="false"/>
          <w:color w:val="000000"/>
          <w:sz w:val="24"/>
        </w:rPr>
        <w:t>) or any other health and/or safety laws, statutes, or regulations, the Uniformed Services Employment and Reemployment Rights Act (“</w:t>
      </w:r>
      <w:r>
        <w:rPr>
          <w:rFonts w:ascii="Times New Roman;serif" w:hAnsi="Times New Roman;serif"/>
          <w:b w:val="false"/>
          <w:color w:val="000000"/>
          <w:sz w:val="24"/>
          <w:u w:val="single"/>
        </w:rPr>
        <w:t>USERRA</w:t>
      </w:r>
      <w:r>
        <w:rPr>
          <w:color w:val="000000"/>
        </w:rPr>
        <w:t>”</w:t>
      </w:r>
      <w:r>
        <w:rPr>
          <w:rFonts w:ascii="Times New Roman;serif" w:hAnsi="Times New Roman;serif"/>
          <w:b w:val="false"/>
          <w:color w:val="000000"/>
          <w:sz w:val="24"/>
        </w:rPr>
        <w:t>), 38 U.S.C. §§ 4301-4333, the Employee Retirement Income Security Act of 1974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29 U.S.C. §§ 301, et seq., the Immigration Reform and Control Act of 1986, 8 U.S.C. §§ 1101, et seq., or the Internal Revenue Code of 1986, as amended, the Worker Adjustment and Retraining Notification Act; all claims arising under the Sarbanes-Oxley Act of 2002 (Public Law 107-204), including whistleblowing claims under 18 U.S.C. §§ 1513(e) and 1514A; the applicable state Wage and Hour Laws, and any and all other foreign, federal, state, or local laws, common law, or case law, including but not limited to all statutes, regulations, common law, and other laws in place in New York, New York. Notwithstanding anything in this Separation Agreement to the contrary, Executive is not releasing pursuant to this Separation Agreement any claims with respect to (i) Annual Salary due under the Employment Agreement through the date of termination, (ii) amounts payable pursuant to this Agreement, (iii) vested employee benefits or vested deferred compensation under VICI REIT’s and the Company’s applicable plans and arrangements, (iv) matters which cannot be released under applicable law, (v) indemnification by VICI REIT and the Company to the maximum extent pursuant to its by-laws, any indemnification agreement entered into between Executive and VICI REIT, and to third party directors’ and officers‘ liability or other insurance coverage, and/or (vi) any rights or claims arising out of events or circumstances that occur after Executive’s execution of this Separation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Executive acknowledges that there is a risk that after the execution of this Separation Agreement, Executive will incur or suffer damage, loss, or injury that is in some way caused by or connected with Executive’s employment with the Company or its Subsidiaries or Affiliates or Executive’s separation from the Company or its Subsidiaries or Affiliates, and any relationship with or membership or investment in the Company Releasees, but that is unknown or unanticipated at the time of execution of this Separation Agreement. Executive specifically assumes that risk, and agrees that this Separation Agreement and the Released Claims apply to all unknown or unanticipated, accrued or contingent claims and all matters caused by or connected with Executive’s employment with the Company or its Subsidiaries or Affiliates and/</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Executive’s separation from the Company or its Subsidiaries or Affiliates, as well as those claims currently known or anticipated. Executive acknowledges and agrees that this Separation Agreement constitutes a knowing and voluntary waiver of any and all rights and claims Executive does or may have as of the Separation Agreement Effective Date. Executive acknowledges that Executive has waived rights or claims pursuant to this Separation Agreement in exchange for consideration, the value of which exceeds payment or remuneration to which Executive otherwise would be entitled.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permitted by law, Executive agrees never to file a lawsuit or other adversarial proceeding with any court or arbitrator against VICI REIT, the Company or any other Company Releasee asserting any Released Claims. Executive represents and agrees that, prior to signing this Separation Agreement, Executive has not filed or pursued any complaints, charges, or lawsuits of any kind with any court, governmental or administrative agency, arbitrator, or other forum against VICI REIT, the Company or any of the other Company Releasees, asserting any claims whatsoever. Executive understands and acknowledges that, in the event Executive files an administrative charge or commences any proceeding with respect to any Released Claim, or in the event another person or entity does so in whole or in part on Executive’s behalf, Executive waives and is estopped from receiving any monetary award or other legal or equitable relief in connection with any such proceeding.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Executive represents and warrants that Executive has not assigned, transferred, or permitted the subrogation of any of Executive’s rights, claims, and/or causes of action, including any claims referenced in this Separation Agreement, or authorized any other person or entity to assert any such claim or claims on Executive’s behalf, and Executive agrees to indemnify and hold harmless VICI REIT and the Company against any assignment, transfer, or subrogation of said rights, claims, and/or causes of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color w:val="000000"/>
          <w:sz w:val="24"/>
          <w:u w:val="single"/>
        </w:rPr>
        <w:t>Survival</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following Sections of the Employment Agreement shall remain in full force and effect following the Termination Date: Section 3.2(c) (“Clawback”), Section 4 (“Termination of Employment”), Section 6 (“Non-Competition, Non-Solicitation, and Confidentiality; Certain Other Covenants”), Section 7 (“Litigation And Regulatory Cooperation”) Section 8 (“Dispute Resolution”), Section 10 (“Notice”) and Section 12 (“Benefits; Binding Effect; Assignment”). Any disputes arising in connection with this Separation Agreement or otherwise arising between any of Executive Releasors, on the one hand, and any of the Company Releasees, on the other hand, shall be resolved in accordance with Sections 6 and 8 of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color w:val="000000"/>
          <w:sz w:val="24"/>
          <w:u w:val="single"/>
        </w:rPr>
        <w:t>Tax Liability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expressly acknowledges that neither VICI REIT nor the Company nor its attorneys have made any representations to Executive regarding the tax consequences of the consideration provided to Executive pursuant to this Separation Agreement and the Employment Agreement. It is the intention of the parties to this Separation Agreement that no payments made under this Separation Agreement and/or the Employment Agreement be subject to the additional tax on deferred compensation imposed by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but neither VICI REIT nor the Company guarantees that any such payment complies with or is exempt from Code Section 409A. Each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made under this Separation Agreement or the Employment Agreement will be treated as a separate payment for purposes of Code Section 409A and the right to a series of installment payments under this Separation Agreement is to be treated as a right to a series of separate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color w:val="000000"/>
          <w:sz w:val="24"/>
          <w:u w:val="single"/>
        </w:rPr>
        <w:t>Knowing/Voluntary Waiver</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is entitled to consider the terms of this Separation Agreement for twenty-one (21) days before signing it. If Executive fails to execute this Separation Agreement within this twenty-one (21) day period, this Separation Agreement will be null and void and of no force or effect. To execute this Separation Agreement, Executive must sign and date the Separation Agreement below, and return a signed copy hereof to Attn: General Counsel, VICI Properties Inc., 535 Madison Avenue, New York, New York 10022, (phone): (646) 949-4631, via nationally recognized overnight carrier or email.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Executive may revoke this Separation Agreement within seven (7) days of Executive’s signing it by delivering a written notice of such revocation to Attn: General Counsel, VICI Properties Inc., 535 Madison Avenue, New York, New York 10022, (phone): (646) 949-4631, via nationally recognized overnight carrier or email. If Executive revokes this Separation Agreement within seven (7) days of signing it, this Separation Agreement and the promises contained herein automatically will be null and void. If Executive signs this Separation Agreement and does not revoke this Separation Agreement within seven (7) days of signing it, this Separation Agreement shall become binding, effective, and irrevocable on the eighth (8th) day after the Separation Agreement is executed by both parties (the “</w:t>
      </w:r>
      <w:r>
        <w:rPr>
          <w:rFonts w:ascii="Times New Roman;serif" w:hAnsi="Times New Roman;serif"/>
          <w:b w:val="false"/>
          <w:color w:val="000000"/>
          <w:sz w:val="24"/>
          <w:u w:val="single"/>
        </w:rPr>
        <w:t>Separation Agreement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Executive acknowledges that Executive (a) has carefully read this Separation Agreement and the Employment Agreement; (b) is competent to manage Executive’s own affairs; (c) fully understands the Separation Agreement’s and Employment Agreement’s contents and legal effect, and understands that Executive is giving up any legal claims Executive has against any of the Company Releasees, including but not limited to any and all legal rights or claims under the Age Discrimination in Employment Act of 1967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(29 U.S.C. § 626, as amended), and all other federal, state, foreign, and local laws regarding age discrimination, whether those claims are presently known or hereafter discovered; (d) has been advised to consult with an attorney of Executive’s choosing prior to signing this Separation Agreement, if Executive so desires; and (e) has chosen to enter into this Separation Agreement freely, without coercion, and based upon Executive’s own judgment, and that Executive has not relied upon any promises made by any of the Company Releasees, other than the promises explicitly contained in this Separation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Separation Agreement may be executed in counterparts, each of which shall be deemed an original, and both of which together shall constitute one and the same instrument. The section headings in this Separation Agreement are provided for convenience only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 affect the construction or interpretation of this Separation Agreement or the provisions 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in any way be construed as an admission that VICI REIT, the Company, Executive, or any other individual or entity has any liability to or acted wrongfully in any way with respect to Executive, VICI REIT, the Company, or any other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be construed against either Party, and no consideration shall be given or presumption made on the basis of who drafted the Separation Agreement or any particular provision hereof or who supplied the form of this Separation Agreement. In construing the Separation Agreement, (i) examples shall not be construed to limit, expressly or by implication, the matter they illustrate, (ii) the connectives “and,” “or,” and “and/or” shall be construed either disjunctively or conjunctively so as to construe a sentence or clause most broadly and bring within its scope all subject matter that might otherwise be construed to be outside of its scope; (iii) the word “includes” and its derivatives means “includes, but is not limited to” and corresponding derivative expressions, (iv) a defined term has its defined meaning throughout the Separation Agreement, whether it appears before or after the place where it is defined, and (v) the headings and titles herein are for convenience only and shall have no significance in the interpretation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agree that each of the Company Releasees is an intended third-party beneficiary of this Separation Agreement and shall have the authority to enforce the provisions applicable to it, her, or Executive in accordance with the terms of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Except as otherwise specifically provided herein, this Separation Agreement constitutes the entire agreement of the Parties with respect to the subject matter hereof, contains all the covenants, promises, representations, warranties, and agreements between the Parties with respect to Executive’s separation from VICI REIT and the Company and all positions therewith;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nothing in this Agreement shall supersede the Sections in the Employment Agreement identified in Paragraph 3 (“</w:t>
      </w:r>
      <w:r>
        <w:rPr>
          <w:rFonts w:ascii="Times New Roman;serif" w:hAnsi="Times New Roman;serif"/>
          <w:b w:val="false"/>
          <w:color w:val="000000"/>
          <w:sz w:val="24"/>
          <w:u w:val="single"/>
        </w:rPr>
        <w:t>Survival</w:t>
      </w:r>
      <w:r>
        <w:rPr>
          <w:color w:val="000000"/>
        </w:rPr>
        <w:t>”</w:t>
      </w:r>
      <w:r>
        <w:rPr>
          <w:rFonts w:ascii="Times New Roman;serif" w:hAnsi="Times New Roman;serif"/>
          <w:b w:val="false"/>
          <w:color w:val="000000"/>
          <w:sz w:val="24"/>
        </w:rPr>
        <w:t>) of this Separation Agreement. Any modification of this Separation Agreement will be effective only if it is in writing and signed by Executive and the General Counsel of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General Release on this ___ day of ____________.</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Edward Baltazar Pitoniak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10.40</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AMENDED AND RESTATED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February 25, 2026, (the “Effective Date”) by and between VICI Properties Inc. (“</w:t>
      </w:r>
      <w:r>
        <w:rPr>
          <w:rFonts w:ascii="Times New Roman;serif" w:hAnsi="Times New Roman;serif"/>
          <w:b w:val="false"/>
          <w:color w:val="000000"/>
          <w:sz w:val="24"/>
          <w:u w:val="single"/>
        </w:rPr>
        <w:t>VICI REIT</w:t>
      </w:r>
      <w:r>
        <w:rPr>
          <w:color w:val="000000"/>
        </w:rPr>
        <w:t>”</w:t>
      </w:r>
      <w:r>
        <w:rPr>
          <w:rFonts w:ascii="Times New Roman;serif" w:hAnsi="Times New Roman;serif"/>
          <w:b w:val="false"/>
          <w:color w:val="000000"/>
          <w:sz w:val="24"/>
        </w:rPr>
        <w:t>), VICI Properties L.P.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each with its principal place of business at 535 Madison Avenue, New York, New York 10022, and John W.R. Payne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amends and restates in its entirety the existing employment agreement by and between Executive and the Company dated September 25, 2019 (the “</w:t>
      </w:r>
      <w:r>
        <w:rPr>
          <w:rFonts w:ascii="Times New Roman;serif" w:hAnsi="Times New Roman;serif"/>
          <w:b w:val="false"/>
          <w:color w:val="000000"/>
          <w:sz w:val="24"/>
          <w:u w:val="single"/>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general partner of the Company, VICI Properties GP LLC, a Delaware limited liability company, is a wholly owned subsidiary of VICI REIT;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wishes to offer continued employment to Executive, and Executive wishes to accept such offer, on the terms set forth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Accordingly,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Term</w:t>
      </w:r>
      <w:r>
        <w:rPr>
          <w:rFonts w:ascii="Times New Roman;serif" w:hAnsi="Times New Roman;serif"/>
          <w:b w:val="false"/>
          <w:color w:val="000000"/>
          <w:sz w:val="24"/>
        </w:rPr>
        <w:t>. The Company hereby employs Executive, and Executive hereby accepts such employment, for a term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commencing as of the Effective Date and continuing until terminated in accordance with the provisions of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Executive shall be employed by the Company as President, Chief Operating Officer of the Company, and, as such, Executive shall report to the Chief Executive Officer of VICI REIT (the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The Executive may also hold such directorships and officerships in VICI REIT, the Company and any of their affiliates to which, from time to time, the Executive may be elected or appointed during the Term. Executive shall faithfully perform for the Company the duties of said office and shall perform such other duties of an executive, managerial or administrative nature as shall be specified and designated from time to time by the CEO, which duties shall not be materially inconsistent with the duties performed by executives holding similar offices with comparable companies. Executive shall devote substantially all of his business time and effort to the performance of his duties hereunder, except that Executive may devote reasonable time and attention to civic, charitable, business or social activities so long as such activities do not interfere with Executive’s employment duties. In addition, Executive will be permitted to serve, with the prior written consent of the CEO, as a member of the board of directors or advisory boards (or their equivalents, in the case of a non-corporate entity) of non-competing businesses. Executive shall comply with the policies, procedures, standards, and regulations established from time to time by the Company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Executive shall obtain and keep in full force and effect throughout the Term all gaming licenses or approvals necessary or appropriate for Executive’s position. During the Term, Executive’s services hereunder shall be performed by Executive in New Orleans, Louisiana; provided, that, Executive shall commute, as necessary or appropriate, to the Company’s headquarters location (currently in New York, NY) and provided, further that, Executive may be required, at the Company’s expense, to travel for business purposes during the Term of Employment. The Company shall, during the Term of Employment, provide appropriate and reasonable office facilities for the Executive and his assistant in New Orleans, Louisiana and shall pay for all compensation and costs and expenses related to Executive’s assistant.</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Salary</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Contract Year</w:t>
      </w:r>
      <w:r>
        <w:rPr>
          <w:color w:val="000000"/>
        </w:rPr>
        <w:t xml:space="preserve">” </w:t>
      </w:r>
      <w:r>
        <w:rPr>
          <w:rFonts w:ascii="Times New Roman;serif" w:hAnsi="Times New Roman;serif"/>
          <w:b w:val="false"/>
          <w:color w:val="000000"/>
          <w:sz w:val="24"/>
        </w:rPr>
        <w:t>shall mean each calendar year during the Term. The Company shall pay Executive a base salary at the rate of $1,200,000 per annum (as the same may be increased from time to time, the “</w:t>
      </w:r>
      <w:r>
        <w:rPr>
          <w:rFonts w:ascii="Times New Roman;serif" w:hAnsi="Times New Roman;serif"/>
          <w:b w:val="false"/>
          <w:color w:val="000000"/>
          <w:sz w:val="24"/>
          <w:u w:val="single"/>
        </w:rPr>
        <w:t>Annual Salary</w:t>
      </w:r>
      <w:r>
        <w:rPr>
          <w:color w:val="000000"/>
        </w:rPr>
        <w:t>”</w:t>
      </w:r>
      <w:r>
        <w:rPr>
          <w:rFonts w:ascii="Times New Roman;serif" w:hAnsi="Times New Roman;serif"/>
          <w:b w:val="false"/>
          <w:color w:val="000000"/>
          <w:sz w:val="24"/>
        </w:rPr>
        <w:t>), in accordance with the customary payroll practices of the Company applicable to senior executives, but not less frequently than monthly. The CEO shall review Executive’s base salary each Contract Year and may recommend to the Compensation Committee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 increase in such amount as he may deem advisable, and the Compensation Committee may approve or disapprove of any such recommended increase in its sole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Bonus and Incentive Compensation</w:t>
      </w:r>
      <w:r>
        <w:rPr>
          <w:rFonts w:ascii="Times New Roman;serif" w:hAnsi="Times New Roman;serif"/>
          <w:b w:val="false"/>
          <w:color w:val="000000"/>
          <w:sz w:val="24"/>
        </w:rPr>
        <w:t>. Executive will be entitled to participate in the Company’s annual bonus program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Executive shall be eligible to receive a bonus each Contract Year commencing with the 2026 Contract Year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with a target amount equal to 135% of Annual Salary (as the same may be increased from time to time,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and a maximum amount equal to 270% of Annual Salary (as the same may be increased from time to time, “</w:t>
      </w:r>
      <w:r>
        <w:rPr>
          <w:rFonts w:ascii="Times New Roman;serif" w:hAnsi="Times New Roman;serif"/>
          <w:b w:val="false"/>
          <w:color w:val="000000"/>
          <w:sz w:val="24"/>
          <w:u w:val="single"/>
        </w:rPr>
        <w:t>Maximum Bonus</w:t>
      </w:r>
      <w:r>
        <w:rPr>
          <w:color w:val="000000"/>
        </w:rPr>
        <w:t>”</w:t>
      </w:r>
      <w:r>
        <w:rPr>
          <w:rFonts w:ascii="Times New Roman;serif" w:hAnsi="Times New Roman;serif"/>
          <w:b w:val="false"/>
          <w:color w:val="000000"/>
          <w:sz w:val="24"/>
        </w:rPr>
        <w:t>). Executive’s Annual Bonus shall be based on performance goals for the applicable year, all of which shall be determined by the Compensation Committee, which also shall determine the levels of performance below which no bonus will be payable. The Annual Bonus shall be paid in cash on a date within the 74-day period commencing on January 1 of the year following the year in which the applicable performance period ends. The payment of any Annual Bonus following Executive’s termination of employment shall be as set forth in Section 4.</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Equity Incentive Awards</w:t>
      </w:r>
      <w:r>
        <w:rPr>
          <w:rFonts w:ascii="Times New Roman;serif" w:hAnsi="Times New Roman;serif"/>
          <w:b w:val="false"/>
          <w:color w:val="000000"/>
          <w:sz w:val="24"/>
        </w:rPr>
        <w:t>. Executive shall receive each Contract Year commencing with the 2020 Contract Year awards under VICI REIT’s equity incentive plan or such other plans or programs as the Compensation Committee shall determine with a target value, as determined by the Compensation Committee, of at least 125% of Annual Salary, unless prior to the grant date applicable to executive officers generally, Executive has provided notice of intent to retire or either party has otherwise provided notice of termination to the other.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 provision in this Agreement to the contrary, amounts payable hereunder shall be subject to clawback or disgorgement, to the extent applicable, under (A) the Policies or any claw-back policy adopted by VICI REIT or the Company, (B) the Dodd-Frank Wall Street Reform and Consumer Protection Act, as amended, and rules, regulations, and binding, published guidance thereunder, which legislation provides for the clawback and recovery of incentive compensation in the event of certain financial statement restatements and (C) the Sarbanes-Oxley Act of 2002. If pursuant to Section 10D of the Securities Exchange Act of 1934,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VICI REIT or any Company Affiliate (as defined below) would not be eligible for continued listing, if applicable, under Section 10D(a) of the Act if it (or they) did not adopt policies consistent with Section 10D(b) of the Act, then, in accordance with those policies that are so required, any incentive-based compensation payable to Executive under this Agreement or otherwise shall be subject to claw-</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back in the circumstances, to the extent, and in the manner, required by Section 10D(b)(2) of the Act, as interpreted by rules of the Securities Exchange Commission. Nothing in this provision is intended to supersede any existing or future claw-back provision adopted or amended by the Company, including, but not limited to the provision that may be set forth in VICI REIT’s equity incentive plan. For purposes of this Agreement a “</w:t>
      </w:r>
      <w:r>
        <w:rPr>
          <w:rFonts w:ascii="Times New Roman;serif" w:hAnsi="Times New Roman;serif"/>
          <w:b w:val="false"/>
          <w:color w:val="000000"/>
          <w:sz w:val="24"/>
          <w:u w:val="single"/>
        </w:rPr>
        <w:t>Company Affiliate</w:t>
      </w:r>
      <w:r>
        <w:rPr>
          <w:color w:val="000000"/>
        </w:rPr>
        <w:t xml:space="preserve">” </w:t>
      </w:r>
      <w:r>
        <w:rPr>
          <w:rFonts w:ascii="Times New Roman;serif" w:hAnsi="Times New Roman;serif"/>
          <w:b w:val="false"/>
          <w:color w:val="000000"/>
          <w:sz w:val="24"/>
        </w:rPr>
        <w:t>shall mean any individual or entity that directly or indirectly controls, is controlled by, or is under common control with VICI REIT or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Benefits</w:t>
      </w:r>
      <w:r>
        <w:rPr>
          <w:rFonts w:ascii="Times New Roman;serif" w:hAnsi="Times New Roman;serif"/>
          <w:b w:val="false"/>
          <w:color w:val="000000"/>
          <w:sz w:val="24"/>
        </w:rPr>
        <w:t>. Executive shall be permitted during the Term to participate in any group life, hospitalization or disability insurance plans, health programs, retirement plans, fringe benefit programs and similar benefits that may be available to other senior executives of VICI REIT or the Company generally, on the same terms as such other executives, in each case to the extent that Executive is eligible under the terms of such plans or programs. Executive shall be entitled to paid vacation in accordance with the normal vacation policies of the Company, as applicable to employees at Executive's level.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pay or reimburse Executive for all ordinary and reasonable out-of-pocket expenses incurred by Executive during the Term in the performance of Executive’s services under this Agreement; provided that such expenses are incurred and accounted for by Executive in accordance with the relevant Company Policies.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Indemnification Agreement; Directors and Officers Liability Insurance</w:t>
      </w:r>
      <w:r>
        <w:rPr>
          <w:rFonts w:ascii="Times New Roman;serif" w:hAnsi="Times New Roman;serif"/>
          <w:b w:val="false"/>
          <w:color w:val="000000"/>
          <w:sz w:val="24"/>
        </w:rPr>
        <w:t>. Executive and VICI REIT have entered into an Indemnification Agreement in the standard form used by VICI REIT for its directors and officers. Executive will continue to be covered by directors and officers liability insurance on the same basis as generally applied to VICI REIT’s directors and other officers.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Termination by the Company for Cause; Termination by Executive without Good Reason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Company shall have the right to terminate Executive’s employment for Cause. Upon the reasonable belief by the Board that Executive has committed an act (or has failed to act in a manner) which constitutes Cause, the Board may immediately suspend Executive from Executive’s duties herein and bar Executive from its premises during the period of the Company’s investigation of such acts (or failures to act) (the “</w:t>
      </w:r>
      <w:r>
        <w:rPr>
          <w:rFonts w:ascii="Times New Roman;serif" w:hAnsi="Times New Roman;serif"/>
          <w:b w:val="false"/>
          <w:color w:val="000000"/>
          <w:sz w:val="24"/>
          <w:u w:val="single"/>
        </w:rPr>
        <w:t>Investigation Period</w:t>
      </w:r>
      <w:r>
        <w:rPr>
          <w:color w:val="000000"/>
        </w:rPr>
        <w:t>”</w:t>
      </w:r>
      <w:r>
        <w:rPr>
          <w:rFonts w:ascii="Times New Roman;serif" w:hAnsi="Times New Roman;serif"/>
          <w:b w:val="false"/>
          <w:color w:val="000000"/>
          <w:sz w:val="24"/>
        </w:rPr>
        <w:t xml:space="preserve">) and any such suspension shall not be deemed to be a breach of this Agreement by the Company or the Executive and/or otherwise provide Executive a right to terminate Executive’s employment for Good Reason;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Company shall have the right to terminate Executive’s employment for Cause immediately and nothing in this Agreement shall require the Company to provide an Investigation Period or otherwise provide advance notice of termination for Cause, except to the extent that a cure period is available as provided for herein. To the extent that the events giving rise to Cause are, in the reasonable determination of the Board, able to be cured, the Company shall provide the Executive with written notice setting out the events giving rise to Cause and provide Executive with a 5-day period in which to cure such events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terminating Executive’s employment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Executive’s commission of, guilty plea or plea of no contest to, a felony or a misdemeanor (or its equivalent under applicable law),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conduct by Executive that constitutes fraud or embezzlement, or any acts of dishonesty in relation to Executive’s duties with VICI REIT or the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    Executive’s gross negligence, bad faith, or misconduct which causes either reputational or economic harm to VICI REIT the Company or any Company Affiliate, as determined by the Board in its sole discretion,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Executive’s willful refusal or failure to perform Executive’s duties hereunder, as determined by the Board in its sole discretion,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    Executive’s refusal or failure to perform any reasonable directive of VICI REIT or the Company,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    Executive’s knowing misrepresentation of any material fact that the Company reasonably requests,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(vii)    Executive being found unsuitable for, or having been denied, a gaming license, or having such license revoked by a gaming regulatory authority in any jurisdiction in which the Company or any Company Affiliate conducts operations,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    Executive’s violation, as determined by the Board, of any securities, gaming, or employment laws, rules, or regulations,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(ix)    Executive’s breach of Executive’s obligations under this Agreement or violation of the Policies, as determined by the Board in its sole discretion.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clause (iii) above, an act or omission shall not be deemed to be bad faith or misconduct if taken or omitted in the good faith belief that such act or omission was in, or not opposed to, the best interests of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may terminate Executive’s employment hereunder for Cause as set forth above, and Executive may, upon 90 days prior written notice to the Company, terminate his employment at any time. If the Company terminates Executive’s employment for Cause, or Executive terminates his employment and the termination by Executive is not covered by Section 4.3 or 4.4, then (i) within ten (10) business days following such termination, the Company shall pay to Executive any unpaid Annual Salary earned through the date of termination, (ii) within thirty (30) days following such termination or submission of documentation of such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whichever is later, the Company shall reimburse Executive pursuant to Section 3.4 for reasonable expenses incurred but not paid prior to such termination of employment, and (iii) the Company shall provide to Executive other or additional benefits (if any), in accordance with the then-applicable terms of any then-applicable plan, program, agreement or other arrangement of any of the Company or any Company Affiliates in which Executive participates (the rights, including the time of payment, described in sub-clauses (i), (ii), and (iii) are collectively referred to as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Executive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Termination upon Death or Disability</w:t>
      </w:r>
      <w:r>
        <w:rPr>
          <w:rFonts w:ascii="Times New Roman;serif" w:hAnsi="Times New Roman;serif"/>
          <w:b w:val="false"/>
          <w:color w:val="000000"/>
          <w:sz w:val="24"/>
        </w:rPr>
        <w:t>. If Executive dies during the Term, the obligations of the Company to or with respect to Executive shall terminate in their entirety except as otherwise provided under this Section 4.2. If Executive becomes “disabled” (defined for purposes of this Agreement, if Executive by virtue of ill health or other disability is unable to perform substantially the duties assigned to him for at least 90 consecutive or non-consecutive days out of any consecutive 12-month period), the Company shall have the right, to the extent permitted by law (including under the Americans with Disabilities Act), to terminate the employment of Executive upon notice in writing to Executive. Upon death or termination of employment by virtue of disability in accordance with this Section 4.2, Executive (or Executive’s estate or beneficiaries in the case of the death of Executive) shall have no right to receive any compensation or benefits hereunder on and after the effective date of the termination of employment other than: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Accrued Obligations, as set forth in Section 4.1;</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any Annual Bonus earned for the Contract Year prior to the year of termination but not yet paid, which shall be paid at the date such Annual Bonus would have been paid had Executive’s employment not been terminated (any such entitlement, including the payment date, an “</w:t>
      </w:r>
      <w:r>
        <w:rPr>
          <w:rFonts w:ascii="Times New Roman;serif" w:hAnsi="Times New Roman;serif"/>
          <w:b w:val="false"/>
          <w:color w:val="000000"/>
          <w:sz w:val="24"/>
          <w:u w:val="single"/>
        </w:rPr>
        <w:t>Accrued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a cash payment equal to the prorated portion (based on the number of complete months employed during the Contract Year) of the Annual Bonus that Executive would have received had his employment not been terminated (based on the actual level of achievement of the applicable performance goals) for the Contract Year in which Executive’s employment hereunder terminates, payable at such time as the Annual Bonus would have been paid had Executive’s employment not been terminated, provided, however, that Executive shall not receive the Pro-Rata Bonus if the Company does not pay bonuses to employees generally for such Contract Year (such entitlement, including the payment date,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elimination of any time-based vesting conditions on each outstanding unvested restricted stock, stock option or other equity award in VICI REIT or the Company that Executive had been granted and which Executive then continues to hold;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the extent that any of Executive’s vested equity awards are subject to a restriction on transfer within a specified period following vesting, such restriction shall be lifted.</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 the case of a termination of Executive by virtue of disability, the compensation and benefits described in clauses (B) through (E), above, will be conditioned on Executive’s delivery of a separation agreement and release in the form attached hereto as Exhibit A (with such changes as may be necessary due to applicable law)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which Separation Agreement shall have become irrevocable. Executive (or, in the case of his death, his estate and beneficiaries)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Termination by the Company without Cause or by Executive for Good Reason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Agreement, Executive shall have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to terminate Executive’s employment if, (i) within thirty (30) days after Executive knows (or has reason to know) of the occurrence of any of the following events, Executive provides written notice to the Company requesting that it cure such event, (ii) the Company fails to cure such event, if curable, within sixty (60) days following such notice, except as set forth below, and, (iii) within ten (10) days after the expiration of such cure period, Executive terminates his employment: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a reduction in Executive’s Annual Salary or Target Bonus or Maximum Bonus opportunity or failure to pay compensation due under this Agreement, which reduction only may be cured within thirty (30) days following written notice by Executive;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a material diminution in Executive’s duties or responsibilities or the assignment to Executive of duties materially inconsistent with Executive's positions, titles, offices, duties, or responsibilities with VICI REIT or the Company (not including any Investigation Period), which diminution or assignment only may be cured within thirty (30) days following written notice by Executive;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relocation of Executive’s principal business office to any location outside of New Orleans, Louisiana;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any other material breach by VICI REIT or the Company of any of its obligations to the Executive under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If the Company terminates Executive’s employment and the termination is not covered by Section 4.1, 4.2 or 4.4, or if Executive terminates his employment for Good Reason, the following shall apply: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Subject to Executive’s delivery of a Separation Agreement, which Separation Agreement shall have become irrevocable, and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Executive’s compliance with the covenants set forth in Section 6, Executive (or Executive’s estate or beneficiaries in the case of Executive’s death)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125% of the sum of (i) Executive’s Annual Salary (without any proration) and (ii) Executive’s Annual Bonus at the target level for the Contract Year in which Executive’s employment hereunder terminates (without any proration), payable in equal installments over a 12-month period in accordance with the Company’s usual and customary payroll practices;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    a cash payment of $27,500;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a pro-rata portion (based on the number of complete months employed during the applicable performance period and applied separately to each performance goal, to the extent applicable) of outstanding unvested equity awards that are subject to performance-based vesting conditions (whether or not in tandem with time-based vesting conditions) will not be forfeited as of such termination of employment but will continue to be outstanding until the end of the applicable performance period, at which time they may vest to the extent the applicable performance goals have been achieved;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(G)    to the extent that Executive holds outstanding vested stock options as of the termination of employment (including to the extent vested pursuant to clause (E) above), such stock options shall remain exercisable until the date six months after the effective date of such termination of employment, or the option expiration date, if earlier; and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(iii)    Subject to Section 4.5, amounts payable pursuant to clause (C) of Section 4.3(b)(ii) shall commence, and the amount payable pursuant to clause (D) of Section 4.3(b)(ii) shall be paid, on the 74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from service (the “</w:t>
      </w:r>
      <w:r>
        <w:rPr>
          <w:rFonts w:ascii="Times New Roman;serif" w:hAnsi="Times New Roman;serif"/>
          <w:b w:val="false"/>
          <w:color w:val="000000"/>
          <w:sz w:val="24"/>
          <w:u w:val="single"/>
        </w:rPr>
        <w:t>Payment Commencement Date”</w:t>
      </w:r>
      <w:r>
        <w:rPr>
          <w:rFonts w:ascii="Times New Roman;serif" w:hAnsi="Times New Roman;serif"/>
          <w:b w:val="false"/>
          <w:color w:val="000000"/>
          <w:sz w:val="24"/>
        </w:rPr>
        <w:t>), provided Executive has delivered the Separation Agreement to the Employer and such Separation Agreement has become irrevocable, and provided, further, that the first such payment with respect to clause (C) shall be equal to the amount that would have been payable under such clauses between the date of termination and the Payment Commencement Date had such payments commenced at the separation from service.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Termination by the Company without Cause or by Executive for Good Reason in Connection with a Change in Control</w:t>
      </w:r>
      <w:r>
        <w:rPr>
          <w:rFonts w:ascii="Times New Roman;serif" w:hAnsi="Times New Roman;serif"/>
          <w:b w:val="false"/>
          <w:color w:val="000000"/>
          <w:sz w:val="24"/>
        </w:rPr>
        <w:t>. If the Company terminates Executive’s employment and the termination is not covered by Section 4.1 or 4.2, or if Executive terminates his employment for Good Reason, and the date of notice of such termination of employment is either within six months before or twelve months after a Change in Control, as defined below, the following shall apply in lieu of the provisions of Section 4.3(b):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Subject to Executive’s delivery of a Separation Agreement, which shall have become irrevocable, and subject to Executive’s compliance with the covenants set forth in Section 6, Executive (or Executive’s estate or beneficiaries in the case of the death of Executive)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 assuming achievement of all performance goals at target and regardless of whether the Company pays bonuses to employees generally for such Contract Year;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175% of the sum of (i) Executive’s Annual Salary (without any proration) and (ii) Executive’s Annual Bonus at the target level for the Contract Year in which Executive’s employment hereunder terminates (without any proration), payable in a lump sum (except to the extent that Section 409A of the Code requires such amount to be paid on the installment schedule described in Section 4.3(b)(ii)(C));</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a cash payment of $40,000;</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(F)    all performance-based equity will remain outstanding and eligible to vest, subject solely to achievement of the applicable performance goals prorated through the date of termination;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to the extent that Executive holds outstanding stock options as of the termination of employment, such stock options shall remain exercisable until the date six months after the effective date of such termination of employment, or the option expiration date, if earlier; and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Subject to Section 4.5 and unless otherwise provided herein, amounts payable pursuant to clauses (B), (C) and (D) of Section 4.4(ii) shall be paid on the Payment Commencement Date, provided Executive has delivered the Separation Agreement to the Employer and such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For purposes of this Agreement, a “Change in Control” 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any transaction or group of related transactions (whether a merger, consolidation, sale or otherwise) pursuant to which any Person, as defined below, (in any case, excluding the Company and any Company Affiliate) or group (within the meaning of Section 13(d)(3) of the Exchange Act) of such Persons acting together pursuant to which such Person or group of Persons acquires a majority of the aggregate voting power of the capital stock ordinarily entitled to elect directors of VICI REIT;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    any disposition in one transaction or a series of related transactions, of all or substantially all of the assets of VICI REIT and its Subsidiaries (which shall be defined to include any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corporation, partnership, limited liability company or other entity of which more than 50% of the economic interest in such entity is owned directly or indirectly by VICI REIT or another subsidiary of VICI REIT), determined on a consolidated basis, to any Person or Persons (in any case, excluding the Company and any Company Affiliate);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within a 12-month period, a majority of the members of the Board cease to be Continuing Directors; as used herein, a “Continuing Director” means any member of the Board who was a member of such Board on the date hereof; provided that any person becoming a director subsequent to such date whose election or nomination for election was supported by a majority of the directors who then comprised the Continuing Directors shall be considered to be a Continuing Director.</w:t>
      </w:r>
    </w:p>
    <w:p>
      <w:pPr>
        <w:pStyle w:val="TextBody"/>
        <w:bidi w:val="0"/>
        <w:spacing w:lineRule="auto" w:line="288" w:before="0" w:after="240"/>
        <w:jc w:val="left"/>
        <w:rPr/>
      </w:pPr>
      <w:r>
        <w:rPr>
          <w:rFonts w:ascii="Times New Roman;serif" w:hAnsi="Times New Roman;serif"/>
          <w:b w:val="false"/>
          <w:color w:val="000000"/>
          <w:sz w:val="24"/>
        </w:rPr>
        <w:t>For the purposes hereof, the term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 individual, partnership, corporation, limited liability company, association, joint stock company, trust, joint venture, unincorporated organization, association or other entity or a governmental entity. Notwithstanding the foregoing, to the extent that a Change in Control is the basis for a payment that is subject to Section 409A of the Code, a Change in Control shall be deemed to occur with respect to such payment only if a change in the ownership or effective control of VICI REIT or a change in the ownership of a substantial portion of the assets of VICI REIT shall also be deemed to have occurred under Section 409A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Delay in Payment to a Specified Employee</w:t>
      </w:r>
      <w:r>
        <w:rPr>
          <w:rFonts w:ascii="Times New Roman;serif" w:hAnsi="Times New Roman;serif"/>
          <w:b w:val="false"/>
          <w:color w:val="000000"/>
          <w:sz w:val="24"/>
        </w:rPr>
        <w:t>. If Executive is a “specified employee” within the meaning of Treasury Regulation Section 1.409A-1(i) as of the date of Executive’s separation from service, the provisions of this Section 4.5 shall apply, but only if and to the extent required to avoid the imputation of any tax, penalty or interest pursuant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and interpretive guidance promulgated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No distribution shall be made to Executive under Section 4.2, 4.3 or 4.4 of this Agreement before the date that is six months after his separation from service or, if earlier, the date of Executive’s death. Any amounts otherwise payable to Executive upon or in the six month period following Executive’s separation from service that are not so paid by reason of this Section 4.5 shall be paid (without interest) as soon as practicable (and in all events within 10 days) after the date that is six months after Executive’s separation from service (or, if earlier, as soon as practicable, and in all events within 10 days, after the date of Executive’s death).</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that the payments and benefits (the “</w:t>
      </w:r>
      <w:r>
        <w:rPr>
          <w:rFonts w:ascii="Times New Roman;serif" w:hAnsi="Times New Roman;serif"/>
          <w:b w:val="false"/>
          <w:color w:val="000000"/>
          <w:sz w:val="24"/>
          <w:u w:val="single"/>
        </w:rPr>
        <w:t>Payments</w:t>
      </w:r>
      <w:r>
        <w:rPr>
          <w:color w:val="000000"/>
        </w:rPr>
        <w:t>”</w:t>
      </w:r>
      <w:r>
        <w:rPr>
          <w:rFonts w:ascii="Times New Roman;serif" w:hAnsi="Times New Roman;serif"/>
          <w:b w:val="false"/>
          <w:color w:val="000000"/>
          <w:sz w:val="24"/>
        </w:rPr>
        <w:t>) paid or provided to Executive under this Agreement or otherwise (a) constitute “parachute payments” within the meaning of Section 280G of the Code (“</w:t>
      </w:r>
      <w:r>
        <w:rPr>
          <w:rFonts w:ascii="Times New Roman;serif" w:hAnsi="Times New Roman;serif"/>
          <w:b w:val="false"/>
          <w:color w:val="000000"/>
          <w:sz w:val="24"/>
          <w:u w:val="single"/>
        </w:rPr>
        <w:t>Section 280G</w:t>
      </w:r>
      <w:r>
        <w:rPr>
          <w:color w:val="000000"/>
        </w:rPr>
        <w:t>”</w:t>
      </w:r>
      <w:r>
        <w:rPr>
          <w:rFonts w:ascii="Times New Roman;serif" w:hAnsi="Times New Roman;serif"/>
          <w:b w:val="false"/>
          <w:color w:val="000000"/>
          <w:sz w:val="24"/>
        </w:rPr>
        <w:t>), and (b) but for this Section 5, would be subject to the excise tax imposed by Section 4999 of the Code (“</w:t>
      </w:r>
      <w:r>
        <w:rPr>
          <w:rFonts w:ascii="Times New Roman;serif" w:hAnsi="Times New Roman;serif"/>
          <w:b w:val="false"/>
          <w:color w:val="000000"/>
          <w:sz w:val="24"/>
          <w:u w:val="single"/>
        </w:rPr>
        <w:t>Section 4999</w:t>
      </w:r>
      <w:r>
        <w:rPr>
          <w:color w:val="000000"/>
        </w:rPr>
        <w:t>”</w:t>
      </w:r>
      <w:r>
        <w:rPr>
          <w:rFonts w:ascii="Times New Roman;serif" w:hAnsi="Times New Roman;serif"/>
          <w:b w:val="false"/>
          <w:color w:val="000000"/>
          <w:sz w:val="24"/>
        </w:rPr>
        <w:t xml:space="preserve">), then the Payments shall be either (x) delivered in full, or (y) delivered as to such lesser extent which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would result in no portion of the Payments being subject to excise tax under Section 4999, whichever of the foregoing amounts, taking into account the applicable federal, state and local income taxes and the excise tax imposed by Section 4999, results in the receipt by Executive on an after-tax basis of the greatest amount of the Payments, notwithstanding that all or some portion of the Payments may be taxable under Section 4999. The provisions of this Section 5 shall apply if, at the time of any change in ownership or control of VICI REIT (within the meaning of Section 280G), VICI REIT is an entity whose stock is readily tradable on an established securities market (or otherwise), within the meaning of Section 280G.</w:t>
      </w:r>
    </w:p>
    <w:p>
      <w:pPr>
        <w:pStyle w:val="TextBody"/>
        <w:bidi w:val="0"/>
        <w:spacing w:lineRule="auto" w:line="288" w:before="0" w:after="240"/>
        <w:ind w:left="0" w:right="0" w:firstLine="144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Accountants’ Determinations</w:t>
      </w:r>
      <w:r>
        <w:rPr>
          <w:rFonts w:ascii="Times New Roman;serif" w:hAnsi="Times New Roman;serif"/>
          <w:b w:val="false"/>
          <w:color w:val="000000"/>
          <w:sz w:val="24"/>
        </w:rPr>
        <w:t>. Unless VICI REIT, the Company and Executive otherwise agree in writing, any determination required under this Section 5 shall be made in writing by VICI REIT’s independent public accountants (the “</w:t>
      </w:r>
      <w:r>
        <w:rPr>
          <w:rFonts w:ascii="Times New Roman;serif" w:hAnsi="Times New Roman;serif"/>
          <w:b w:val="false"/>
          <w:color w:val="000000"/>
          <w:sz w:val="24"/>
          <w:u w:val="single"/>
        </w:rPr>
        <w:t>Accountants</w:t>
      </w:r>
      <w:r>
        <w:rPr>
          <w:color w:val="000000"/>
        </w:rPr>
        <w:t>”</w:t>
      </w:r>
      <w:r>
        <w:rPr>
          <w:rFonts w:ascii="Times New Roman;serif" w:hAnsi="Times New Roman;serif"/>
          <w:b w:val="false"/>
          <w:color w:val="000000"/>
          <w:sz w:val="24"/>
        </w:rPr>
        <w:t>) immediately prior to the transaction described in Section 280G(b)(2)(A)(i) of the Code, whose determination shall be conclusive and binding upon Executive, VICI REIT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 280G and Section 4999. VICI REIT, the Company and Executive shall furnish to the Accountants such information and documents as the Accountants may reasonably request in order to make a determination under this Section 5. The Company shall bear all costs the Accountants may reasonably incur in connection with any calculations contemplated by this Section 5. If a reduction in the Payments constituting “parachute payments” as defined in Section 280G is necessary so that benefits are delivered to a lesser extent, reduction will occur in the following order: (a) reduction of the cash payments and (b) cancellation of accelerated vesting of equity awards. In the event that the accelerated vesting of equity awards is to be cancelled, such vesting acceleration shall be cancelled in the reverse chronological order of Executive’s equity awards’ grant dates.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Non-Competition, Non-Solicitation, and Confidentiality; Certain Other Covenants</w:t>
      </w:r>
      <w:r>
        <w:rPr>
          <w:rFonts w:ascii="Times New Roman;serif" w:hAnsi="Times New Roman;serif"/>
          <w:b w:val="false"/>
          <w:color w:val="000000"/>
          <w:sz w:val="24"/>
        </w:rPr>
        <w:t xml:space="preserve">. Executive acknowledges that: (i) as a result of Executive’s employment by the Company, Executive has obtained and will obtain Confidential Information (as defined below); (ii) the Confidential Information has been developed and created by the Company and Company Affiliates at substantial expense and the Confidential Information constitutes valuable proprietary assets of the Company; (iii) the Company and the Company Affiliates will suffer substantial damage and irreparable harm which will be difficult to compute if, during the Term or thereafter, Executive should violate the provisions of this Section 6; (iv) the nature of the Company’s and the Company Affiliates’ business is such that it can be conducted anywhere in the world and is not limited to a geographic scope or region; (v) the Company and the Company Affiliates will suffer substantial damage which will be difficult to compute if, during the Term or thereafter, Executive should solicit or interfere with the Company’s or the Company Affiliates’ employees, clients, or customers in violation of the provisions of this Section 6 or should divulge Confidential Information relating to the business of the Company or the Company Affiliates; (vi) the provisions of this Agreement are reasonable and necessary for the protection of the business of the Company and the Company Affiliates; (vii) the Company would not have hired or continued to employ Executive or grant the benefits contemplated under this Agreement unless Executive agreed to be bound by the terms hereof; and (viii) the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will not preclude Executive from other gainful employment following Executive’s termination from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Disclosure of Confidential Information</w:t>
      </w:r>
      <w:r>
        <w:rPr>
          <w:rFonts w:ascii="Times New Roman;serif" w:hAnsi="Times New Roman;serif"/>
          <w:b w:val="false"/>
          <w:color w:val="000000"/>
          <w:sz w:val="24"/>
        </w:rPr>
        <w:t>. Executive acknowledges that the Company will provide Executive with confidential and proprietary information regarding the business in which the Company and Company Affiliates are involved, and the Company and the Company Affiliates will provide Executive with trade secrets of the Company and the Company Affiliates (hereinafter all such confidential information and trade secrets referred to as the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For purposes of this Agreement, “Confidential Information” includes, but is not limited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Information related to the business of the Company and the Company Affiliates, including but not limited to marketing strategies and plans, operating policies and procedures, business and strategic plans, finances, financial management systems, financial statements and projections, accounting and tax positions and procedures, organizational charts, salary and benefit programs, and other business and financial information of the Company and the Company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Information regarding the tenants, borrowers, and financing partners of the Company and the Company Affiliates (collectively, “P</w:t>
      </w:r>
      <w:r>
        <w:rPr>
          <w:rFonts w:ascii="Times New Roman;serif" w:hAnsi="Times New Roman;serif"/>
          <w:b w:val="false"/>
          <w:color w:val="000000"/>
          <w:sz w:val="24"/>
          <w:u w:val="single"/>
        </w:rPr>
        <w:t>artners</w:t>
      </w:r>
      <w:r>
        <w:rPr>
          <w:color w:val="000000"/>
        </w:rPr>
        <w:t>”</w:t>
      </w:r>
      <w:r>
        <w:rPr>
          <w:rFonts w:ascii="Times New Roman;serif" w:hAnsi="Times New Roman;serif"/>
          <w:b w:val="false"/>
          <w:color w:val="000000"/>
          <w:sz w:val="24"/>
        </w:rPr>
        <w:t>) which Executive acquired as a result of his employment with the Company, including but not limited to, confidential agreements or contracts, work performed for Partners, Partner contacts, Partner requirements and needs, data used by the Company and the Company Affiliates to formulate Partner proposals, Partners’ financial information and other information regarding the Partners’ respective businesses;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Information regarding the vendors of the Company and the Company Affiliates which Executive acquired as a result of his employment with the Company, including but not limited to, product and service information and other information regarding the business activities of such vendors;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Training materials developed by and utilized by the Company and the Company Affiliates;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Any other information which Executive acquired as a result of his employment with the Company and which Executive has a reasonable basis to believe the Company or the Company Affiliates, as the case may be, would not want disclosed to a business competitor or to the general public;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Information which:</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is proprietary to, about or created by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gives the Company or any of the Company Affiliates some competitive advantage, the opportunity of obtaining such advantage or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disclosure of which could be detrimental to the interests of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is not typically disclosed to non-executives by the Company or otherwise is treated as confidential by the Company or the Company Affiliates;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is designated as Confidential Information by the Company or the Company Affiliates or from all the relevant circumstances should reasonably be assumed by Executive to be confidential to the Company or any Company Affiliates;</w:t>
      </w:r>
    </w:p>
    <w:p>
      <w:pPr>
        <w:pStyle w:val="TextBody"/>
        <w:bidi w:val="0"/>
        <w:spacing w:lineRule="auto" w:line="288" w:before="0" w:after="240"/>
        <w:jc w:val="left"/>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Confidential Information shall not include information which at the time of receipt or thereafter becomes publicly known or is obtainable in the public domain, in either case through no wrongful act of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Covenant Not to Compete</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the disclosure of Confidential Information to Executive, Executive shall not, directly or indirectly, for compensation or otherwise, engage in or have any interest in (i) Gaming and Leisure Properties, Inc. and its Subsidiaries and Affiliates, and (ii) any sole proprietorship, partnership, corporation, company, association, business or any other person or entity (whether as an employee, officer, corporation, business or any creditor, consultant or otherwise) that, directly or indirectly, competes with the Company’s “Business” (as defined below) in any and all states in which the Company or any Company Affiliate conducts such business or within 100 miles of any location where the Company or any Company Affiliate conducts such business while Executive is employed by the Company or any Company Affiliate and, with respect to the period following the termination of Executive’s employment, within the two-year period preceding such termination of employment; provided, however, Executive may continue to hold securities of the Company or any Company Affiliate or continue to hold or acquire, solely as an investment, shares of capital stock or other equity securities of any company if (a) he currently holds an interest in such stock or other securities, and before the date hereof has disclosed to the Board in detail (i) the applicable company (or companies) and (ii) the specific stock or other equity securities of the entity he owns, or (b) the stock or other securities are traded on any national securities exchange or are regularly quoted in the over-the-counter market, so long as Executive does not control, acquire a controlling interest in, or become a member of a group which exercises direct or indirect control of more than 1% of any class of capital stock of such entity (other than through an investment in any mutual, private equity or hedge fund or similar pooled investment vehicle). For purposes of this Agreement, the Company’s “</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is defined as the ownership or operation of a Real Estate Investment Trust that invests in lines of business in which VICI REIT or the Company invests or in which VICI REIT or the Company has active plans to invest as of the date Executive’s employment terminates, and such other businesses conducted by the Company or any Company Affiliate after the date hereof, and from time to time during the Term or such other businesses that the Company or any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Affiliate had active plans to engage in as of the date Executive’s employment terminates. For the avoidance of doubt, the operation or management of casino or gaming facilities shall not be deemed to, directly or indirectly, compete with the Company’s “Business” (even if the Company owns a direct or indirect interest in a gaming operator through a taxable REIT subsidiary in the future).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Non-Solicitation of Certain Persons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business or other entity, solicit, attempt to contract with, or enter into a contractual or business relationship of any kind pertaining to any aspect of the Company’s Business, or any other business conducted by the Company or any Company Affiliate at the time of termination of employment or at any time in the prior 12-month period, with any person or entity with which the Company or any Company Affiliate has any contractual or business relationship of a material operating or strategic nature or in the previous 12 months has engaged in negotiations toward such a relationship.</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or other entity, either (a) hire, attempt to employ, contact with respect to hiring, solicit with respect to hiring or enter into any contractual arrangement with any employee or former employee of the Company or any Company Affiliate, or (b) induce or otherwise advise or encourage any employee of the Company or any Company Affiliate to leave his or her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6.5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Subject to Sections 6.6 and 6.10, while employed by the Company and after Executive’s employment terminates for any reason, in consideration of the obligations of VICI REIT and the Company hereunder, including without limitation its disclosure of Confidential Information to Executive, Executive shall keep secret and retain in strictest confidence, shall not disclose to any third-party, and shall not use for his benefit or the benefit of others, except in connection with the business affairs of the Company or any Company Affiliate (collectively, the “</w:t>
      </w:r>
      <w:r>
        <w:rPr>
          <w:rFonts w:ascii="Times New Roman;serif" w:hAnsi="Times New Roman;serif"/>
          <w:b w:val="false"/>
          <w:color w:val="000000"/>
          <w:sz w:val="24"/>
          <w:u w:val="single"/>
        </w:rPr>
        <w:t>Benefited Persons</w:t>
      </w:r>
      <w:r>
        <w:rPr>
          <w:color w:val="000000"/>
        </w:rPr>
        <w:t>”</w:t>
      </w:r>
      <w:r>
        <w:rPr>
          <w:rFonts w:ascii="Times New Roman;serif" w:hAnsi="Times New Roman;serif"/>
          <w:b w:val="false"/>
          <w:color w:val="000000"/>
          <w:sz w:val="24"/>
        </w:rPr>
        <w:t xml:space="preserve">), any Confidential Information unless such disclosure is required by a valid subpoena or other legal mandate or otherwise by rule of law or other valid order of a court or government body or agency or in any litigation between the Executive and any Benefited Person. In the event disclosure is so required, Executive shall provide the Company with written notice within three (3) days of receiving such subpoena or other order if legally permitted to do so, and shall cooperate with VICI REIT and the Company in seeking an appropriate protective order and in attempting to keep such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confidential to the maximum extent possible. Executive agrees to promptly deliver to the Company upon request the originals and all copies, in whatever medium, of all such Confidential Information in Executive’s possession, custody or control.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6.6 </w:t>
      </w:r>
      <w:r>
        <w:rPr>
          <w:rFonts w:ascii="Times New Roman;serif" w:hAnsi="Times New Roman;serif"/>
          <w:b w:val="false"/>
          <w:color w:val="000000"/>
          <w:sz w:val="24"/>
          <w:u w:val="single"/>
        </w:rPr>
        <w:t>Permitted Uses of Trade Secrets</w:t>
      </w:r>
      <w:r>
        <w:rPr>
          <w:rFonts w:ascii="Times New Roman;serif" w:hAnsi="Times New Roman;serif"/>
          <w:b w:val="false"/>
          <w:color w:val="000000"/>
          <w:sz w:val="24"/>
        </w:rPr>
        <w:t>. Misappropriation of a trade secret of the Company or any Company Affiliate in breach of this Agreement may subject Executive to liability under the Defend Trade Secrets Act of 2016 (the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Company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6.7 </w:t>
      </w:r>
      <w:r>
        <w:rPr>
          <w:rFonts w:ascii="Times New Roman;serif" w:hAnsi="Times New Roman;serif"/>
          <w:b w:val="false"/>
          <w:color w:val="000000"/>
          <w:sz w:val="24"/>
          <w:u w:val="single"/>
        </w:rPr>
        <w:t>Tangible Items</w:t>
      </w:r>
      <w:r>
        <w:rPr>
          <w:rFonts w:ascii="Times New Roman;serif" w:hAnsi="Times New Roman;serif"/>
          <w:b w:val="false"/>
          <w:color w:val="000000"/>
          <w:sz w:val="24"/>
        </w:rPr>
        <w:t>. All files, records, documents, manuals, books, forms, reports, memoranda, studies, data, calculations, recordings, or correspondence, whether visually perceptible, machine-readable or otherwise, in whatever form they may exist, and all copies, abstracts and summaries of the foregoing, and all physical items related to the business of the Company or any Company Affiliate, whether of a public nature or not, and whether prepared by Executive or not, are and shall remain the exclusive property of the Company or any Company Affiliate, as applicable, and shall not be removed from its premises, except as required in the course of Executive’s employment by the Company, without the prior written consent of the Company. Such items, including any copies or other reproductions thereof, shall be promptly returned by Executive to the Company at any time upon the written request of the Company and in all events upon termination of his employment (or, if requested by the Company, destroyed by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6.8 </w:t>
      </w:r>
      <w:r>
        <w:rPr>
          <w:rFonts w:ascii="Times New Roman;serif" w:hAnsi="Times New Roman;serif"/>
          <w:b w:val="false"/>
          <w:color w:val="000000"/>
          <w:sz w:val="24"/>
          <w:u w:val="single"/>
        </w:rPr>
        <w:t>Remedies</w:t>
      </w:r>
      <w:r>
        <w:rPr>
          <w:rFonts w:ascii="Times New Roman;serif" w:hAnsi="Times New Roman;serif"/>
          <w:b w:val="false"/>
          <w:color w:val="000000"/>
          <w:sz w:val="24"/>
        </w:rPr>
        <w:t>. VICI REIT, the Company and Executive acknowledge and agree that a breach by Executive of any of the covenants contained in this Section 6 will cause immediate and irreparable harm and damage to the Company and the Company Affiliates, and that monetary damages will be inadequate to compensate the Company and the Company Affiliates, as the case may be, for such breach. Accordingly, Executive acknowledges that the Company and the Company Affiliates shall, in addition to any other remedies available to it at law or in equity, be entitled to an injunction from any court of competent jurisdiction enjoining and restraining any violation of said covenants by Executive or any of his affiliates, associates, partners or agents, either directly or indirectly, without the necessity of posting a bond, or proving the inadequacy of legal remedies or irreparable harm.</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6.9 </w:t>
      </w:r>
      <w:r>
        <w:rPr>
          <w:rFonts w:ascii="Times New Roman;serif" w:hAnsi="Times New Roman;serif"/>
          <w:b w:val="false"/>
          <w:color w:val="000000"/>
          <w:sz w:val="24"/>
          <w:u w:val="single"/>
        </w:rPr>
        <w:t>Modification</w:t>
      </w:r>
      <w:r>
        <w:rPr>
          <w:rFonts w:ascii="Times New Roman;serif" w:hAnsi="Times New Roman;serif"/>
          <w:b w:val="false"/>
          <w:color w:val="000000"/>
          <w:sz w:val="24"/>
        </w:rPr>
        <w:t>. If, at any time, a reviewing court of appropriate jurisdiction called upon to issue an injunction in accordance with Section 6.8 finds any of the provisions of this Section 6 to be invalid or unenforceable under any applicable law, by reason of being vague or unreasonable as to area, duration, or scope of activity, this Agreement shall be considered divisible and such court shall have authority to modify this Agreement to cover only such area, duration, and scope as shall be determined to be reasonable and enforceable by the court. Executive, VICI REIT, and the Company agree that this Agreement, as so amended, shall be valid and binding as though any invalid or unenforceable provision had not been included herein.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6.10 </w:t>
      </w:r>
      <w:r>
        <w:rPr>
          <w:rFonts w:ascii="Times New Roman;serif" w:hAnsi="Times New Roman;serif"/>
          <w:b w:val="false"/>
          <w:color w:val="000000"/>
          <w:sz w:val="24"/>
          <w:u w:val="single"/>
        </w:rPr>
        <w:t>Confidential Disclosure to Governmental and Quasi-Governmental Entities</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6.11 </w:t>
      </w:r>
      <w:r>
        <w:rPr>
          <w:rFonts w:ascii="Times New Roman;serif" w:hAnsi="Times New Roman;serif"/>
          <w:b w:val="false"/>
          <w:color w:val="000000"/>
          <w:sz w:val="24"/>
          <w:u w:val="single"/>
        </w:rPr>
        <w:t>Company Property</w:t>
      </w:r>
      <w:r>
        <w:rPr>
          <w:rFonts w:ascii="Times New Roman;serif" w:hAnsi="Times New Roman;serif"/>
          <w:b w:val="false"/>
          <w:color w:val="000000"/>
          <w:sz w:val="24"/>
        </w:rPr>
        <w:t>. The parties hereto agree that any work of authorship, invention, design, discovery, development, technique, improvement, source code, hardware, device, data, apparatus, practice, process, method, or other work product whatever related to the Company’s or the Company Affiliates’ business (whether patentable or subject to copyright, or not, and hereinafter collectively called “</w:t>
      </w:r>
      <w:r>
        <w:rPr>
          <w:rFonts w:ascii="Times New Roman;serif" w:hAnsi="Times New Roman;serif"/>
          <w:b w:val="false"/>
          <w:color w:val="000000"/>
          <w:sz w:val="24"/>
          <w:u w:val="single"/>
        </w:rPr>
        <w:t>discovery</w:t>
      </w:r>
      <w:r>
        <w:rPr>
          <w:color w:val="000000"/>
        </w:rPr>
        <w:t>”</w:t>
      </w:r>
      <w:r>
        <w:rPr>
          <w:rFonts w:ascii="Times New Roman;serif" w:hAnsi="Times New Roman;serif"/>
          <w:b w:val="false"/>
          <w:color w:val="000000"/>
          <w:sz w:val="24"/>
        </w:rPr>
        <w:t>) that Executive, either solely or in collaboration with others, conceives, creates, makes, discovers, invents, develops, perfects, or reduces to practice during the term of Executive’s employment, whether or not during regular business hours or on the Company’s or any Company Affiliates’ premises, shall be the sole and complete property of the Company and/or the Company Affiliates. More particularly, and without limiting the foregoing,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(subsections (i) - (iv) collectively, “</w:t>
      </w:r>
      <w:r>
        <w:rPr>
          <w:rFonts w:ascii="Times New Roman;serif" w:hAnsi="Times New Roman;serif"/>
          <w:b w:val="false"/>
          <w:color w:val="000000"/>
          <w:sz w:val="24"/>
          <w:u w:val="single"/>
        </w:rPr>
        <w:t>Intellectual Property Products</w:t>
      </w:r>
      <w:r>
        <w:rPr>
          <w:color w:val="000000"/>
        </w:rPr>
        <w:t>”</w:t>
      </w:r>
      <w:r>
        <w:rPr>
          <w:rFonts w:ascii="Times New Roman;serif" w:hAnsi="Times New Roman;serif"/>
          <w:b w:val="false"/>
          <w:color w:val="000000"/>
          <w:sz w:val="24"/>
        </w:rPr>
        <w:t>) created, conceived, or prepared on the Company’s or the Company Affiliates’ premises or otherwise, whether or not during normal business hours, and related to the Company’s business, shall perpetually and throughout the world be the exclusive property of the Company and/or the Company Affiliates, as shall all tangible media (including, but not limited to, papers, computer media, and digital and cloud-based of all types and models) in which such Intellectual Property Products shall be recorded or otherwise fixed. Upon termination of Executive’s employment with the Company for any reason whatsoever, and at any earlier time the Company so requests, Executive will immediately deliver to the custody of the person designated by the General Counsel of the Company all originals and copies of any documents and other property of the Company or any Company Affiliates in Executive’s possession or under Executive’s custody or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6.12    </w:t>
      </w:r>
      <w:r>
        <w:rPr>
          <w:rFonts w:ascii="Times New Roman;serif" w:hAnsi="Times New Roman;serif"/>
          <w:b w:val="false"/>
          <w:color w:val="000000"/>
          <w:sz w:val="24"/>
          <w:u w:val="single"/>
        </w:rPr>
        <w:t>Works for Hire</w:t>
      </w:r>
      <w:r>
        <w:rPr>
          <w:rFonts w:ascii="Times New Roman;serif" w:hAnsi="Times New Roman;serif"/>
          <w:b w:val="false"/>
          <w:color w:val="000000"/>
          <w:sz w:val="24"/>
        </w:rPr>
        <w:t xml:space="preserve">. Executive agrees that all works of authorship created in whole or in part by Executive during Executive’s engagement by the Company and related to the Company’s business shall be works made for hire of which the Company or the Company Affiliates is the author and owner of copyright. To the extent that any competent decision-making authority should ever determine that any work of authorship created by Executive during Executive’s engagement by the Company is not a work made for hire, Executive hereby assigns all right, title, and interest in the copyright therein, in perpetuity and throughout the world, to the Company. To the extent that this Agreement does not otherwise serve to grant or otherwise vest in the Company or any of the Company Affiliates all rights in any Intellectual Property Product created in whole or in part by Executive during Executive’s engagement by the Company, Executive hereby assigns all right, title, and interest therein, in perpetuity and throughout the world, to the Company. Executive agrees to execute, immediately upon the Company’s reasonable request and without any additional compensation, any further assignments, applications, conveyances or other instruments, at any time after execution of this Agreement, whether or not Executive remains employed by the Company at the time such request is made, in order to permit the Company, the Company Affiliates, and/or their respective successors and assigns to protect, perfect, register, record, maintain, or enhance their rights in any Intellectual Property Product;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shall bear the cost of any such assignments, applications, or consequences.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Litigation and Regulatory Cooperation</w:t>
      </w:r>
      <w:r>
        <w:rPr>
          <w:rFonts w:ascii="Times New Roman;serif" w:hAnsi="Times New Roman;serif"/>
          <w:b w:val="false"/>
          <w:color w:val="000000"/>
          <w:sz w:val="24"/>
        </w:rPr>
        <w:t xml:space="preserve">. Executive agrees that upon separation for any reason from the Company, Executive will cooperate and assist in all ways reasonably requested by the Company in assuring an orderly transition of all matters being handled by him, subject however to Executive’s subsequent professional and employment obligations. During the Term and continuing thereafter upon termination of employment, Executive shall reasonably cooperate with the Company and the Company Affiliates in the defense or prosecution of any claims or actions now in existence or that may be brought or threatened in the future against or on behalf of any of the Company, the Company Affiliates, or any divisions, successors, and assigns thereof, about which the Company believes Executive may have relevant information. Executive’s cooperation in connection with such claims or actions shall include, but not be limited to, being available to meet with counsel to prepare for discovery or trial and to act as a witness on behalf of the Company, the Company Affiliates, or any successors and assigns thereof at mutually convenient times. Executive also shall, subject however to Executive’s subsequent professional and employment obligations, cooperate fully with the Company in connection with any investigation or review by any federal, state, or local regulatory authority as any such investigation or review relates to events or occurrences that transpired while Executive was employed by the Company. Executive’s cooperation and assistance pursuant to this Section 7 shall be without additional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will pay in advance for Executive’s reasonable travel expenses incurred with respect to such cooperation and assistance. Executive shall not be required to cooperate against his legal interests or the legal interests of any entity that is then his employer.</w: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xml:space="preserve">. Except with respect to claims arising out of or related to a breach or alleged breach of Section 6, which claims may be brought in court, all disputes between the parties or any claims concerning the performance, breach, construction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interpretation of this Agreement, or in any manner arising out of this Agreement or Executive’s employment by the Company, shall be submitted to binding arbitration in accordance with the Employment Arbitration Rules, as amended from time to time, of the American Arbitration Association (the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which arbitration shall be carried out in the manner set forth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Such arbitration shall be conducted in New York, New York or such other location as the Company’s headquarters may be located at such time, and the arbitrator will apply New York law, including federal law as applied in New York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fees and costs of the arbitrator and/or the AAA shall be divided among the Company and Executive, subject to reallocation as provided in Section 8(iv)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The arbitrator shall not have the authority to modify the terms of this Agreement except to the extent that the Agreement violates any governing statue, in which case the arbitrator may modify the Agreement solely as necessary to not conflict with such statute. The arbitrator shall have the authority to award any remedy or relief that a court of the State of New York or federal court located in the State of New York could grant in conformity with the applicable law on the basis of claims actually made in the arbitration. The arbitrator shall render an award and written opinion which shall set forth the factual and legal basis for the award. </w:t>
      </w:r>
    </w:p>
    <w:p>
      <w:pPr>
        <w:pStyle w:val="TextBody"/>
        <w:bidi w:val="0"/>
        <w:spacing w:lineRule="auto" w:line="288" w:before="0" w:after="240"/>
        <w:ind w:left="0" w:right="0" w:hanging="720"/>
        <w:jc w:val="left"/>
        <w:rPr/>
      </w:pPr>
      <w:r>
        <w:rPr>
          <w:rFonts w:ascii="Times New Roman;serif" w:hAnsi="Times New Roman;serif"/>
          <w:b w:val="false"/>
          <w:color w:val="000000"/>
          <w:sz w:val="24"/>
        </w:rPr>
        <w:t>(iii)    The award of the arbitrator shall be final and binding on VICI REIT, the Company and Executive, and judgment on the award may be confirmed and entered in any state or federal court located in New York, New York.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xml:space="preserve">), to any third party, with the sole exception of Executive’s legal counsel, who Executive shall ensure adheres to all confidentiality terms in this Agreement. In the event of any court proceeding to challenge or enforce an arbitrator’s award, the Company and Executive hereby consent to the exclusive jurisdiction of the state and federal courts in New York and agree to venue in that jurisdiction. VICI REIT, the Company and Executive agree to take all steps necessary to protect the confidentiality of the Arbitration Materials in connection with any such proceeding, agree to file all Confidential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documents containing Confidential Information) under seal to the extent possible, and agree to the entry of an appropriate protective order encompassing the confidentiality terms of this Agreement.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Each of VICI REIT, the Company and Executive agrees to pay its own costs and fees in connection with any arbitration of a dispute arising under this Agreement, and any court proceeding arising therefrom, provided, however, that (a) the arbitrator shall be authorized to award attorneys’ fees and costs to any party in accordance with applicable law and (b) the arbitrator shall award to the party substantially prevailing in such arbitration his or its costs, including reasonable attorneys’ fees.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TO THE EXTENT ANY DISPUTE IS FOUND NOT TO BE SUBJECT TO THIS ARBITRATION PROVISION, VICI REIT, THE COMPANY AND EXECUTIVE EACH HEREBY WAIVE THEIR RESPECTIVE RIGHTS TO TRIAL BY JURY.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ACKNOWLEDGES THAT EXECUTIVE HAS CAREFULLY READ THIS SECTION 8, VOLUNTARILY AGREES TO ARBITRATE ALL DISPUTES, AND HAS HAD THE OPPORTUNITY TO REVIEW THE PROVISIONS OF SECTION 8 WITH ANY ADVISORS AS EXECUTIVE CONSIDERED NECESSARY. BY SIGNING BELOW, EXECUTIVE SIGNIFIES EXECUTIVE’S UNDERSTANDING AND AGREEMENT TO SECTION 8.</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Severability</w:t>
      </w:r>
      <w:r>
        <w:rPr>
          <w:rFonts w:ascii="Times New Roman;serif" w:hAnsi="Times New Roman;serif"/>
          <w:b w:val="false"/>
          <w:color w:val="000000"/>
          <w:sz w:val="24"/>
        </w:rPr>
        <w:t>. As the provisions of this Agreement are independent of and severable from each other, the Company and Executive agree that if, in any action before any court or agency legally empowered to enforce this Agreement, any term, restriction, covenant, or promise hereof is found to be unreasonable or otherwise unenforceable, then such decision shall not affect the validity of the other provisions of this Agreement, and such invalid term, restriction, covenant, or promise shall also be deemed modified to the extent necessary to make it enforceable.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Notice</w:t>
      </w:r>
      <w:r>
        <w:rPr>
          <w:rFonts w:ascii="Times New Roman;serif" w:hAnsi="Times New Roman;serif"/>
          <w:b w:val="false"/>
          <w:color w:val="000000"/>
          <w:sz w:val="24"/>
        </w:rPr>
        <w:t>. For purposes of this Agreement, notices, demands and all other communications provided for in this Agreement shall be in writing and shall be deemed to have been duly given when received if delivered in person, the next business day if delivered by overnight commercial courier (e.g., Federal Express), or the third business day if mailed by United States certified mail, return receipt requested, postage prepaid, to the following addresses: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If to VICI REIT or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VICI Properties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535 Madison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If to Executive,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John W.R. Payne</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address on record with the Company</w:t>
      </w:r>
    </w:p>
    <w:p>
      <w:pPr>
        <w:pStyle w:val="TextBody"/>
        <w:bidi w:val="0"/>
        <w:spacing w:before="0" w:after="0"/>
        <w:ind w:left="0" w:right="0" w:firstLine="14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Either party may change its address for notices in accordance with this Section 10 by providing written notice of such change to the other party.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New York applicable to contracts to be performed therein.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Benefits; Binding Effect; Assignment</w:t>
      </w:r>
      <w:r>
        <w:rPr>
          <w:rFonts w:ascii="Times New Roman;serif" w:hAnsi="Times New Roman;serif"/>
          <w:b w:val="false"/>
          <w:color w:val="000000"/>
          <w:sz w:val="24"/>
        </w:rPr>
        <w:t>. This Agreement shall be binding upon and inure to the benefit of the parties and their respective heirs, personal representatives, legal representatives, successors and permitted assigns. Executive shall not assign this Agreement or any of Executive’s obligations hereunder in whole or in part. However, VICI REIT and the Company are expressly authorized to assign this Agreement to a Company Affiliate or an acquirer of substantially all the assets of VICI REIT or the Company upon written notice to Executive, provided that (a) the assignee assumes all of the obligations of VICI REIT and the Company under this Agreement, (b) Executive’s role when viewed from the perspective of the surviving or resulting business is comparable to such role immediately before the assignment, and (c) VICI REIT and the Company, for so long as an affiliate of the assignee, remains secondarily liable for the financial obligations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As all parties have had the opportunity to consult with legal counsel of their own choosing, no provision of this Agreement shall be construed against or interpreted to the disadvantage of any party by reason of such party having, or being deemed to have, drafted, devised, or imposed such provision.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and all prior understandings, agreements or undertakings including without limitation the Prior Agreement between the parties concerning Executive’s employment or the other subject matters of this Agreement are superseded and replaced in their entirety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lineRule="auto" w:line="288" w:before="0" w:after="24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shall not be required to mitigate damages or the amount of any payment provided for under this Agreement by seeking other employment or otherwise, nor will any payments hereunder be subject to offset in the event Executive does mitigate.</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which together shall be one and the same instrument.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Tax Advice</w:t>
      </w:r>
      <w:r>
        <w:rPr>
          <w:rFonts w:ascii="Times New Roman;serif" w:hAnsi="Times New Roman;serif"/>
          <w:b w:val="false"/>
          <w:color w:val="000000"/>
          <w:sz w:val="24"/>
        </w:rPr>
        <w:t>. Executive confirms and represents to VICI REIT and the Company that he has had the opportunity to obtain the advice of legal counsel, financial and tax advisers, and such other professionals as he deems necessary for entering into this Agreement, and he has not relied upon the advice of VICI REIT, the Company or their respective officers, directors, or employees.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Withholding</w:t>
      </w:r>
      <w:r>
        <w:rPr>
          <w:rFonts w:ascii="Times New Roman;serif" w:hAnsi="Times New Roman;serif"/>
          <w:b w:val="false"/>
          <w:color w:val="000000"/>
          <w:sz w:val="24"/>
        </w:rPr>
        <w:t>. Any payments made to Executive under this Agreement shall be reduced by any applicable withholding taxes or other amounts required to be withheld by law or contract.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comply with, or be exempt from, the requirements of Section 409A, and shall be interpreted and construed consistent with that intent. No expenses eligible for reimbursement, or in-kind benefits to be provided, during any calendar year shall affect the amounts eligible for reimbursement in any other calendar year, to the extent subject to the requirements of Section 409A, and no such right to reimbursement or right to in-kind benefits shall be subject to liquidation or exchange for any other benefit. For purposes of Section 409A, each payment in a series of installment payments provided under this Agreement shall be treated as a separate payment. Any payments to be made under this Agreement upon a termination of employment shall only be made upon a “separation from service” under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Survivability</w:t>
      </w:r>
      <w:r>
        <w:rPr>
          <w:rFonts w:ascii="Times New Roman;serif" w:hAnsi="Times New Roman;serif"/>
          <w:b w:val="false"/>
          <w:color w:val="000000"/>
          <w:sz w:val="24"/>
        </w:rPr>
        <w:t>. Those provisions and obligations of this Agreement which are intended to survive shall survive notwithstanding termination of Executive’s employment with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signed their names as of the day and year first above written.</w:t>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i/>
          <w:color w:val="000000"/>
          <w:sz w:val="24"/>
          <w:u w:val="single"/>
        </w:rPr>
        <w:t xml:space="preserve">/s/ Edward B. Pitoniak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Edward B. Pitoniak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before="0" w:after="240"/>
        <w:ind w:left="0" w:right="0" w:firstLine="4500"/>
        <w:jc w:val="left"/>
        <w:rPr/>
      </w:pPr>
      <w:r>
        <w:rPr/>
      </w:r>
    </w:p>
    <w:p>
      <w:pPr>
        <w:pStyle w:val="TextBody"/>
        <w:bidi w:val="0"/>
        <w:spacing w:lineRule="auto" w:line="288" w:before="0" w:after="0"/>
        <w:ind w:left="0" w:right="0" w:firstLine="4507"/>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 xml:space="preserve">/s/ John W.R. Payne </w:t>
      </w:r>
    </w:p>
    <w:p>
      <w:pPr>
        <w:pStyle w:val="TextBody"/>
        <w:bidi w:val="0"/>
        <w:spacing w:lineRule="auto" w:line="288" w:before="0" w:after="240"/>
        <w:ind w:left="0" w:right="0" w:firstLine="4500"/>
        <w:jc w:val="left"/>
        <w:rPr>
          <w:rFonts w:ascii="Times New Roman;serif" w:hAnsi="Times New Roman;serif"/>
          <w:b w:val="false"/>
          <w:color w:val="000000"/>
          <w:sz w:val="24"/>
        </w:rPr>
      </w:pPr>
      <w:r>
        <w:rPr>
          <w:rFonts w:ascii="Times New Roman;serif" w:hAnsi="Times New Roman;serif"/>
          <w:b w:val="false"/>
          <w:color w:val="000000"/>
          <w:sz w:val="24"/>
        </w:rPr>
        <w:t>John W.R. Payne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Employment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In consideration of and in accordance with the February 25, 2026 Amended and Restated Employment Agreement by and between John W.R. Payne,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VICI Properties Inc. (“VICI REIT”) and VICI Properties L.P., (together with its successors and assigns,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of which this Exhibit A is part, Executive hereby agrees as follows. All terms not defined in this Separation Agreement and Release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shall have the same meanings as those set forth in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Consideration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acknowledges and agrees that the payments and benefits to be paid to Executive under Section [4.2][4.3][4.4] of the Employment Agreement, as set forth in a schedule hereto (the “</w:t>
      </w:r>
      <w:r>
        <w:rPr>
          <w:rFonts w:ascii="Times New Roman;serif" w:hAnsi="Times New Roman;serif"/>
          <w:b w:val="false"/>
          <w:color w:val="000000"/>
          <w:sz w:val="24"/>
          <w:u w:val="single"/>
        </w:rPr>
        <w:t>Consideration Amounts</w:t>
      </w:r>
      <w:r>
        <w:rPr>
          <w:color w:val="000000"/>
        </w:rPr>
        <w:t>”</w:t>
      </w:r>
      <w:r>
        <w:rPr>
          <w:rFonts w:ascii="Times New Roman;serif" w:hAnsi="Times New Roman;serif"/>
          <w:b w:val="false"/>
          <w:color w:val="000000"/>
          <w:sz w:val="24"/>
        </w:rPr>
        <w:t>), represent good, valuable, and sufficient consideration for signing this Separation Agreement, and exceed any amounts or interests to which Executive otherwise would be entitled. Executive acknowledges and agrees that except as specifically provided in this Separation Agreement, VICI REIT and the Company shall have no other obligations or liabilities, monetary or otherwise, to Executive following the date hereof and that the payments and benefits contemplated herein constitute a complete settlement, satisfaction, and waiver of any and all claims Executive may have against VICI REIT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color w:val="000000"/>
          <w:sz w:val="24"/>
          <w:u w:val="single"/>
        </w:rPr>
        <w:t>Release of Claims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Executive, for Executive, Executive’s spouse, and each of Executive’s heirs, beneficiaries, representatives, agents, successors, and assigns (collectively, “</w:t>
      </w:r>
      <w:r>
        <w:rPr>
          <w:rFonts w:ascii="Times New Roman;serif" w:hAnsi="Times New Roman;serif"/>
          <w:b w:val="false"/>
          <w:color w:val="000000"/>
          <w:sz w:val="24"/>
          <w:u w:val="single"/>
        </w:rPr>
        <w:t>Executive Releasors</w:t>
      </w:r>
      <w:r>
        <w:rPr>
          <w:color w:val="000000"/>
        </w:rPr>
        <w:t>”</w:t>
      </w:r>
      <w:r>
        <w:rPr>
          <w:rFonts w:ascii="Times New Roman;serif" w:hAnsi="Times New Roman;serif"/>
          <w:b w:val="false"/>
          <w:color w:val="000000"/>
          <w:sz w:val="24"/>
        </w:rPr>
        <w:t>), irrevocably and unconditionally releases and forever discharges each of VICI REIT and the Company, (i) each and all of their predecessors, parents, Subsidiaries, Affiliates, divisions, successors, and assigns (collectively with VICI REIT and the Company, the “</w:t>
      </w:r>
      <w:r>
        <w:rPr>
          <w:rFonts w:ascii="Times New Roman;serif" w:hAnsi="Times New Roman;serif"/>
          <w:b w:val="false"/>
          <w:color w:val="000000"/>
          <w:sz w:val="24"/>
          <w:u w:val="single"/>
        </w:rPr>
        <w:t>Company Entities</w:t>
      </w:r>
      <w:r>
        <w:rPr>
          <w:color w:val="000000"/>
        </w:rPr>
        <w:t>”</w:t>
      </w:r>
      <w:r>
        <w:rPr>
          <w:rFonts w:ascii="Times New Roman;serif" w:hAnsi="Times New Roman;serif"/>
          <w:b w:val="false"/>
          <w:color w:val="000000"/>
          <w:sz w:val="24"/>
        </w:rPr>
        <w:t>), (ii) each and all of the Company Entities’ current and former officers, directors, employees, and, in their respective capacities as such, each and all of the Company Entities’ shareholders, representatives, attorneys, agents, and assigns(collectively, with the Company Entities, the “</w:t>
      </w:r>
      <w:r>
        <w:rPr>
          <w:rFonts w:ascii="Times New Roman;serif" w:hAnsi="Times New Roman;serif"/>
          <w:b w:val="false"/>
          <w:color w:val="000000"/>
          <w:sz w:val="24"/>
          <w:u w:val="single"/>
        </w:rPr>
        <w:t>Company Releasees</w:t>
      </w:r>
      <w:r>
        <w:rPr>
          <w:color w:val="000000"/>
        </w:rPr>
        <w:t>”</w:t>
      </w:r>
      <w:r>
        <w:rPr>
          <w:rFonts w:ascii="Times New Roman;serif" w:hAnsi="Times New Roman;serif"/>
          <w:b w:val="false"/>
          <w:color w:val="000000"/>
          <w:sz w:val="24"/>
        </w:rPr>
        <w:t>), from any and all causes of action, claims, actions, rights, judgments, obligations, damages, demands, accountings, or liabilities of any kind or character, whether known or unknown, whether accrued or contingent, that Executive has, had, or may have against them, or any of them, by reason of, arising out of, connected with, touching upon, or concerning Executive’s employment with the Company, Executive’s separation from the Company, and Executive’s relationship with any or all of the Company Releasees, and from any and all statutory claims, regulatory claims, claims under the Employment Agreement, and any and all other claims or matters of whatever kind, nature, or description, arising from the beginning of the world up through the Separation Agreement Effective Date (as defined below) (collectively,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xml:space="preserve">). Executive acknowledges that the Released Claims specifically include, but are not limited to, any and all claims for fraud, breach of express or implied contract, breach of the implied covenant of good faith and fair dealing, interference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contractual rights, violation of public policy, invasion of privacy, intentional or negligent infliction of emotional distress, intentional or negligent misrepresentation, defamation, libel, slander, or breach of privacy; claims for failure to pay wages, benefits, deferred compensation, commissions, bonuses, vacation pay, expenses, severance pay, attorneys’ fees, or other compensation of any sort; claims related to stock options, equity awards, or other grants, awards, or warrants; claims related to any tangible or intangible property of Executive that remains with the Company; claims for retaliation, harassment or discrimination on the basis of race, color, sex, sexual orientation, national origin, ancestry, religion, age, disability, medical condition, marital status, gender identity, gender expression, or any other characteristic or criteria protected by law; any claim under Title VII of the Civil Rights Act of 1964 (Title VII, as amended), 42 U.S.C. §§ 2000e, et seq., the Civil Rights Act of 1991, the Civil Rights Act of 1866, the Family and Medical Leave Act (“</w:t>
      </w:r>
      <w:r>
        <w:rPr>
          <w:rFonts w:ascii="Times New Roman;serif" w:hAnsi="Times New Roman;serif"/>
          <w:b w:val="false"/>
          <w:color w:val="000000"/>
          <w:sz w:val="24"/>
          <w:u w:val="single"/>
        </w:rPr>
        <w:t>FMLA</w:t>
      </w:r>
      <w:r>
        <w:rPr>
          <w:color w:val="000000"/>
        </w:rPr>
        <w:t>”</w:t>
      </w:r>
      <w:r>
        <w:rPr>
          <w:rFonts w:ascii="Times New Roman;serif" w:hAnsi="Times New Roman;serif"/>
          <w:b w:val="false"/>
          <w:color w:val="000000"/>
          <w:sz w:val="24"/>
        </w:rPr>
        <w:t>), 29 U.S.C. §§ 2601, et seq., the Fair Labor Standards Act (“</w:t>
      </w:r>
      <w:r>
        <w:rPr>
          <w:rFonts w:ascii="Times New Roman;serif" w:hAnsi="Times New Roman;serif"/>
          <w:b w:val="false"/>
          <w:color w:val="000000"/>
          <w:sz w:val="24"/>
          <w:u w:val="single"/>
        </w:rPr>
        <w:t>FLSA</w:t>
      </w:r>
      <w:r>
        <w:rPr>
          <w:color w:val="000000"/>
        </w:rPr>
        <w:t>”</w:t>
      </w:r>
      <w:r>
        <w:rPr>
          <w:rFonts w:ascii="Times New Roman;serif" w:hAnsi="Times New Roman;serif"/>
          <w:b w:val="false"/>
          <w:color w:val="000000"/>
          <w:sz w:val="24"/>
        </w:rPr>
        <w:t>), 29 U.S.C. §§ 201, et seq., the Equal Pay Act, 29 U.S.C. §206(a) and interpretive regulations, the Americans with Disabilities Act (“</w:t>
      </w:r>
      <w:r>
        <w:rPr>
          <w:rFonts w:ascii="Times New Roman;serif" w:hAnsi="Times New Roman;serif"/>
          <w:b w:val="false"/>
          <w:color w:val="000000"/>
          <w:sz w:val="24"/>
          <w:u w:val="single"/>
        </w:rPr>
        <w:t>ADA</w:t>
      </w:r>
      <w:r>
        <w:rPr>
          <w:color w:val="000000"/>
        </w:rPr>
        <w:t>”</w:t>
      </w:r>
      <w:r>
        <w:rPr>
          <w:rFonts w:ascii="Times New Roman;serif" w:hAnsi="Times New Roman;serif"/>
          <w:b w:val="false"/>
          <w:color w:val="000000"/>
          <w:sz w:val="24"/>
        </w:rPr>
        <w:t>), 42 U.S.C. §§ 12101, et seq., the Consolidated Omnibus Budget Reconciliation Act of 1986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 Occupational Safety and Health Act (“</w:t>
      </w:r>
      <w:r>
        <w:rPr>
          <w:rFonts w:ascii="Times New Roman;serif" w:hAnsi="Times New Roman;serif"/>
          <w:b w:val="false"/>
          <w:color w:val="000000"/>
          <w:sz w:val="24"/>
          <w:u w:val="single"/>
        </w:rPr>
        <w:t>OSHA</w:t>
      </w:r>
      <w:r>
        <w:rPr>
          <w:color w:val="000000"/>
        </w:rPr>
        <w:t>”</w:t>
      </w:r>
      <w:r>
        <w:rPr>
          <w:rFonts w:ascii="Times New Roman;serif" w:hAnsi="Times New Roman;serif"/>
          <w:b w:val="false"/>
          <w:color w:val="000000"/>
          <w:sz w:val="24"/>
        </w:rPr>
        <w:t>) or any other health and/or safety laws, statutes, or regulations, the Uniformed Services Employment and Reemployment Rights Act (“</w:t>
      </w:r>
      <w:r>
        <w:rPr>
          <w:rFonts w:ascii="Times New Roman;serif" w:hAnsi="Times New Roman;serif"/>
          <w:b w:val="false"/>
          <w:color w:val="000000"/>
          <w:sz w:val="24"/>
          <w:u w:val="single"/>
        </w:rPr>
        <w:t>USERRA</w:t>
      </w:r>
      <w:r>
        <w:rPr>
          <w:color w:val="000000"/>
        </w:rPr>
        <w:t>”</w:t>
      </w:r>
      <w:r>
        <w:rPr>
          <w:rFonts w:ascii="Times New Roman;serif" w:hAnsi="Times New Roman;serif"/>
          <w:b w:val="false"/>
          <w:color w:val="000000"/>
          <w:sz w:val="24"/>
        </w:rPr>
        <w:t>), 38 U.S.C. §§ 4301-4333, the Employee Retirement Income Security Act of 1974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29 U.S.C. §§ 301, et seq., the Immigration Reform and Control Act of 1986, 8 U.S.C. §§ 1101, et seq., or the Internal Revenue Code of 1986, as amended, the Worker Adjustment and Retraining Notification Act; all claims arising under the Sarbanes-Oxley Act of 2002 (Public Law 107-204), including whistleblowing claims under 18 U.S.C. §§ 1513(e) and 1514A; the applicable state Wage and Hour Laws, and any and all other foreign, federal, state, or local laws, common law, or case law, including but not limited to all statutes, regulations, common law, and other laws in place in New York, New York. Notwithstanding anything in this Separation Agreement to the contrary, Executive is not releasing pursuant to this Separation Agreement any claims with respect to (i) Annual Salary due under the Employment Agreement through the date of termination, (ii) amounts payable pursuant to this Agreement, (iii) vested employee benefits or vested deferred compensation under VICI REIT’s and the Company’s applicable plans and arrangements, (iv) matters which cannot be released under applicable law, (v) indemnification by VICI REIT and the Company to the maximum extent pursuant to its by-laws, any indemnification agreement entered into between Executive and VICI REIT, and to third party directors’ and officers‘ liability or other insurance coverage, and/or (vi) any rights or claims arising out of events or circumstances that occur after Executive’s execution of this Separation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Executive acknowledges that there is a risk that after the execution of this Separation Agreement, Executive will incur or suffer damage, loss, or injury that is in some way caused by or connected with Executive’s employment with the Company or its Subsidiaries or Affiliates or Executive’s separation from the Company or its Subsidiaries or Affiliates, and any relationship with or membership or investment in the Company Releasees, but that is unknown or unanticipated at the time of execution of this Separation Agreement. Executive specifically assumes that risk, and agrees that this Separation Agreement and the Released Claims apply to all unknown or unanticipated, accrued or contingent claims and all matters caused by or connected with Executive’s employment with the Company or its Subsidiaries or Affiliates and/</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Executive’s separation from the Company or its Subsidiaries or Affiliates, as well as those claims currently known or anticipated. Executive acknowledges and agrees that this Separation Agreement constitutes a knowing and voluntary waiver of any and all rights and claims Executive does or may have as of the Separation Agreement Effective Date. Executive acknowledges that Executive has waived rights or claims pursuant to this Separation Agreement in exchange for consideration, the value of which exceeds payment or remuneration to which Executive otherwise would be entitled.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permitted by law, Executive agrees never to file a lawsuit or other adversarial proceeding with any court or arbitrator against VICI REIT, the Company or any other Company Releasee asserting any Released Claims. Executive represents and agrees that, prior to signing this Separation Agreement, Executive has not filed or pursued any complaints, charges, or lawsuits of any kind with any court, governmental or administrative agency, arbitrator, or other forum against VICI REIT, the Company or any of the other Company Releasees, asserting any claims whatsoever. Executive understands and acknowledges that, in the event Executive files an administrative charge or commences any proceeding with respect to any Released Claim, or in the event another person or entity does so in whole or in part on Executive’s behalf, Executive waives and is estopped from receiving any monetary award or other legal or equitable relief in connection with any such proceeding.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Executive represents and warrants that Executive has not assigned, transferred, or permitted the subrogation of any of Executive’s rights, claims, and/or causes of action, including any claims referenced in this Separation Agreement, or authorized any other person or entity to assert any such claim or claims on Executive’s behalf, and Executive agrees to indemnify and hold harmless VICI REIT and the Company against any assignment, transfer, or subrogation of said rights, claims, and/or causes of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color w:val="000000"/>
          <w:sz w:val="24"/>
          <w:u w:val="single"/>
        </w:rPr>
        <w:t>Survival</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following Sections of the Employment Agreement shall remain in full force and effect following the Termination Date: Section 3.2(c) (“Clawback”), Section 4 (“Termination of Employment”), Section 6 (“Non-Competition, Non-Solicitation, and Confidentiality; Certain Other Covenants”), Section 7 (“Litigation And Regulatory Cooperation”) Section 8 (“Dispute Resolution”), Section 10 (“Notice”) and Section 12 (“Benefits; Binding Effect; Assignment”). Any disputes arising in connection with this Separation Agreement or otherwise arising between any of Executive Releasors, on the one hand, and any of the Company Releasees, on the other hand, shall be resolved in accordance with Sections 6 and 8 of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color w:val="000000"/>
          <w:sz w:val="24"/>
          <w:u w:val="single"/>
        </w:rPr>
        <w:t>Tax Liability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expressly acknowledges that neither VICI REIT nor the Company nor its attorneys have made any representations to Executive regarding the tax consequences of the consideration provided to Executive pursuant to this Separation Agreement and the Employment Agreement. It is the intention of the parties to this Separation Agreement that no payments made under this Separation Agreement and/or the Employment Agreement be subject to the additional tax on deferred compensation imposed by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but neither VICI REIT nor the Company guarantees that any such payment complies with or is exempt from Code Section 409A. Each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made under this Separation Agreement or the Employment Agreement will be treated as a separate payment for purposes of Code Section 409A and the right to a series of installment payments under this Separation Agreement is to be treated as a right to a series of separate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color w:val="000000"/>
          <w:sz w:val="24"/>
          <w:u w:val="single"/>
        </w:rPr>
        <w:t>Knowing/Voluntary Waiver</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is entitled to consider the terms of this Separation Agreement for twenty-one (21) days before signing it. If Executive fails to execute this Separation Agreement within this twenty-one (21) day period, this Separation Agreement will be null and void and of no force or effect. To execute this Separation Agreement, Executive must sign and date the Separation Agreement below, and return a signed copy hereof to Attn: General Counsel, VICI Properties Inc., 535 Madison Avenue, New York, New York 10022, (phone): (646) 949-4631, via nationally recognized overnight carrier or email.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Executive may revoke this Separation Agreement within seven (7) days of Executive’s signing it by delivering a written notice of such revocation to Attn: General Counsel, VICI Properties Inc., 535 Madison Avenue, New York, New York 10022, (phone): (646) 949-4631, via nationally recognized overnight carrier or email. If Executive revokes this Separation Agreement within seven (7) days of signing it, this Separation Agreement and the promises contained herein automatically will be null and void. If Executive signs this Separation Agreement and does not revoke this Separation Agreement within seven (7) days of signing it, this Separation Agreement shall become binding, effective, and irrevocable on the eighth (8th) day after the Separation Agreement is executed by both parties (the “</w:t>
      </w:r>
      <w:r>
        <w:rPr>
          <w:rFonts w:ascii="Times New Roman;serif" w:hAnsi="Times New Roman;serif"/>
          <w:b w:val="false"/>
          <w:color w:val="000000"/>
          <w:sz w:val="24"/>
          <w:u w:val="single"/>
        </w:rPr>
        <w:t>Separation Agreement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Executive acknowledges that Executive (a) has carefully read this Separation Agreement and the Employment Agreement; (b) is competent to manage Executive’s own affairs; (c) fully understands the Separation Agreement’s and Employment Agreement’s contents and legal effect, and understands that Executive is giving up any legal claims Executive has against any of the Company Releasees, including but not limited to any and all legal rights or claims under the Age Discrimination in Employment Act of 1967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(29 U.S.C. § 626, as amended), and all other federal, state, foreign, and local laws regarding age discrimination, whether those claims are presently known or hereafter discovered; (d) has been advised to consult with an attorney of Executive’s choosing prior to signing this Separation Agreement, if Executive so desires; and (e) has chosen to enter into this Separation Agreement freely, without coercion, and based upon Executive’s own judgment, and that Executive has not relied upon any promises made by any of the Company Releasees, other than the promises explicitly contained in this Separation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Separation Agreement may be executed in counterparts, each of which shall be deemed an original, and both of which together shall constitute one and the same instrument. The section headings in this Separation Agreement are provided for convenience only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 affect the construction or interpretation of this Separation Agreement or the provisions 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in any way be construed as an admission that VICI REIT, the Company, Executive, or any other individual or entity has any liability to or acted wrongfully in any way with respect to Executive, VICI REIT, the Company, or any other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be construed against either Party, and no consideration shall be given or presumption made on the basis of who drafted the Separation Agreement or any particular provision hereof or who supplied the form of this Separation Agreement. In construing the Separation Agreement, (i) examples shall not be construed to limit, expressly or by implication, the matter they illustrate, (ii) the connectives “and,” “or,” and “and/or” shall be construed either disjunctively or conjunctively so as to construe a sentence or clause most broadly and bring within its scope all subject matter that might otherwise be construed to be outside of its scope; (iii) the word “includes” and its derivatives means “includes, but is not limited to” and corresponding derivative expressions, (iv) a defined term has its defined meaning throughout the Separation Agreement, whether it appears before or after the place where it is defined, and (v) the headings and titles herein are for convenience only and shall have no significance in the interpretation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agree that each of the Company Releasees is an intended third-party beneficiary of this Separation Agreement and shall have the authority to enforce the provisions applicable to it, her, or Executive in accordance with the terms of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Except as otherwise specifically provided herein, this Separation Agreement constitutes the entire agreement of the Parties with respect to the subject matter hereof, contains all the covenants, promises, representations, warranties, and agreements between the Parties with respect to Executive’s separation from VICI REIT and the Company and all positions therewith;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nothing in this Agreement shall supersede the Sections in the Employment Agreement identified in Paragraph 3 (“</w:t>
      </w:r>
      <w:r>
        <w:rPr>
          <w:rFonts w:ascii="Times New Roman;serif" w:hAnsi="Times New Roman;serif"/>
          <w:b w:val="false"/>
          <w:color w:val="000000"/>
          <w:sz w:val="24"/>
          <w:u w:val="single"/>
        </w:rPr>
        <w:t>Survival</w:t>
      </w:r>
      <w:r>
        <w:rPr>
          <w:color w:val="000000"/>
        </w:rPr>
        <w:t>”</w:t>
      </w:r>
      <w:r>
        <w:rPr>
          <w:rFonts w:ascii="Times New Roman;serif" w:hAnsi="Times New Roman;serif"/>
          <w:b w:val="false"/>
          <w:color w:val="000000"/>
          <w:sz w:val="24"/>
        </w:rPr>
        <w:t>) of this Separation Agreement. Any modification of this Separation Agreement will be effective only if it is in writing and signed by Executive and the Chief Executive Officer of the Company or the General Counsel of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2"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General Release on this ___ day of ____________.</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John W.R. Payne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1155"/>
                <wp:effectExtent l="0" t="0" r="0" b="0"/>
                <wp:wrapNone/>
                <wp:docPr id="193" name="Frame1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Employment Agreement - Separation Agreement and Release]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Employment Agreement - Separation Agreement and Release]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AMENDED AND RESTATED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February 25, 2026, (the “Effective Date”) by and between VICI Properties Inc. (“</w:t>
      </w:r>
      <w:r>
        <w:rPr>
          <w:rFonts w:ascii="Times New Roman;serif" w:hAnsi="Times New Roman;serif"/>
          <w:b w:val="false"/>
          <w:color w:val="000000"/>
          <w:sz w:val="24"/>
          <w:u w:val="single"/>
        </w:rPr>
        <w:t>VICI REIT</w:t>
      </w:r>
      <w:r>
        <w:rPr>
          <w:color w:val="000000"/>
        </w:rPr>
        <w:t>”</w:t>
      </w:r>
      <w:r>
        <w:rPr>
          <w:rFonts w:ascii="Times New Roman;serif" w:hAnsi="Times New Roman;serif"/>
          <w:b w:val="false"/>
          <w:color w:val="000000"/>
          <w:sz w:val="24"/>
        </w:rPr>
        <w:t>), VICI Properties L.P.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each with its principal place of business at 535 Madison Avenue, New York, New York 10022, and David A. Kieske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amends and restates in its entirety the existing employment agreement by and between Executive and the Company dated September 25, 2019 (the “</w:t>
      </w:r>
      <w:r>
        <w:rPr>
          <w:rFonts w:ascii="Times New Roman;serif" w:hAnsi="Times New Roman;serif"/>
          <w:b w:val="false"/>
          <w:color w:val="000000"/>
          <w:sz w:val="24"/>
          <w:u w:val="single"/>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general partner of the Company, VICI Properties GP LLC, a Delaware limited liability company, is a wholly owned subsidiary of VICI REIT;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wishes to offer continued employment to Executive, and Executive wishes to accept such offer, on the terms set forth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Accordingly,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Term</w:t>
      </w:r>
      <w:r>
        <w:rPr>
          <w:rFonts w:ascii="Times New Roman;serif" w:hAnsi="Times New Roman;serif"/>
          <w:b w:val="false"/>
          <w:color w:val="000000"/>
          <w:sz w:val="24"/>
        </w:rPr>
        <w:t>. The Company hereby employs Executive, and Executive hereby accepts such employment, for a term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commencing as of the Effective Date and continuing until terminated in accordance with the provisions of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Executive shall be employed by the Company as Executive Vice President, Chief Financial Officer and Treasurer and, as such, Executive shall report to the Chief Executive Officer of VICI REIT (the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The Executive may also hold such directorships and officerships in VICI REIT, the Company and any of their affiliates to which, from time to time, the Executive may be elected or appointed during the Term. Executive shall faithfully perform for the Company the duties of said office and shall perform such other duties of an executive, managerial or administrative nature as shall be specified and designated from time to time by the CEO, which duties shall not be materially inconsistent with the duties performed by executives holding similar offices with comparable companies. Executive shall devote substantially all of his business time and effort to the performance of his duties hereunder, except that Executive may devote reasonable time and attention to civic, charitable, business or social activities so long as such activities do not interfere with Executive’s employment duties. In addition, Executive will be permitted to serve, with the prior written consent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as a member of the board of directors or advisory boards (or their equivalents, in the case of a non-corporate entity) of non-competing businesses. Executive shall comply with the policies, procedures, standards, and regulations established from time to time by the Company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Executive shall obtain and keep in full force and effect throughout the Term all gaming licenses or approvals necessary or appropriate for Executive’s position. During the Term, Executive shall be based in the Company’s offices in New York, NY, except for reasonably required travel on the Company’s business consistent with Executive’s position.</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Salary</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Contract Year</w:t>
      </w:r>
      <w:r>
        <w:rPr>
          <w:color w:val="000000"/>
        </w:rPr>
        <w:t xml:space="preserve">” </w:t>
      </w:r>
      <w:r>
        <w:rPr>
          <w:rFonts w:ascii="Times New Roman;serif" w:hAnsi="Times New Roman;serif"/>
          <w:b w:val="false"/>
          <w:color w:val="000000"/>
          <w:sz w:val="24"/>
        </w:rPr>
        <w:t>shall mean each calendar year during the Term. The Company shall pay Executive a base salary at the rate of $670,000 per annum (as the same may be increased from time to time, the “</w:t>
      </w:r>
      <w:r>
        <w:rPr>
          <w:rFonts w:ascii="Times New Roman;serif" w:hAnsi="Times New Roman;serif"/>
          <w:b w:val="false"/>
          <w:color w:val="000000"/>
          <w:sz w:val="24"/>
          <w:u w:val="single"/>
        </w:rPr>
        <w:t>Annual Salary</w:t>
      </w:r>
      <w:r>
        <w:rPr>
          <w:color w:val="000000"/>
        </w:rPr>
        <w:t>”</w:t>
      </w:r>
      <w:r>
        <w:rPr>
          <w:rFonts w:ascii="Times New Roman;serif" w:hAnsi="Times New Roman;serif"/>
          <w:b w:val="false"/>
          <w:color w:val="000000"/>
          <w:sz w:val="24"/>
        </w:rPr>
        <w:t>), in accordance with the customary payroll practices of the Company applicable to senior executives, but not less frequently than monthly. The CEO shall review Executive’s base salary each Contract Year and may recommend to the Compensation Committee of the Board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an increase in such amount as he may deem advisable, and the Compensation Committee may approve or disapprove of any such recommended increase in its</w:t>
      </w:r>
      <w:r>
        <w:rPr>
          <w:color w:val="000000"/>
          <w:shd w:fill="FFFFFF" w:val="clear"/>
        </w:rPr>
        <w:t xml:space="preserve"> </w:t>
      </w:r>
      <w:r>
        <w:rPr>
          <w:rFonts w:ascii="Times New Roman;serif" w:hAnsi="Times New Roman;serif"/>
          <w:b w:val="false"/>
          <w:color w:val="000000"/>
          <w:sz w:val="24"/>
          <w:shd w:fill="FFFFFF" w:val="clear"/>
        </w:rPr>
        <w:t>sole discretion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Bonus and Incentive Compensation</w:t>
      </w:r>
      <w:r>
        <w:rPr>
          <w:rFonts w:ascii="Times New Roman;serif" w:hAnsi="Times New Roman;serif"/>
          <w:b w:val="false"/>
          <w:color w:val="000000"/>
          <w:sz w:val="24"/>
        </w:rPr>
        <w:t>. Executive will be entitled to participate in the Company’s annual bonus program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Executive shall be eligible to receive a bonus each Contract Year commencing with the 2026 Contract Year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with a target amount equal to 150% of Annual Salary (as the same may be increased from time to time,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and a maximum amount equal to 300% of Annual Salary (as the same may be increased from time to time, “</w:t>
      </w:r>
      <w:r>
        <w:rPr>
          <w:rFonts w:ascii="Times New Roman;serif" w:hAnsi="Times New Roman;serif"/>
          <w:b w:val="false"/>
          <w:color w:val="000000"/>
          <w:sz w:val="24"/>
          <w:u w:val="single"/>
        </w:rPr>
        <w:t>Maximum Bonus</w:t>
      </w:r>
      <w:r>
        <w:rPr>
          <w:color w:val="000000"/>
        </w:rPr>
        <w:t>”</w:t>
      </w:r>
      <w:r>
        <w:rPr>
          <w:rFonts w:ascii="Times New Roman;serif" w:hAnsi="Times New Roman;serif"/>
          <w:b w:val="false"/>
          <w:color w:val="000000"/>
          <w:sz w:val="24"/>
        </w:rPr>
        <w:t>). Executive’s Annual Bonus shall be based on performance goals for the applicable year, all of which shall be determined by the Compensation Committee, which also shall determine the levels of performance below which no bonus will be payable. The Annual Bonus shall be paid in cash on a date within the 74-day period commencing on January 1 of the year following the year in which the applicable performance period ends. The payment of any Annual Bonus following Executive’s termination of employment shall be as set forth in Section 4.</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Equity Incentive Awards</w:t>
      </w:r>
      <w:r>
        <w:rPr>
          <w:rFonts w:ascii="Times New Roman;serif" w:hAnsi="Times New Roman;serif"/>
          <w:b w:val="false"/>
          <w:color w:val="000000"/>
          <w:sz w:val="24"/>
        </w:rPr>
        <w:t>. Executive shall receive each Contract Year commencing with the 2019 Contract Year awards under VICI REIT’s equity incentive plan or such other plans or programs as the Compensation Committee shall determine with a target value, as determined by the Compensation Committee, of at least 200% of Annual Salary, unless prior to the grant date applicable to executive officers generally, Executive has provided notice of intent to retire or either party has otherwise provided notice of termination to the other.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 provision in this Agreement to the contrary, amounts payable hereunder shall be subject to clawback or disgorgement, to the extent applicable, under (A) the Policies or any claw-back policy adopted by VICI REIT or the Company, (B) the Dodd-Frank Wall Street Reform and Consumer Protection Act, as amended, and rules, regulations, and binding, published guidance thereunder, which legislation provides for the clawback and recovery of incentive compensation in the event of certain financial statement restatements and (C) the Sarbanes-Oxley Act of 2002. If pursuant to Section 10D of the Securities Exchange Act of 1934,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VICI REIT or any Company Affiliate (as defined below) would not be eligible for continued listing, if applicable, under Section 10D(a) of the Act if it (or they) did not adopt policies consistent with Section 10D(b) of the Act, then, in accordance with those policies that are so required, any incentive-based compensation payable to Executive under this Agreement or otherwise shall be subject to claw-</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back in the circumstances, to the extent, and in the manner, required by Section 10D(b)(2) of the Act, as interpreted by rules of the Securities Exchange Commission. Nothing in this provision is intended to supersede any existing or future claw-back provision adopted or amended by the Company, including, but not limited to the provision that may be set forth in VICI REIT’s equity incentive plan. For purposes of this Agreement a “</w:t>
      </w:r>
      <w:r>
        <w:rPr>
          <w:rFonts w:ascii="Times New Roman;serif" w:hAnsi="Times New Roman;serif"/>
          <w:b w:val="false"/>
          <w:color w:val="000000"/>
          <w:sz w:val="24"/>
          <w:u w:val="single"/>
        </w:rPr>
        <w:t>Company Affiliate</w:t>
      </w:r>
      <w:r>
        <w:rPr>
          <w:color w:val="000000"/>
        </w:rPr>
        <w:t xml:space="preserve">” </w:t>
      </w:r>
      <w:r>
        <w:rPr>
          <w:rFonts w:ascii="Times New Roman;serif" w:hAnsi="Times New Roman;serif"/>
          <w:b w:val="false"/>
          <w:color w:val="000000"/>
          <w:sz w:val="24"/>
        </w:rPr>
        <w:t>shall mean any individual or entity that directly or indirectly controls, is controlled by, or is under common control with VICI REIT or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Benefits</w:t>
      </w:r>
      <w:r>
        <w:rPr>
          <w:rFonts w:ascii="Times New Roman;serif" w:hAnsi="Times New Roman;serif"/>
          <w:b w:val="false"/>
          <w:color w:val="000000"/>
          <w:sz w:val="24"/>
        </w:rPr>
        <w:t>. Executive shall be permitted during the Term to participate in any group life, hospitalization or disability insurance plans, health programs, retirement plans, fringe benefit programs and similar benefits that may be available to other senior executives of VICI REIT or the Company generally, on the same terms as such other executives, in each case to the extent that Executive is eligible under the terms of such plans or programs. Executive shall be entitled to paid vacation in accordance with the normal vacation policies of the Company, as applicable to employees at Executive's level.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pay or reimburse Executive for all ordinary and reasonable out-of-pocket expenses incurred by Executive during the Term in the performance of Executive’s services under this Agreement; provided that such expenses are incurred and accounted for by Executive in accordance with the relevant Company Policies.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Indemnification Agreement; Directors and Officers Liability Insurance</w:t>
      </w:r>
      <w:r>
        <w:rPr>
          <w:rFonts w:ascii="Times New Roman;serif" w:hAnsi="Times New Roman;serif"/>
          <w:b w:val="false"/>
          <w:color w:val="000000"/>
          <w:sz w:val="24"/>
        </w:rPr>
        <w:t>. Executive and VICI REIT have entered into an Indemnification Agreement in the standard form used by VICI REIT for its directors and officers. Executive will continue to be covered by directors and officers liability insurance on the same basis as generally applied to VICI REIT’s directors and other officers.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Termination by the Company for Cause; Termination by Executive without Good Reason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Company shall have the right to terminate Executive’s employment for Cause. Upon the reasonable belief by the Board that Executive has committed an act (or has failed to act in a manner) which constitutes Cause, the Board may immediately suspend Executive from Executive’s duties herein and bar Executive from its premises during the period of the Company’s investigation of such acts (or failures to act) (the “</w:t>
      </w:r>
      <w:r>
        <w:rPr>
          <w:rFonts w:ascii="Times New Roman;serif" w:hAnsi="Times New Roman;serif"/>
          <w:b w:val="false"/>
          <w:color w:val="000000"/>
          <w:sz w:val="24"/>
          <w:u w:val="single"/>
        </w:rPr>
        <w:t>Investigation Period</w:t>
      </w:r>
      <w:r>
        <w:rPr>
          <w:color w:val="000000"/>
        </w:rPr>
        <w:t>”</w:t>
      </w:r>
      <w:r>
        <w:rPr>
          <w:rFonts w:ascii="Times New Roman;serif" w:hAnsi="Times New Roman;serif"/>
          <w:b w:val="false"/>
          <w:color w:val="000000"/>
          <w:sz w:val="24"/>
        </w:rPr>
        <w:t xml:space="preserve">) and any such suspension shall not be deemed to be a breach of this Agreement by the Company or the Executive and/or otherwise provide Executive a right to terminate Executive’s employment for Good Reason;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Company shall have the right to terminate Executive’s employment for Cause immediately and nothing in this Agreement shall require the Company to provide an Investigation Period or otherwise provide advance notice of termination for Cause, except to the extent that a cure period is available as provided for herein. To the extent that the events giving rise to Cause are, in the reasonable determination of the Board, able to be cured, the Company shall provide the Executive with written notice setting out the events giving rise to Cause and provide Executive with a 5-day period in which to cure such events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terminating Executive’s employment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Executive’s commission of, guilty plea or plea of no contest to, a felony or a misdemeanor (or its equivalent under applicable law),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conduct by Executive that constitutes fraud or embezzlement, or any acts of dishonesty in relation to Executive’s duties with VICI REIT or the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    Executive’s gross negligence, bad faith, or misconduct which causes either reputational or economic harm to VICI REIT the Company or any Company Affiliate, as determined by the Board in its sole discretion,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Executive’s willful refusal or failure to perform Executive’s duties hereunder, as determined by the Board in its sole discretion,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    Executive’s refusal or failure to perform any reasonable directive of VICI REIT or the Company,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    Executive’s knowing misrepresentation of any material fact that the Company reasonably requests,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(vii)    Executive being found unsuitable for, or having been denied, a gaming license, or having such license revoked by a gaming regulatory authority in any jurisdiction in which the Company or any Company Affiliate conducts operations,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    Executive’s violation, as determined by the Board, of any securities, gaming, or employment laws, rules, or regulations,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(ix)    Executive’s breach of Executive’s obligations under this Agreement or violation of the Policies, as determined by the Board in its sole discretion.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clause (iii) above, an act or omission shall not be deemed to be bad faith or misconduct if taken or omitted in the good faith belief that such act or omission was in, or not opposed to, the best interests of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may terminate Executive’s employment hereunder for Cause as set forth above, and Executive may, upon 90 days prior written notice to the Company, terminate his employment at any time. If the Company terminates Executive’s employment for Cause, or Executive terminates his employment and the termination by Executive is not covered by Section 4.3 or 4.4, then (i) within ten (10) business days following such termination, the Company shall pay to Executive any unpaid Annual Salary earned through the date of termination, (ii) within thirty (30) days following such termination or submission of documentation of such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whichever is later, the Company shall reimburse Executive pursuant to Section 3.4 for reasonable expenses incurred but not paid prior to such termination of employment, and (iii) the Company shall provide to Executive other or additional benefits (if any), in accordance with the then-applicable terms of any then-applicable plan, program, agreement or other arrangement of any of the Company or any Company Affiliates in which Executive participates (the rights, including the time of payment, described in sub-clauses (i), (ii), and (iii) are collectively referred to as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Executive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Termination upon Death or Disability</w:t>
      </w:r>
      <w:r>
        <w:rPr>
          <w:rFonts w:ascii="Times New Roman;serif" w:hAnsi="Times New Roman;serif"/>
          <w:b w:val="false"/>
          <w:color w:val="000000"/>
          <w:sz w:val="24"/>
        </w:rPr>
        <w:t>. If Executive dies during the Term, the obligations of the Company to or with respect to Executive shall terminate in their entirety except as otherwise provided under this Section 4.2. If Executive becomes “disabled” (defined for purposes of this Agreement, if Executive by virtue of ill health or other disability is unable to perform substantially the duties assigned to him for at least 90 consecutive or non-consecutive days out of any consecutive 12-month period), the Company shall have the right, to the extent permitted by law (including under the Americans with Disabilities Act), to terminate the employment of Executive upon notice in writing to Executive. Upon death or termination of employment by virtue of disability in accordance with this Section 4.2, Executive (or Executive’s estate or beneficiaries in the case of the death of Executive) shall have no right to receive any compensation or benefits hereunder on and after the effective date of the termination of employment other than: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Accrued Obligations, as set forth in Section 4.1;</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any Annual Bonus earned for the Contract Year prior to the year of termination but not yet paid, which shall be paid at the date such Annual Bonus would have been paid had Executive’s employment not been terminated (any such entitlement, including the payment date, an “</w:t>
      </w:r>
      <w:r>
        <w:rPr>
          <w:rFonts w:ascii="Times New Roman;serif" w:hAnsi="Times New Roman;serif"/>
          <w:b w:val="false"/>
          <w:color w:val="000000"/>
          <w:sz w:val="24"/>
          <w:u w:val="single"/>
        </w:rPr>
        <w:t>Accrued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a cash payment equal to the prorated portion (based on the number of complete months employed during the Contract Year) of the Annual Bonus that Executive would have received had his employment not been terminated (based on the actual level of achievement of the applicable performance goals) for the Contract Year in which Executive’s employment hereunder terminates, payable at such time as the Annual Bonus would have been paid had Executive’s employment not been terminated, provided, however, that Executive shall not receive the Pro-Rata Bonus if the Company does not pay bonuses to employees generally for such Contract Year (such entitlement, including the payment date,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elimination of any time-based vesting conditions on each outstanding unvested restricted stock, stock option or other equity award in VICI REIT or the Company that Executive had been granted and which Executive then continues to hold;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the extent that any of Executive’s vested equity awards are subject to a restriction on transfer within a specified period following vesting, such restriction shall be lifted.</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 the case of a termination of Executive by virtue of disability, the compensation and benefits described in clauses (B) through (E), above, will be conditioned on Executive’s delivery of a separation agreement and release in the form attached hereto as Exhibit A (with such changes as may be necessary due to applicable law)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which Separation Agreement shall have become irrevocable. Executive (or, in the case of his death, his estate and beneficiaries)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Termination by the Company without Cause or by Executive for Good Reason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Agreement, Executive shall have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to terminate Executive’s employment if, (i) within thirty (30) days after Executive knows (or has reason to know) of the occurrence of any of the following events, Executive provides written notice to the Company requesting that it cure such event, (ii) the Company fails to cure such event, if curable, within sixty (60) days following such notice, except as set forth below, and, (iii) within ten (10) days after the expiration of such cure period, Executive terminates his employment: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a reduction in Executive’s Annual Salary or Target Bonus or Maximum Bonus opportunity or failure to pay compensation due under this Agreement, which reduction only may be cured within thirty (30) days following written notice by Executive;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a material diminution in Executive’s duties or responsibilities or the assignment to Executive of duties materially inconsistent with Executive's positions, titles, offices, duties, or responsibilities with VICI REIT or the Company (not including any Investigation Period), which diminution or assignment only may be cured within thirty (30) days following written notice by Executive;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relocation of Executive’s principal business office to any location outside of New York, NY;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any other material breach by VICI REIT or the Company of any of its obligations to the Executive under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If the Company terminates Executive’s employment and the termination is not covered by Section 4.1, 4.2 or 4.4, or if Executive terminates his employment for Good Reason, the following shall apply: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Subject to Executive’s delivery of a Separation Agreement, which Separation Agreement shall have become irrevocable, and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Executive’s compliance with the covenants set forth in Section 6, Executive (or Executive’s estate or beneficiaries in the case of Executive’s death)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the sum of (i) Executive’s Annual Salary (without any proration) and (ii) Executive’s Annual Bonus at the target level for the Contract Year in which Executive’s employment hereunder terminates (without any proration), payable in equal installments over a 12-month period in accordance with the Company’s usual and customary payroll practices;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    a cash payment of $27,500;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a pro-rata portion (based on the number of complete months employed during the applicable performance period and applied separately to each performance goal, to the extent applicable) of outstanding unvested equity awards that are subject to performance-based vesting conditions (whether or not in tandem with time-based vesting conditions) will not be forfeited as of such termination of employment but will continue to be outstanding until the end of the applicable performance period, at which time they may vest to the extent the applicable performance goals have been achieved;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(G)    to the extent that Executive holds outstanding vested stock options as of the termination of employment (including to the extent vested pursuant to clause (E) above), such stock options shall remain exercisable until the date six months after the effective date of such termination of employment, or the option expiration date, if earlier; and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(iii)    Subject to Section 4.5, amounts payable pursuant to clause (C) of Section 4.3(b)(ii) shall commence, and the amount payable pursuant to clause (D) of Section 4.3(b)(ii) shall be paid, on the 74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from service (the “</w:t>
      </w:r>
      <w:r>
        <w:rPr>
          <w:rFonts w:ascii="Times New Roman;serif" w:hAnsi="Times New Roman;serif"/>
          <w:b w:val="false"/>
          <w:color w:val="000000"/>
          <w:sz w:val="24"/>
          <w:u w:val="single"/>
        </w:rPr>
        <w:t>Payment Commencement Date”</w:t>
      </w:r>
      <w:r>
        <w:rPr>
          <w:rFonts w:ascii="Times New Roman;serif" w:hAnsi="Times New Roman;serif"/>
          <w:b w:val="false"/>
          <w:color w:val="000000"/>
          <w:sz w:val="24"/>
        </w:rPr>
        <w:t>), provided Executive has delivered the Separation Agreement to the Employer and such Separation Agreement has become irrevocable, and provided, further, that the first such payment with respect to clause (C) shall be equal to the amount that would have been payable under such clauses between the date of termination and the Payment Commencement Date had such payments commenced at the separation from service.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Termination by the Company without Cause or by Executive for Good Reason in Connection with a Change in Control</w:t>
      </w:r>
      <w:r>
        <w:rPr>
          <w:rFonts w:ascii="Times New Roman;serif" w:hAnsi="Times New Roman;serif"/>
          <w:b w:val="false"/>
          <w:color w:val="000000"/>
          <w:sz w:val="24"/>
        </w:rPr>
        <w:t>. If the Company terminates Executive’s employment and the termination is not covered by Section 4.1 or 4.2, or if Executive terminates his employment for Good Reason, and the date of notice of such termination of employment is either within six months before or twelve months after a Change in Control, as defined below, the following shall apply in lieu of the provisions of Section 4.3(b):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Subject to Executive’s delivery of a Separation Agreement, which shall have become irrevocable, and subject to Executive’s compliance with the covenants set forth in Section 6, Executive (or Executive’s estate or beneficiaries in the case of the death of Executive)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 assuming achievement of all performance goals at target and regardless of whether the Company pays bonuses to employees generally for such Contract Year;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150% of the sum of (i) Executive’s Annual Salary (without any proration) and (ii) Executive’s Annual Bonus at the target level for the Contract Year in which Executive’s employment hereunder terminates (without any proration), payable in a lump sum (except to the extent that Section 409A of the Code requires such amount to be paid on the installment schedule described in Section 4.3(b)(ii)(C));</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a cash payment of $40,000;</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(F)    all performance-based equity will remain outstanding and eligible to vest, subject solely to achievement of the applicable performance goals prorated through the date of termination;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to the extent that Executive holds outstanding stock options as of the termination of employment, such stock options shall remain exercisable until the date six months after the effective date of such termination of employment, or the option expiration date, if earlier; and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Subject to Section 4.5 and unless otherwise provided herein, amounts payable pursuant to clauses (B), (C) and (D) of Section 4.4(ii) shall be paid on the Payment Commencement Date, provided Executive has delivered the Separation Agreement to the Employer and such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For purposes of this Agreement, a “Change in Control” 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any transaction or group of related transactions (whether a merger, consolidation, sale or otherwise) pursuant to which any Person, as defined below, (in any case, excluding the Company and any Company Affiliate) or group (within the meaning of Section 13(d)(3) of the Exchange Act) of such Persons acting together pursuant to which such Person or group of Persons acquires a majority of the aggregate voting power of the capital stock ordinarily entitled to elect directors of VICI REIT;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    any disposition in one transaction or a series of related transactions, of all or substantially all of the assets of VICI REIT and its Subsidiaries (which shall be defined to include any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corporation, partnership, limited liability company or other entity of which more than 50% of the economic interest in such entity is owned directly or indirectly by VICI REIT or another subsidiary of VICI REIT), determined on a consolidated basis, to any Person or Persons (in any case, excluding the Company and any Company Affiliate);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within a 12-month period, a majority of the members of the Board cease to be Continuing Directors; as used herein, a “Continuing Director” means any member of the Board who was a member of such Board on the date hereof; provided that any person becoming a director subsequent to such date whose election or nomination for election was supported by a majority of the directors who then comprised the Continuing Directors shall be considered to be a Continuing Director.</w:t>
      </w:r>
    </w:p>
    <w:p>
      <w:pPr>
        <w:pStyle w:val="TextBody"/>
        <w:bidi w:val="0"/>
        <w:spacing w:lineRule="auto" w:line="288" w:before="0" w:after="240"/>
        <w:jc w:val="left"/>
        <w:rPr/>
      </w:pPr>
      <w:r>
        <w:rPr>
          <w:rFonts w:ascii="Times New Roman;serif" w:hAnsi="Times New Roman;serif"/>
          <w:b w:val="false"/>
          <w:color w:val="000000"/>
          <w:sz w:val="24"/>
        </w:rPr>
        <w:t>For the purposes hereof, the term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 individual, partnership, corporation, limited liability company, association, joint stock company, trust, joint venture, unincorporated organization, association or other entity or a governmental entity. Notwithstanding the foregoing, to the extent that a Change in Control is the basis for a payment that is subject to Section 409A of the Code, a Change in Control shall be deemed to occur with respect to such payment only if a change in the ownership or effective control of VICI REIT or a change in the ownership of a substantial portion of the assets of VICI REIT shall also be deemed to have occurred under Section 409A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Delay in Payment to a Specified Employee</w:t>
      </w:r>
      <w:r>
        <w:rPr>
          <w:rFonts w:ascii="Times New Roman;serif" w:hAnsi="Times New Roman;serif"/>
          <w:b w:val="false"/>
          <w:color w:val="000000"/>
          <w:sz w:val="24"/>
        </w:rPr>
        <w:t>. If Executive is a “specified employee” within the meaning of Treasury Regulation Section 1.409A-1(i) as of the date of Executive’s separation from service, the provisions of this Section 4.5 shall apply, but only if and to the extent required to avoid the imputation of any tax, penalty or interest pursuant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and interpretive guidance promulgated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No distribution shall be made to Executive under Section 4.2, 4.3 or 4.4 of this Agreement before the date that is six months after his separation from service or, if earlier, the date of Executive’s death. Any amounts otherwise payable to Executive upon or in the six month period following Executive’s separation from service that are not so paid by reason of this Section 4.5 shall be paid (without interest) as soon as practicable (and in all events within 10 days) after the date that is six months after Executive’s separation from service (or, if earlier, as soon as practicable, and in all events within 10 days, after the date of Executive’s death).</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that the payments and benefits (the “</w:t>
      </w:r>
      <w:r>
        <w:rPr>
          <w:rFonts w:ascii="Times New Roman;serif" w:hAnsi="Times New Roman;serif"/>
          <w:b w:val="false"/>
          <w:color w:val="000000"/>
          <w:sz w:val="24"/>
          <w:u w:val="single"/>
        </w:rPr>
        <w:t>Payments</w:t>
      </w:r>
      <w:r>
        <w:rPr>
          <w:color w:val="000000"/>
        </w:rPr>
        <w:t>”</w:t>
      </w:r>
      <w:r>
        <w:rPr>
          <w:rFonts w:ascii="Times New Roman;serif" w:hAnsi="Times New Roman;serif"/>
          <w:b w:val="false"/>
          <w:color w:val="000000"/>
          <w:sz w:val="24"/>
        </w:rPr>
        <w:t>) paid or provided to Executive under this Agreement or otherwise (a) constitute “parachute payments” within the meaning of Section 280G of the Code (“</w:t>
      </w:r>
      <w:r>
        <w:rPr>
          <w:rFonts w:ascii="Times New Roman;serif" w:hAnsi="Times New Roman;serif"/>
          <w:b w:val="false"/>
          <w:color w:val="000000"/>
          <w:sz w:val="24"/>
          <w:u w:val="single"/>
        </w:rPr>
        <w:t>Section 280G</w:t>
      </w:r>
      <w:r>
        <w:rPr>
          <w:color w:val="000000"/>
        </w:rPr>
        <w:t>”</w:t>
      </w:r>
      <w:r>
        <w:rPr>
          <w:rFonts w:ascii="Times New Roman;serif" w:hAnsi="Times New Roman;serif"/>
          <w:b w:val="false"/>
          <w:color w:val="000000"/>
          <w:sz w:val="24"/>
        </w:rPr>
        <w:t>), and (b) but for this Section 5, would be subject to the excise tax imposed by Section 4999 of the Code (“</w:t>
      </w:r>
      <w:r>
        <w:rPr>
          <w:rFonts w:ascii="Times New Roman;serif" w:hAnsi="Times New Roman;serif"/>
          <w:b w:val="false"/>
          <w:color w:val="000000"/>
          <w:sz w:val="24"/>
          <w:u w:val="single"/>
        </w:rPr>
        <w:t>Section 4999</w:t>
      </w:r>
      <w:r>
        <w:rPr>
          <w:color w:val="000000"/>
        </w:rPr>
        <w:t>”</w:t>
      </w:r>
      <w:r>
        <w:rPr>
          <w:rFonts w:ascii="Times New Roman;serif" w:hAnsi="Times New Roman;serif"/>
          <w:b w:val="false"/>
          <w:color w:val="000000"/>
          <w:sz w:val="24"/>
        </w:rPr>
        <w:t xml:space="preserve">), then the Payments shall be either (x) delivered in full, or (y) delivered as to such lesser extent which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would result in no portion of the Payments being subject to excise tax under Section 4999, whichever of the foregoing amounts, taking into account the applicable federal, state and local income taxes and the excise tax imposed by Section 4999, results in the receipt by Executive on an after-tax basis of the greatest amount of the Payments, notwithstanding that all or some portion of the Payments may be taxable under Section 4999. The provisions of this Section 5 shall apply if, at the time of any change in ownership or control of VICI REIT (within the meaning of Section 280G), VICI REIT is an entity whose stock is readily tradable on an established securities market (or otherwise), within the meaning of Section 280G.</w:t>
      </w:r>
    </w:p>
    <w:p>
      <w:pPr>
        <w:pStyle w:val="TextBody"/>
        <w:bidi w:val="0"/>
        <w:spacing w:lineRule="auto" w:line="288" w:before="0" w:after="240"/>
        <w:ind w:left="0" w:right="0" w:firstLine="144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Accountants’ Determinations</w:t>
      </w:r>
      <w:r>
        <w:rPr>
          <w:rFonts w:ascii="Times New Roman;serif" w:hAnsi="Times New Roman;serif"/>
          <w:b w:val="false"/>
          <w:color w:val="000000"/>
          <w:sz w:val="24"/>
        </w:rPr>
        <w:t>. Unless VICI REIT, the Company and Executive otherwise agree in writing, any determination required under this Section 5 shall be made in writing by VICI REIT’s independent public accountants (the “</w:t>
      </w:r>
      <w:r>
        <w:rPr>
          <w:rFonts w:ascii="Times New Roman;serif" w:hAnsi="Times New Roman;serif"/>
          <w:b w:val="false"/>
          <w:color w:val="000000"/>
          <w:sz w:val="24"/>
          <w:u w:val="single"/>
        </w:rPr>
        <w:t>Accountants</w:t>
      </w:r>
      <w:r>
        <w:rPr>
          <w:color w:val="000000"/>
        </w:rPr>
        <w:t>”</w:t>
      </w:r>
      <w:r>
        <w:rPr>
          <w:rFonts w:ascii="Times New Roman;serif" w:hAnsi="Times New Roman;serif"/>
          <w:b w:val="false"/>
          <w:color w:val="000000"/>
          <w:sz w:val="24"/>
        </w:rPr>
        <w:t>) immediately prior to the transaction described in Section 280G(b)(2)(A)(i) of the Code, whose determination shall be conclusive and binding upon Executive, VICI REIT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 280G and Section 4999. VICI REIT, the Company and Executive shall furnish to the Accountants such information and documents as the Accountants may reasonably request in order to make a determination under this Section 5. The Company shall bear all costs the Accountants may reasonably incur in connection with any calculations contemplated by this Section 5. If a reduction in the Payments constituting “parachute payments” as defined in Section 280G is necessary so that benefits are delivered to a lesser extent, reduction will occur in the following order: (a) reduction of the cash payments and (b) cancellation of accelerated vesting of equity awards. In the event that the accelerated vesting of equity awards is to be cancelled, such vesting acceleration shall be cancelled in the reverse chronological order of Executive’s equity awards’ grant dates.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Non-Competition, Non-Solicitation, and Confidentiality; Certain Other Covenants</w:t>
      </w:r>
      <w:r>
        <w:rPr>
          <w:rFonts w:ascii="Times New Roman;serif" w:hAnsi="Times New Roman;serif"/>
          <w:b w:val="false"/>
          <w:color w:val="000000"/>
          <w:sz w:val="24"/>
        </w:rPr>
        <w:t xml:space="preserve">. Executive acknowledges that: (i) as a result of Executive’s employment by the Company, Executive has obtained and will obtain Confidential Information (as defined below); (ii) the Confidential Information has been developed and created by the Company and Company Affiliates at substantial expense and the Confidential Information constitutes valuable proprietary assets of the Company; (iii) the Company and the Company Affiliates will suffer substantial damage and irreparable harm which will be difficult to compute if, during the Term or thereafter, Executive should violate the provisions of this Section 6; (iv) the nature of the Company’s and the Company Affiliates’ business is such that it can be conducted anywhere in the world and is not limited to a geographic scope or region; (v) the Company and the Company Affiliates will suffer substantial damage which will be difficult to compute if, during the Term or thereafter, Executive should solicit or interfere with the Company’s or the Company Affiliates’ employees, clients, or customers in violation of the provisions of this Section 6 or should divulge Confidential Information relating to the business of the Company or the Company Affiliates; (vi) the provisions of this Agreement are reasonable and necessary for the protection of the business of the Company and the Company Affiliates; (vii) the Company would not have hired or continued to employ Executive or grant the benefits contemplated under this Agreement unless Executive agreed to be bound by the terms hereof; and (viii) the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will not preclude Executive from other gainful employment following Executive’s termination from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Disclosure of Confidential Information</w:t>
      </w:r>
      <w:r>
        <w:rPr>
          <w:rFonts w:ascii="Times New Roman;serif" w:hAnsi="Times New Roman;serif"/>
          <w:b w:val="false"/>
          <w:color w:val="000000"/>
          <w:sz w:val="24"/>
        </w:rPr>
        <w:t>. Executive acknowledges that the Company will provide Executive with confidential and proprietary information regarding the business in which the Company and Company Affiliates are involved, and the Company and the Company Affiliates will provide Executive with trade secrets of the Company and the Company Affiliates (hereinafter all such confidential information and trade secrets referred to as the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For purposes of this Agreement, “Confidential Information” includes, but is not limited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Information related to the business of the Company and the Company Affiliates, including but not limited to marketing strategies and plans, operating policies and procedures, business and strategic plans, finances, financial management systems, financial statements and projections, accounting and tax positions and procedures, organizational charts, salary and benefit programs, and other business and financial information of the Company and the Company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Information regarding the tenants, borrowers, and financing partners of the Company and the Company Affiliates (collectively, “P</w:t>
      </w:r>
      <w:r>
        <w:rPr>
          <w:rFonts w:ascii="Times New Roman;serif" w:hAnsi="Times New Roman;serif"/>
          <w:b w:val="false"/>
          <w:color w:val="000000"/>
          <w:sz w:val="24"/>
          <w:u w:val="single"/>
        </w:rPr>
        <w:t>artners</w:t>
      </w:r>
      <w:r>
        <w:rPr>
          <w:color w:val="000000"/>
        </w:rPr>
        <w:t>”</w:t>
      </w:r>
      <w:r>
        <w:rPr>
          <w:rFonts w:ascii="Times New Roman;serif" w:hAnsi="Times New Roman;serif"/>
          <w:b w:val="false"/>
          <w:color w:val="000000"/>
          <w:sz w:val="24"/>
        </w:rPr>
        <w:t>) which Executive acquired as a result of his employment with the Company, including but not limited to, confidential agreements or contracts, work performed for Partners, Partner contacts, Partner requirements and needs, data used by the Company and the Company Affiliates to formulate Partner proposals, Partners’ financial information and other information regarding the Partners’ respective businesses;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Information regarding the vendors of the Company and the Company Affiliates which Executive acquired as a result of his employment with the Company, including but not limited to, product and service information and other information regarding the business activities of such vendors;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Training materials developed by and utilized by the Company and the Company Affiliates;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Any other information which Executive acquired as a result of his employment with the Company and which Executive has a reasonable basis to believe the Company or the Company Affiliates, as the case may be, would not want disclosed to a business competitor or to the general public;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Information which:</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is proprietary to, about or created by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gives the Company or any of the Company Affiliates some competitive advantage, the opportunity of obtaining such advantage or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disclosure of which could be detrimental to the interests of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is not typically disclosed to non-executives by the Company or otherwise is treated as confidential by the Company or the Company Affiliates;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is designated as Confidential Information by the Company or the Company Affiliates or from all the relevant circumstances should reasonably be assumed by Executive to be confidential to the Company or any Company Affiliates;</w:t>
      </w:r>
    </w:p>
    <w:p>
      <w:pPr>
        <w:pStyle w:val="TextBody"/>
        <w:bidi w:val="0"/>
        <w:spacing w:lineRule="auto" w:line="288" w:before="0" w:after="240"/>
        <w:jc w:val="left"/>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Confidential Information shall not include information which at the time of receipt or thereafter becomes publicly known or is obtainable in the public domain, in either case through no wrongful act of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Covenant Not to Compete</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the disclosure of Confidential Information to Executive, Executive shall not, directly or indirectly, for compensation or otherwise, engage in or have any interest in (i) Gaming and Leisure Properties, Inc. and its Subsidiaries and Affiliates, and (ii) any sole proprietorship, partnership, corporation, company, association, business or any other person or entity (whether as an employee, officer, corporation, business or any creditor, consultant or otherwise) that, directly or indirectly, competes with the Company’s “Business” (as defined below) in any and all states in which the Company or any Company Affiliate conducts such business or within 100 miles of any location where the Company or any Company Affiliate conducts such business while Executive is employed by the Company or any Company Affiliate and, with respect to the period following the termination of Executive’s employment, within the two-year period preceding such termination of employment; provided, however, Executive may continue to hold securities of the Company or any Company Affiliate or continue to hold or acquire, solely as an investment, shares of capital stock or other equity securities of any company if (a) he currently holds an interest in such stock or other securities, and before the date hereof has disclosed to the Board in detail (i) the applicable company (or companies) and (ii) the specific stock or other equity securities of the entity he owns, or (b) the stock or other securities are traded on any national securities exchange or are regularly quoted in the over-the-counter market, so long as Executive does not control, acquire a controlling interest in, or become a member of a group which exercises direct or indirect control of more than 1% of any class of capital stock of such entity (other than through an investment in any mutual, private equity or hedge fund or similar pooled investment vehicle). For purposes of this Agreement, the Company’s “</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is defined as the ownership or operation of a Real Estate Investment Trust that invests in lines of business in which VICI REIT or the Company invests or in which VICI REIT or the Company has active plans to invest as of the date Executive’s employment terminates, and such other businesses conducted by the Company or any Company Affiliate after the date hereof, and from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time to time during the Term or such other businesses that the Company or any Company Affiliate had active plans to engage in as of the date Executive’s employment terminates.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Non-Solicitation of Certain Persons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business or other entity, solicit, attempt to contract with, or enter into a contractual or business relationship of any kind pertaining to any aspect of the Company’s Business, or any other business conducted by the Company or any Company Affiliate at the time of termination of employment or at any time in the prior 12-month period, with any person or entity with which the Company or any Company Affiliate has any contractual or business relationship of a material operating or strategic nature or in the previous 12 months has engaged in negotiations toward such a relationship.</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or other entity, either (a) hire, attempt to employ, contact with respect to hiring, solicit with respect to hiring or enter into any contractual arrangement with any employee or former employee of the Company or any Company Affiliate, or (b) induce or otherwise advise or encourage any employee of the Company or any Company Affiliate to leave his or her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6.5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Subject to Sections 6.6 and 6.10, while employed by the Company and after Executive’s employment terminates for any reason, in consideration of the obligations of VICI REIT and the Company hereunder, including without limitation its disclosure of Confidential Information to Executive, Executive shall keep secret and retain in strictest confidence, shall not disclose to any third-party, and shall not use for his benefit or the benefit of others, except in connection with the business affairs of the Company or any Company Affiliate (collectively, the “</w:t>
      </w:r>
      <w:r>
        <w:rPr>
          <w:rFonts w:ascii="Times New Roman;serif" w:hAnsi="Times New Roman;serif"/>
          <w:b w:val="false"/>
          <w:color w:val="000000"/>
          <w:sz w:val="24"/>
          <w:u w:val="single"/>
        </w:rPr>
        <w:t>Benefited Persons</w:t>
      </w:r>
      <w:r>
        <w:rPr>
          <w:color w:val="000000"/>
        </w:rPr>
        <w:t>”</w:t>
      </w:r>
      <w:r>
        <w:rPr>
          <w:rFonts w:ascii="Times New Roman;serif" w:hAnsi="Times New Roman;serif"/>
          <w:b w:val="false"/>
          <w:color w:val="000000"/>
          <w:sz w:val="24"/>
        </w:rPr>
        <w:t>), any Confidential Information unless such disclosure is required by a valid subpoena or other legal mandate or otherwise by rule of law or other valid order of a court or government body or agency or in any litigation between the Executive and any Benefited Person. In the event disclosure is so required, Executive shall provide the Company with written notice within three (3) days of receiving such subpoena or other order if legally permitted to do so, and shall cooperate with VICI REIT and the Company in seeking an appropriate protective order and in attempting to keep such information confidential to the maximum extent possible. Executive agrees to promptly deliver to the Company upon request the originals and all copies, in whatever medium, of all such Confidential Information in Executive’s possession, custody or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6.6 </w:t>
      </w:r>
      <w:r>
        <w:rPr>
          <w:rFonts w:ascii="Times New Roman;serif" w:hAnsi="Times New Roman;serif"/>
          <w:b w:val="false"/>
          <w:color w:val="000000"/>
          <w:sz w:val="24"/>
          <w:u w:val="single"/>
        </w:rPr>
        <w:t>Permitted Uses of Trade Secrets</w:t>
      </w:r>
      <w:r>
        <w:rPr>
          <w:rFonts w:ascii="Times New Roman;serif" w:hAnsi="Times New Roman;serif"/>
          <w:b w:val="false"/>
          <w:color w:val="000000"/>
          <w:sz w:val="24"/>
        </w:rPr>
        <w:t>. Misappropriation of a trade secret of the Company or any Company Affiliate in breach of this Agreement may subject Executive to liability under the Defend Trade Secrets Act of 2016 (the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Company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6.7 </w:t>
      </w:r>
      <w:r>
        <w:rPr>
          <w:rFonts w:ascii="Times New Roman;serif" w:hAnsi="Times New Roman;serif"/>
          <w:b w:val="false"/>
          <w:color w:val="000000"/>
          <w:sz w:val="24"/>
          <w:u w:val="single"/>
        </w:rPr>
        <w:t>Tangible Items</w:t>
      </w:r>
      <w:r>
        <w:rPr>
          <w:rFonts w:ascii="Times New Roman;serif" w:hAnsi="Times New Roman;serif"/>
          <w:b w:val="false"/>
          <w:color w:val="000000"/>
          <w:sz w:val="24"/>
        </w:rPr>
        <w:t>. All files, records, documents, manuals, books, forms, reports, memoranda, studies, data, calculations, recordings, or correspondence, whether visually perceptible, machine-readable or otherwise, in whatever form they may exist, and all copies, abstracts and summaries of the foregoing, and all physical items related to the business of the Company or any Company Affiliate, whether of a public nature or not, and whether prepared by Executive or not, are and shall remain the exclusive property of the Company or any Company Affiliate, as applicable, and shall not be removed from its premises, except as required in the course of Executive’s employment by the Company, without the prior written consent of the Company. Such items, including any copies or other reproductions thereof, shall be promptly returned by Executive to the Company at any time upon the written request of the Company and in all events upon termination of his employment (or, if requested by the Company, destroyed by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6.8 </w:t>
      </w:r>
      <w:r>
        <w:rPr>
          <w:rFonts w:ascii="Times New Roman;serif" w:hAnsi="Times New Roman;serif"/>
          <w:b w:val="false"/>
          <w:color w:val="000000"/>
          <w:sz w:val="24"/>
          <w:u w:val="single"/>
        </w:rPr>
        <w:t>Remedies</w:t>
      </w:r>
      <w:r>
        <w:rPr>
          <w:rFonts w:ascii="Times New Roman;serif" w:hAnsi="Times New Roman;serif"/>
          <w:b w:val="false"/>
          <w:color w:val="000000"/>
          <w:sz w:val="24"/>
        </w:rPr>
        <w:t>. VICI REIT, the Company and Executive acknowledge and agree that a breach by Executive of any of the covenants contained in this Section 6 will cause immediate and irreparable harm and damage to the Company and the Company Affiliates, and that monetary damages will be inadequate to compensate the Company and the Company Affiliates, as the case may be, for such breach. Accordingly, Executive acknowledges that the Company and the Company Affiliates shall, in addition to any other remedies available to it at law or in equity, be entitled to an injunction from any court of competent jurisdiction enjoining and restraining any violation of said covenants by Executive or any of his affiliates, associates, partners or agents, either directly or indirectly, without the necessity of posting a bond, or proving the inadequacy of legal remedies or irreparable harm.</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6.9 </w:t>
      </w:r>
      <w:r>
        <w:rPr>
          <w:rFonts w:ascii="Times New Roman;serif" w:hAnsi="Times New Roman;serif"/>
          <w:b w:val="false"/>
          <w:color w:val="000000"/>
          <w:sz w:val="24"/>
          <w:u w:val="single"/>
        </w:rPr>
        <w:t>Modification</w:t>
      </w:r>
      <w:r>
        <w:rPr>
          <w:rFonts w:ascii="Times New Roman;serif" w:hAnsi="Times New Roman;serif"/>
          <w:b w:val="false"/>
          <w:color w:val="000000"/>
          <w:sz w:val="24"/>
        </w:rPr>
        <w:t xml:space="preserve">. If, at any time, a reviewing court of appropriate jurisdiction called upon to issue an injunction in accordance with Section 6.8 finds any of the provisions of this Section 6 to be invalid or unenforceable under any applicable law, by reason of being vague or unreasonable as to area, duration, or scope of activity, this Agreement shall be considered divisible and such court shall have authority to modify this Agreement to cover only such area,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duration, and scope as shall be determined to be reasonable and enforceable by the court. Executive, VICI REIT, and the Company agree that this Agreement, as so amended, shall be valid and binding as though any invalid or unenforceable provision had not been included herein.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6.10 </w:t>
      </w:r>
      <w:r>
        <w:rPr>
          <w:rFonts w:ascii="Times New Roman;serif" w:hAnsi="Times New Roman;serif"/>
          <w:b w:val="false"/>
          <w:color w:val="000000"/>
          <w:sz w:val="24"/>
          <w:u w:val="single"/>
        </w:rPr>
        <w:t>Confidential Disclosure to Governmental and Quasi-Governmental Entities</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6.11 </w:t>
      </w:r>
      <w:r>
        <w:rPr>
          <w:rFonts w:ascii="Times New Roman;serif" w:hAnsi="Times New Roman;serif"/>
          <w:b w:val="false"/>
          <w:color w:val="000000"/>
          <w:sz w:val="24"/>
          <w:u w:val="single"/>
        </w:rPr>
        <w:t>Company Property</w:t>
      </w:r>
      <w:r>
        <w:rPr>
          <w:rFonts w:ascii="Times New Roman;serif" w:hAnsi="Times New Roman;serif"/>
          <w:b w:val="false"/>
          <w:color w:val="000000"/>
          <w:sz w:val="24"/>
        </w:rPr>
        <w:t>. The parties hereto agree that any work of authorship, invention, design, discovery, development, technique, improvement, source code, hardware, device, data, apparatus, practice, process, method, or other work product whatever related to the Company’s or the Company Affiliates’ business (whether patentable or subject to copyright, or not, and hereinafter collectively called “</w:t>
      </w:r>
      <w:r>
        <w:rPr>
          <w:rFonts w:ascii="Times New Roman;serif" w:hAnsi="Times New Roman;serif"/>
          <w:b w:val="false"/>
          <w:color w:val="000000"/>
          <w:sz w:val="24"/>
          <w:u w:val="single"/>
        </w:rPr>
        <w:t>discovery</w:t>
      </w:r>
      <w:r>
        <w:rPr>
          <w:color w:val="000000"/>
        </w:rPr>
        <w:t>”</w:t>
      </w:r>
      <w:r>
        <w:rPr>
          <w:rFonts w:ascii="Times New Roman;serif" w:hAnsi="Times New Roman;serif"/>
          <w:b w:val="false"/>
          <w:color w:val="000000"/>
          <w:sz w:val="24"/>
        </w:rPr>
        <w:t>) that Executive, either solely or in collaboration with others, conceives, creates, makes, discovers, invents, develops, perfects, or reduces to practice during the term of Executive’s employment, whether or not during regular business hours or on the Company’s or any Company Affiliates’ premises, shall be the sole and complete property of the Company and/or the Company Affiliates. More particularly, and without limiting the foregoing,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(subsections (i) - (iv) collectively, “</w:t>
      </w:r>
      <w:r>
        <w:rPr>
          <w:rFonts w:ascii="Times New Roman;serif" w:hAnsi="Times New Roman;serif"/>
          <w:b w:val="false"/>
          <w:color w:val="000000"/>
          <w:sz w:val="24"/>
          <w:u w:val="single"/>
        </w:rPr>
        <w:t>Intellectual Property Products</w:t>
      </w:r>
      <w:r>
        <w:rPr>
          <w:color w:val="000000"/>
        </w:rPr>
        <w:t>”</w:t>
      </w:r>
      <w:r>
        <w:rPr>
          <w:rFonts w:ascii="Times New Roman;serif" w:hAnsi="Times New Roman;serif"/>
          <w:b w:val="false"/>
          <w:color w:val="000000"/>
          <w:sz w:val="24"/>
        </w:rPr>
        <w:t>) created, conceived, or prepared on the Company’s or the Company Affiliates’ premises or otherwise, whether or not during normal business hours, and related to the Company’s business, shall perpetually and throughout the world be the exclusive property of the Company and/or the Company Affiliates, as shall all tangible media (including, but not limited to, papers, computer media, and digital and cloud-based of all types and models) in which such Intellectual Property Products shall be recorded or otherwise fixed. Upon termination of Executive’s employment with the Company for any reason whatsoever, and at any earlier time the Company so requests, Executive will immediately deliver to the custody of the person designated by the General Counsel of the Company all originals and copies of any documents and other property of the Company or any Company Affiliates in Executive’s possession or under Executive’s custody or control.</w:t>
      </w:r>
    </w:p>
    <w:p>
      <w:pPr>
        <w:pStyle w:val="TextBody"/>
        <w:bidi w:val="0"/>
        <w:spacing w:lineRule="auto" w:line="288" w:before="0" w:after="240"/>
        <w:ind w:left="0" w:right="0" w:firstLine="1440"/>
        <w:jc w:val="left"/>
        <w:rPr/>
      </w:pPr>
      <w:r>
        <w:rPr>
          <w:rFonts w:ascii="Times New Roman;serif" w:hAnsi="Times New Roman;serif"/>
          <w:b w:val="false"/>
          <w:color w:val="000000"/>
          <w:sz w:val="24"/>
        </w:rPr>
        <w:t>6.12    </w:t>
      </w:r>
      <w:r>
        <w:rPr>
          <w:rFonts w:ascii="Times New Roman;serif" w:hAnsi="Times New Roman;serif"/>
          <w:b w:val="false"/>
          <w:color w:val="000000"/>
          <w:sz w:val="24"/>
          <w:u w:val="single"/>
        </w:rPr>
        <w:t>Works for Hire</w:t>
      </w:r>
      <w:r>
        <w:rPr>
          <w:rFonts w:ascii="Times New Roman;serif" w:hAnsi="Times New Roman;serif"/>
          <w:b w:val="false"/>
          <w:color w:val="000000"/>
          <w:sz w:val="24"/>
        </w:rPr>
        <w:t>. Executive agrees that all works of authorship created in whole or in part by Executive during Executive’s engagement by the Company and related to the Company’s business shall be works made for hire of which the Company or the Company Affiliates is the author and owner of copyright. To the extent that any competent decision-</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making authority should ever determine that any work of authorship created by Executive during Executive’s engagement by the Company is not a work made for hire, Executive hereby assigns all right, title, and interest in the copyright therein, in perpetuity and throughout the world, to the Company. To the extent that this Agreement does not otherwise serve to grant or otherwise vest in the Company or any of the Company Affiliates all rights in any Intellectual Property Product created in whole or in part by Executive during Executive’s engagement by the Company, Executive hereby assigns all right, title, and interest therein, in perpetuity and throughout the world, to the Company. Executive agrees to execute, immediately upon the Company’s reasonable request and without any additional compensation, any further assignments, applications, conveyances or other instruments, at any time after execution of this Agreement, whether or not Executive remains employed by the Company at the time such request is made, in order to permit the Company, the Company Affiliates, and/or their respective successors and assigns to protect, perfect, register, record, maintain, or enhance their rights in any Intellectual Property Product;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shall bear the cost of any such assignments, applications, or consequences.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Litigation and Regulatory Cooperation</w:t>
      </w:r>
      <w:r>
        <w:rPr>
          <w:rFonts w:ascii="Times New Roman;serif" w:hAnsi="Times New Roman;serif"/>
          <w:b w:val="false"/>
          <w:color w:val="000000"/>
          <w:sz w:val="24"/>
        </w:rPr>
        <w:t xml:space="preserve">. Executive agrees that upon separation for any reason from the Company, Executive will cooperate and assist in all ways reasonably requested by the Company in assuring an orderly transition of all matters being handled by him, subject however to Executive’s subsequent professional and employment obligations. During the Term and continuing thereafter upon termination of employment, Executive shall reasonably cooperate with the Company and the Company Affiliates in the defense or prosecution of any claims or actions now in existence or that may be brought or threatened in the future against or on behalf of any of the Company, the Company Affiliates, or any divisions, successors, and assigns thereof, about which the Company believes Executive may have relevant information. Executive’s cooperation in connection with such claims or actions shall include, but not be limited to, being available to meet with counsel to prepare for discovery or trial and to act as a witness on behalf of the Company, the Company Affiliates, or any successors and assigns thereof at mutually convenient times. Executive also shall, subject however to Executive’s subsequent professional and employment obligations, cooperate fully with the Company in connection with any investigation or review by any federal, state, or local regulatory authority as any such investigation or review relates to events or occurrences that transpired while Executive was employed by the Company. Executive’s cooperation and assistance pursuant to this Section 7 shall be without additional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will pay in advance for Executive’s reasonable travel expenses incurred with respect to such cooperation and assistance. Executive shall not be required to cooperate against his legal interests or the legal interests of any entity that is then his employer.</w: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Except with respect to claims arising out of or related to a breach or alleged breach of Section 6, which claims may be brought in court, all disputes between the parties or any claims concerning the performance, breach, construction or interpretation of this Agreement, or in any manner arising out of this Agreement or Executive’s employment by the Company, shall be submitted to binding arbitration in accordance with the Employment Arbitration Rules, as amended from time to time, of the American Arbitration Association (the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which arbitration shall be carried out in the manner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Such arbitration shall be conducted in New York, New York or such other location as the Company’s headquarters may be located at such time, and the arbitrator will apply New York law, including federal law as applied in New York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fees and costs of the arbitrator and/or the AAA shall be divided among the Company and Executive, subject to reallocation as provided in Section 8(iv)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The arbitrator shall not have the authority to modify the terms of this Agreement except to the extent that the Agreement violates any governing statue, in which case the arbitrator may modify the Agreement solely as necessary to not conflict with such statute. The arbitrator shall have the authority to award any remedy or relief that a court of the State of New York or federal court located in the State of New York could grant in conformity with the applicable law on the basis of claims actually made in the arbitration. The arbitrator shall render an award and written opinion which shall set forth the factual and legal basis for the award. </w:t>
      </w:r>
    </w:p>
    <w:p>
      <w:pPr>
        <w:pStyle w:val="TextBody"/>
        <w:bidi w:val="0"/>
        <w:spacing w:lineRule="auto" w:line="288" w:before="0" w:after="240"/>
        <w:ind w:left="0" w:right="0" w:hanging="720"/>
        <w:jc w:val="left"/>
        <w:rPr/>
      </w:pPr>
      <w:r>
        <w:rPr>
          <w:rFonts w:ascii="Times New Roman;serif" w:hAnsi="Times New Roman;serif"/>
          <w:b w:val="false"/>
          <w:color w:val="000000"/>
          <w:sz w:val="24"/>
        </w:rPr>
        <w:t>(iii)    The award of the arbitrator shall be final and binding on VICI REIT, the Company and Executive, and judgment on the award may be confirmed and entered in any state or federal court located in New York, New York.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xml:space="preserve">), to any third party, with the sole exception of Executive’s legal counsel, who Executive shall ensure adheres to all confidentiality terms in this Agreement. In the event of any court proceeding to challenge or enforce an arbitrator’s award, the Company and Executive hereby consent to the exclusive jurisdiction of the state and federal courts in New York and agree to venue in that jurisdiction. VICI REIT, the Company and Executive agree to take all steps necessary to protect the confidentiality of the Arbitration Materials in connection with any such proceeding, agree to file all Confidential Information (and documents containing Confidential Information) under seal to the extent possible, and agree to the entry of an appropriate protective order encompassing the confidentiality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Each of VICI REIT, the Company and Executive agrees to pay its own costs and fees in connection with any arbitration of a dispute arising under this Agreement, and any court proceeding arising therefrom, provided, however, that (a) the arbitrator shall be authorized to award attorneys’ fees and costs to any party in accordance with applicable law and (b) the arbitrator shall award to the party substantially prevailing in such arbitration his or its costs, including reasonable attorneys’ fees.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TO THE EXTENT ANY DISPUTE IS FOUND NOT TO BE SUBJECT TO THIS ARBITRATION PROVISION, VICI REIT, THE COMPANY AND EXECUTIVE EACH HEREBY WAIVE THEIR RESPECTIVE RIGHTS TO TRIAL BY JURY.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ACKNOWLEDGES THAT EXECUTIVE HAS CAREFULLY READ THIS SECTION 8, VOLUNTARILY AGREES TO ARBITRATE ALL DISPUTES, AND HAS HAD THE OPPORTUNITY TO REVIEW THE PROVISIONS OF SECTION 8 WITH ANY ADVISORS AS EXECUTIVE CONSIDERED NECESSARY. BY SIGNING BELOW, EXECUTIVE SIGNIFIES EXECUTIVE’S UNDERSTANDING AND AGREEMENT TO SECTION 8.</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Severability</w:t>
      </w:r>
      <w:r>
        <w:rPr>
          <w:rFonts w:ascii="Times New Roman;serif" w:hAnsi="Times New Roman;serif"/>
          <w:b w:val="false"/>
          <w:color w:val="000000"/>
          <w:sz w:val="24"/>
        </w:rPr>
        <w:t>. As the provisions of this Agreement are independent of and severable from each other, the Company and Executive agree that if, in any action before any court or agency legally empowered to enforce this Agreement, any term, restriction, covenant, or promise hereof is found to be unreasonable or otherwise unenforceable, then such decision shall not affect the validity of the other provisions of this Agreement, and such invalid term, restriction, covenant, or promise shall also be deemed modified to the extent necessary to make it enforceable.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Notice</w:t>
      </w:r>
      <w:r>
        <w:rPr>
          <w:rFonts w:ascii="Times New Roman;serif" w:hAnsi="Times New Roman;serif"/>
          <w:b w:val="false"/>
          <w:color w:val="000000"/>
          <w:sz w:val="24"/>
        </w:rPr>
        <w:t>. For purposes of this Agreement, notices, demands and all other communications provided for in this Agreement shall be in writing and shall be deemed to have been duly given when received if delivered in person, the next business day if delivered by overnight commercial courier (e.g., Federal Express), or the third business day if mailed by United States certified mail, return receipt requested, postage prepaid, to the following addresses: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If to VICI REIT or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VICI Properties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535 Madison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If to Executive,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David A. Kieske</w:t>
      </w:r>
    </w:p>
    <w:p>
      <w:pPr>
        <w:pStyle w:val="TextBody"/>
        <w:bidi w:val="0"/>
        <w:spacing w:lineRule="auto" w:line="288"/>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address on record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Either party may change its address for notices in accordance with this Section 10 by providing written notice of such change to the other party.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New York applicable to contracts to be performed therein.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Benefits; Binding Effect; Assignment</w:t>
      </w:r>
      <w:r>
        <w:rPr>
          <w:rFonts w:ascii="Times New Roman;serif" w:hAnsi="Times New Roman;serif"/>
          <w:b w:val="false"/>
          <w:color w:val="000000"/>
          <w:sz w:val="24"/>
        </w:rPr>
        <w:t>. This Agreement shall be binding upon and inure to the benefit of the parties and their respective heirs, personal representatives, legal representatives, successors and permitted assigns. Executive shall not assign this Agreement or any of Executive’s obligations hereunder in whole or in part. However, VICI REIT and the Company are expressly authorized to assign this Agreement to a Company Affiliate or an acquirer of substantially all the assets of VICI REIT or the Company upon written notice to Executive, provided that (a) the assignee assumes all of the obligations of VICI REIT and the Company under this Agreement, (b) Executive’s role when viewed from the perspective of the surviving or resulting business is comparable to such role immediately before the assignment, and (c) VICI REIT and the Company, for so long as an affiliate of the assignee, remains secondarily liable for the financial obligations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As all parties have had the opportunity to consult with legal counsel of their own choosing, no provision of this Agreement shall be construed against or interpreted to the disadvantage of any party by reason of such party having, or being deemed to have, drafted, devised, or imposed such provision.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and all prior understandings, agreements or undertakings including without limitation the Prior Agreement between the parties concerning Executive’s employment or the other subject matters of this Agreement are superseded and replaced in their entirety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lineRule="auto" w:line="288" w:before="0" w:after="24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shall not be required to mitigate damages or the amount of any payment provided for under this Agreement by seeking other employment or otherwise, nor will any payments hereunder be subject to offset in the event Executive does mitigate.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which together shall be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Tax Advice</w:t>
      </w:r>
      <w:r>
        <w:rPr>
          <w:rFonts w:ascii="Times New Roman;serif" w:hAnsi="Times New Roman;serif"/>
          <w:b w:val="false"/>
          <w:color w:val="000000"/>
          <w:sz w:val="24"/>
        </w:rPr>
        <w:t>. Executive confirms and represents to VICI REIT and the Company that he has had the opportunity to obtain the advice of legal counsel, financial and tax advisers, and such other professionals as he deems necessary for entering into this Agreement, and he has not relied upon the advice of VICI REIT, the Company or their respective officers, directors, or employees.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Withholding</w:t>
      </w:r>
      <w:r>
        <w:rPr>
          <w:rFonts w:ascii="Times New Roman;serif" w:hAnsi="Times New Roman;serif"/>
          <w:b w:val="false"/>
          <w:color w:val="000000"/>
          <w:sz w:val="24"/>
        </w:rPr>
        <w:t>. Any payments made to Executive under this Agreement shall be reduced by any applicable withholding taxes or other amounts required to be withheld by law or contract.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comply with, or be exempt from, the requirements of Section 409A, and shall be interpreted and construed consistent with that intent. No expenses eligible for reimbursement, or in-kind benefits to be provided, during any calendar year shall affect the amounts eligible for reimbursement in any other calendar year, to the extent subject to the requirements of Section 409A, and no such right to reimbursement or right to in-kind benefits shall be subject to liquidation or exchange for any other benefit. For purposes of Section 409A, each payment in a series of installment payments provided under this Agreement shall be treated as a separate payment. Any payments to be made under this Agreement upon a termination of employment shall only be made upon a “separation from service” under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Survivability</w:t>
      </w:r>
      <w:r>
        <w:rPr>
          <w:rFonts w:ascii="Times New Roman;serif" w:hAnsi="Times New Roman;serif"/>
          <w:b w:val="false"/>
          <w:color w:val="000000"/>
          <w:sz w:val="24"/>
        </w:rPr>
        <w:t>. Those provisions and obligations of this Agreement which are intended to survive shall survive notwithstanding termination of Executive’s employment with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signed their names as of the day and year first above written.</w:t>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Edward B. Pitoniak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Edward B. Pitoniak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before="0" w:after="240"/>
        <w:ind w:left="0" w:right="0" w:firstLine="4500"/>
        <w:jc w:val="left"/>
        <w:rPr/>
      </w:pPr>
      <w:r>
        <w:rPr/>
      </w:r>
    </w:p>
    <w:p>
      <w:pPr>
        <w:pStyle w:val="TextBody"/>
        <w:bidi w:val="0"/>
        <w:spacing w:lineRule="auto" w:line="288" w:before="0" w:after="0"/>
        <w:ind w:left="0" w:right="0" w:firstLine="4507"/>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 xml:space="preserve">/s/ David A. Kieske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David A. Kieske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1155"/>
                <wp:effectExtent l="0" t="0" r="0" b="0"/>
                <wp:wrapNone/>
                <wp:docPr id="215" name="Frame2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In consideration of and in accordance with the February 25, 2026 Amended and Restated Employment Agreement by and between David A. Kieske,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VICI Properties Inc. (“VICI REIT”) and VICI Properties L.P., (together with its successors and assigns,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of which this Exhibit A is part, Executive hereby agrees as follows. All terms not defined in this Separation Agreement and Release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shall have the same meanings as those set forth in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Consideration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acknowledges and agrees that the payments and benefits to be paid to Executive under Section [4.2][4.3][4.4] of the Employment Agreement, as set forth in a schedule hereto (the “</w:t>
      </w:r>
      <w:r>
        <w:rPr>
          <w:rFonts w:ascii="Times New Roman;serif" w:hAnsi="Times New Roman;serif"/>
          <w:b w:val="false"/>
          <w:color w:val="000000"/>
          <w:sz w:val="24"/>
          <w:u w:val="single"/>
        </w:rPr>
        <w:t>Consideration Amounts</w:t>
      </w:r>
      <w:r>
        <w:rPr>
          <w:color w:val="000000"/>
        </w:rPr>
        <w:t>”</w:t>
      </w:r>
      <w:r>
        <w:rPr>
          <w:rFonts w:ascii="Times New Roman;serif" w:hAnsi="Times New Roman;serif"/>
          <w:b w:val="false"/>
          <w:color w:val="000000"/>
          <w:sz w:val="24"/>
        </w:rPr>
        <w:t>), represent good, valuable, and sufficient consideration for signing this Separation Agreement, and exceed any amounts or interests to which Executive otherwise would be entitled. Executive acknowledges and agrees that except as specifically provided in this Separation Agreement, VICI REIT and the Company shall have no other obligations or liabilities, monetary or otherwise, to Executive following the date hereof and that the payments and benefits contemplated herein constitute a complete settlement, satisfaction, and waiver of any and all claims Executive may have against VICI REIT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color w:val="000000"/>
          <w:sz w:val="24"/>
          <w:u w:val="single"/>
        </w:rPr>
        <w:t>Release of Claims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Executive, for Executive, Executive’s spouse, and each of Executive’s heirs, beneficiaries, representatives, agents, successors, and assigns (collectively, “</w:t>
      </w:r>
      <w:r>
        <w:rPr>
          <w:rFonts w:ascii="Times New Roman;serif" w:hAnsi="Times New Roman;serif"/>
          <w:b w:val="false"/>
          <w:color w:val="000000"/>
          <w:sz w:val="24"/>
          <w:u w:val="single"/>
        </w:rPr>
        <w:t>Executive Releasors</w:t>
      </w:r>
      <w:r>
        <w:rPr>
          <w:color w:val="000000"/>
        </w:rPr>
        <w:t>”</w:t>
      </w:r>
      <w:r>
        <w:rPr>
          <w:rFonts w:ascii="Times New Roman;serif" w:hAnsi="Times New Roman;serif"/>
          <w:b w:val="false"/>
          <w:color w:val="000000"/>
          <w:sz w:val="24"/>
        </w:rPr>
        <w:t>), irrevocably and unconditionally releases and forever discharges each of VICI REIT and the Company, (i) each and all of their predecessors, parents, Subsidiaries, Affiliates, divisions, successors, and assigns (collectively with VICI REIT and the Company, the “</w:t>
      </w:r>
      <w:r>
        <w:rPr>
          <w:rFonts w:ascii="Times New Roman;serif" w:hAnsi="Times New Roman;serif"/>
          <w:b w:val="false"/>
          <w:color w:val="000000"/>
          <w:sz w:val="24"/>
          <w:u w:val="single"/>
        </w:rPr>
        <w:t>Company Entities</w:t>
      </w:r>
      <w:r>
        <w:rPr>
          <w:color w:val="000000"/>
        </w:rPr>
        <w:t>”</w:t>
      </w:r>
      <w:r>
        <w:rPr>
          <w:rFonts w:ascii="Times New Roman;serif" w:hAnsi="Times New Roman;serif"/>
          <w:b w:val="false"/>
          <w:color w:val="000000"/>
          <w:sz w:val="24"/>
        </w:rPr>
        <w:t>), (ii) each and all of the Company Entities’ current and former officers, directors, employees, and, in their respective capacities as such, each and all of the Company Entities’ shareholders, representatives, attorneys, agents, and assigns(collectively, with the Company Entities, the “</w:t>
      </w:r>
      <w:r>
        <w:rPr>
          <w:rFonts w:ascii="Times New Roman;serif" w:hAnsi="Times New Roman;serif"/>
          <w:b w:val="false"/>
          <w:color w:val="000000"/>
          <w:sz w:val="24"/>
          <w:u w:val="single"/>
        </w:rPr>
        <w:t>Company Releasees</w:t>
      </w:r>
      <w:r>
        <w:rPr>
          <w:color w:val="000000"/>
        </w:rPr>
        <w:t>”</w:t>
      </w:r>
      <w:r>
        <w:rPr>
          <w:rFonts w:ascii="Times New Roman;serif" w:hAnsi="Times New Roman;serif"/>
          <w:b w:val="false"/>
          <w:color w:val="000000"/>
          <w:sz w:val="24"/>
        </w:rPr>
        <w:t>), from any and all causes of action, claims, actions, rights, judgments, obligations, damages, demands, accountings, or liabilities of any kind or character, whether known or unknown, whether accrued or contingent, that Executive has, had, or may have against them, or any of them, by reason of, arising out of, connected with, touching upon, or concerning Executive’s employment with the Company, Executive’s separation from the Company, and Executive’s relationship with any or all of the Company Releasees, and from any and all statutory claims, regulatory claims, claims under the Employment Agreement, and any and all other claims or matters of whatever kind, nature, or description, arising from the beginning of the world up through the Separation Agreement Effective Date (as defined below) (collectively,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xml:space="preserve">). Executive acknowledges that the Released Claims specifically include, but are not limited to, any and all claims for fraud, breach of express or implied contract, breach of the implied covenant of good faith and fair dealing, interference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A-A-1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contractual rights, violation of public policy, invasion of privacy, intentional or negligent infliction of emotional distress, intentional or negligent misrepresentation, defamation, libel, slander, or breach of privacy; claims for failure to pay wages, benefits, deferred compensation, commissions, bonuses, vacation pay, expenses, severance pay, attorneys’ fees, or other compensation of any sort; claims related to stock options, equity awards, or other grants, awards, or warrants; claims related to any tangible or intangible property of Executive that remains with the Company; claims for retaliation, harassment or discrimination on the basis of race, color, sex, sexual orientation, national origin, ancestry, religion, age, disability, medical condition, marital status, gender identity, gender expression, or any other characteristic or criteria protected by law; any claim under Title VII of the Civil Rights Act of 1964 (Title VII, as amended), 42 U.S.C. §§ 2000e, et seq., the Civil Rights Act of 1991, the Civil Rights Act of 1866, the Family and Medical Leave Act (“</w:t>
      </w:r>
      <w:r>
        <w:rPr>
          <w:rFonts w:ascii="Times New Roman;serif" w:hAnsi="Times New Roman;serif"/>
          <w:b w:val="false"/>
          <w:color w:val="000000"/>
          <w:sz w:val="24"/>
          <w:u w:val="single"/>
        </w:rPr>
        <w:t>FMLA</w:t>
      </w:r>
      <w:r>
        <w:rPr>
          <w:color w:val="000000"/>
        </w:rPr>
        <w:t>”</w:t>
      </w:r>
      <w:r>
        <w:rPr>
          <w:rFonts w:ascii="Times New Roman;serif" w:hAnsi="Times New Roman;serif"/>
          <w:b w:val="false"/>
          <w:color w:val="000000"/>
          <w:sz w:val="24"/>
        </w:rPr>
        <w:t>), 29 U.S.C. §§ 2601, et seq., the Fair Labor Standards Act (“</w:t>
      </w:r>
      <w:r>
        <w:rPr>
          <w:rFonts w:ascii="Times New Roman;serif" w:hAnsi="Times New Roman;serif"/>
          <w:b w:val="false"/>
          <w:color w:val="000000"/>
          <w:sz w:val="24"/>
          <w:u w:val="single"/>
        </w:rPr>
        <w:t>FLSA</w:t>
      </w:r>
      <w:r>
        <w:rPr>
          <w:color w:val="000000"/>
        </w:rPr>
        <w:t>”</w:t>
      </w:r>
      <w:r>
        <w:rPr>
          <w:rFonts w:ascii="Times New Roman;serif" w:hAnsi="Times New Roman;serif"/>
          <w:b w:val="false"/>
          <w:color w:val="000000"/>
          <w:sz w:val="24"/>
        </w:rPr>
        <w:t>), 29 U.S.C. §§ 201, et seq., the Equal Pay Act, 29 U.S.C. §206(a) and interpretive regulations, the Americans with Disabilities Act (“</w:t>
      </w:r>
      <w:r>
        <w:rPr>
          <w:rFonts w:ascii="Times New Roman;serif" w:hAnsi="Times New Roman;serif"/>
          <w:b w:val="false"/>
          <w:color w:val="000000"/>
          <w:sz w:val="24"/>
          <w:u w:val="single"/>
        </w:rPr>
        <w:t>ADA</w:t>
      </w:r>
      <w:r>
        <w:rPr>
          <w:color w:val="000000"/>
        </w:rPr>
        <w:t>”</w:t>
      </w:r>
      <w:r>
        <w:rPr>
          <w:rFonts w:ascii="Times New Roman;serif" w:hAnsi="Times New Roman;serif"/>
          <w:b w:val="false"/>
          <w:color w:val="000000"/>
          <w:sz w:val="24"/>
        </w:rPr>
        <w:t>), 42 U.S.C. §§ 12101, et seq., the Consolidated Omnibus Budget Reconciliation Act of 1986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 Occupational Safety and Health Act (“</w:t>
      </w:r>
      <w:r>
        <w:rPr>
          <w:rFonts w:ascii="Times New Roman;serif" w:hAnsi="Times New Roman;serif"/>
          <w:b w:val="false"/>
          <w:color w:val="000000"/>
          <w:sz w:val="24"/>
          <w:u w:val="single"/>
        </w:rPr>
        <w:t>OSHA</w:t>
      </w:r>
      <w:r>
        <w:rPr>
          <w:color w:val="000000"/>
        </w:rPr>
        <w:t>”</w:t>
      </w:r>
      <w:r>
        <w:rPr>
          <w:rFonts w:ascii="Times New Roman;serif" w:hAnsi="Times New Roman;serif"/>
          <w:b w:val="false"/>
          <w:color w:val="000000"/>
          <w:sz w:val="24"/>
        </w:rPr>
        <w:t>) or any other health and/or safety laws, statutes, or regulations, the Uniformed Services Employment and Reemployment Rights Act (“</w:t>
      </w:r>
      <w:r>
        <w:rPr>
          <w:rFonts w:ascii="Times New Roman;serif" w:hAnsi="Times New Roman;serif"/>
          <w:b w:val="false"/>
          <w:color w:val="000000"/>
          <w:sz w:val="24"/>
          <w:u w:val="single"/>
        </w:rPr>
        <w:t>USERRA</w:t>
      </w:r>
      <w:r>
        <w:rPr>
          <w:color w:val="000000"/>
        </w:rPr>
        <w:t>”</w:t>
      </w:r>
      <w:r>
        <w:rPr>
          <w:rFonts w:ascii="Times New Roman;serif" w:hAnsi="Times New Roman;serif"/>
          <w:b w:val="false"/>
          <w:color w:val="000000"/>
          <w:sz w:val="24"/>
        </w:rPr>
        <w:t>), 38 U.S.C. §§ 4301-4333, the Employee Retirement Income Security Act of 1974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29 U.S.C. §§ 301, et seq., the Immigration Reform and Control Act of 1986, 8 U.S.C. §§ 1101, et seq., or the Internal Revenue Code of 1986, as amended, the Worker Adjustment and Retraining Notification Act; all claims arising under the Sarbanes-Oxley Act of 2002 (Public Law 107-204), including whistleblowing claims under 18 U.S.C. §§ 1513(e) and 1514A; the applicable state Wage and Hour Laws, and any and all other foreign, federal, state, or local laws, common law, or case law, including but not limited to all statutes, regulations, common law, and other laws in place in New York, New York. Notwithstanding anything in this Separation Agreement to the contrary, Executive is not releasing pursuant to this Separation Agreement any claims with respect to (i) Annual Salary due under the Employment Agreement through the date of termination, (ii) amounts payable pursuant to this Agreement, (iii) vested employee benefits or vested deferred compensation under VICI REIT’s and the Company’s applicable plans and arrangements, (iv) matters which cannot be released under applicable law, (v) indemnification by VICI REIT and the Company to the maximum extent pursuant to its by-laws, any indemnification agreement entered into between Executive and VICI REIT, and to third party directors’ and officers‘ liability or other insurance coverage, and/or (vi) any rights or claims arising out of events or circumstances that occur after Executive’s execution of this Separation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Executive acknowledges that there is a risk that after the execution of this Separation Agreement, Executive will incur or suffer damage, loss, or injury that is in some way caused by or connected with Executive’s employment with the Company or its Subsidiaries or Affiliates or Executive’s separation from the Company or its Subsidiaries or Affiliates, and any relationship with or membership or investment in the Company Releasees, but that is unknown or unanticipated at the time of execution of this Separation Agreement. Executive specifically assumes that risk, and agrees that this Separation Agreement and the Released Claims apply to all unknown or unanticipated, accrued or contingent claims and all matters caused by or connected with Executive’s employment with the Company or its Subsidiaries or Affiliates and/</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Executive’s separation from the Company or its Subsidiaries or Affiliates, as well as those claims currently known or anticipated. Executive acknowledges and agrees that this Separation Agreement constitutes a knowing and voluntary waiver of any and all rights and claims Executive does or may have as of the Separation Agreement Effective Date. Executive acknowledges that Executive has waived rights or claims pursuant to this Separation Agreement in exchange for consideration, the value of which exceeds payment or remuneration to which Executive otherwise would be entitled.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permitted by law, Executive agrees never to file a lawsuit or other adversarial proceeding with any court or arbitrator against VICI REIT, the Company or any other Company Releasee asserting any Released Claims. Executive represents and agrees that, prior to signing this Separation Agreement, Executive has not filed or pursued any complaints, charges, or lawsuits of any kind with any court, governmental or administrative agency, arbitrator, or other forum against VICI REIT, the Company or any of the other Company Releasees, asserting any claims whatsoever. Executive understands and acknowledges that, in the event Executive files an administrative charge or commences any proceeding with respect to any Released Claim, or in the event another person or entity does so in whole or in part on Executive’s behalf, Executive waives and is estopped from receiving any monetary award or other legal or equitable relief in connection with any such proceeding.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Executive represents and warrants that Executive has not assigned, transferred, or permitted the subrogation of any of Executive’s rights, claims, and/or causes of action, including any claims referenced in this Separation Agreement, or authorized any other person or entity to assert any such claim or claims on Executive’s behalf, and Executive agrees to indemnify and hold harmless VICI REIT and the Company against any assignment, transfer, or subrogation of said rights, claims, and/or causes of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color w:val="000000"/>
          <w:sz w:val="24"/>
          <w:u w:val="single"/>
        </w:rPr>
        <w:t>Survival</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following Sections of the Employment Agreement shall remain in full force and effect following the Termination Date: Section 3.2(c) (“Clawback”), Section 4 (“Termination of Employment”), Section 6 (“Non-Competition, Non-Solicitation, and Confidentiality; Certain Other Covenants”), Section 7 (“Litigation And Regulatory Cooperation”) Section 8 (“Dispute Resolution”), Section 10 (“Notice”) and Section 12 (“Benefits; Binding Effect; Assignment”). Any disputes arising in connection with this Separation Agreement or otherwise arising between any of Executive Releasors, on the one hand, and any of the Company Releasees, on the other hand, shall be resolved in accordance with Sections 6 and 8 of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color w:val="000000"/>
          <w:sz w:val="24"/>
          <w:u w:val="single"/>
        </w:rPr>
        <w:t>Tax Liability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expressly acknowledges that neither VICI REIT nor the Company nor its attorneys have made any representations to Executive regarding the tax consequences of the consideration provided to Executive pursuant to this Separation Agreement and the Employment Agreement. It is the intention of the parties to this Separation Agreement that no payments made under this Separation Agreement and/or the Employment Agreement be subject to the additional tax on deferred compensation imposed by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but neither VICI REIT nor the Company guarantees that any such payment complies with or is exempt from Code Section 409A. Each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made under this Separation Agreement or the Employment Agreement will be treated as a separate payment for purposes of Code Section 409A and the right to a series of installment payments under this Separation Agreement is to be treated as a right to a series of separate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color w:val="000000"/>
          <w:sz w:val="24"/>
          <w:u w:val="single"/>
        </w:rPr>
        <w:t>Knowing/Voluntary Waiver</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is entitled to consider the terms of this Separation Agreement for twenty-one (21) days before signing it. If Executive fails to execute this Separation Agreement within this twenty-one (21) day period, this Separation Agreement will be null and void and of no force or effect. To execute this Separation Agreement, Executive must sign and date the Separation Agreement below, and return a signed copy hereof to Attn: General Counsel, VICI Properties Inc., 535 Madison Avenue, New York, New York 10022, (phone): (646) 949-4631, via nationally recognized overnight carrier or email.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Executive may revoke this Separation Agreement within seven (7) days of Executive’s signing it by delivering a written notice of such revocation to Attn: General Counsel, VICI Properties Inc., 535 Madison Avenue, New York, New York 10022, (phone): (646) 949-4631, via nationally recognized overnight carrier or email. If Executive revokes this Separation Agreement within seven (7) days of signing it, this Separation Agreement and the promises contained herein automatically will be null and void. If Executive signs this Separation Agreement and does not revoke this Separation Agreement within seven (7) days of signing it, this Separation Agreement shall become binding, effective, and irrevocable on the eighth (8th) day after the Separation Agreement is executed by both parties (the “</w:t>
      </w:r>
      <w:r>
        <w:rPr>
          <w:rFonts w:ascii="Times New Roman;serif" w:hAnsi="Times New Roman;serif"/>
          <w:b w:val="false"/>
          <w:color w:val="000000"/>
          <w:sz w:val="24"/>
          <w:u w:val="single"/>
        </w:rPr>
        <w:t>Separation Agreement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Executive acknowledges that Executive (a) has carefully read this Separation Agreement and the Employment Agreement; (b) is competent to manage Executive’s own affairs; (c) fully understands the Separation Agreement’s and Employment Agreement’s contents and legal effect, and understands that Executive is giving up any legal claims Executive has against any of the Company Releasees, including but not limited to any and all legal rights or claims under the Age Discrimination in Employment Act of 1967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(29 U.S.C. § 626, as amended), and all other federal, state, foreign, and local laws regarding age discrimination, whether those claims are presently known or hereafter discovered; (d) has been advised to consult with an attorney of Executive’s choosing prior to signing this Separation Agreement, if Executive so desires; and (e) has chosen to enter into this Separation Agreement freely, without coercion, and based upon Executive’s own judgment, and that Executive has not relied upon any promises made by any of the Company Releasees, other than the promises explicitly contained in this Separation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Separation Agreement may be executed in counterparts, each of which shall be deemed an original, and both of which together shall constitute one and the same instrument. The section headings in this Separation Agreement are provided for convenience only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 affect the construction or interpretation of this Separation Agreement or the provisions 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in any way be construed as an admission that VICI REIT, the Company, Executive, or any other individual or entity has any liability to or acted wrongfully in any way with respect to Executive, VICI REIT, the Company, or any other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be construed against either Party, and no consideration shall be given or presumption made on the basis of who drafted the Separation Agreement or any particular provision hereof or who supplied the form of this Separation Agreement. In construing the Separation Agreement, (i) examples shall not be construed to limit, expressly or by implication, the matter they illustrate, (ii) the connectives “and,” “or,” and “and/or” shall be construed either disjunctively or conjunctively so as to construe a sentence or clause most broadly and bring within its scope all subject matter that might otherwise be construed to be outside of its scope; (iii) the word “includes” and its derivatives means “includes, but is not limited to” and corresponding derivative expressions, (iv) a defined term has its defined meaning throughout the Separation Agreement, whether it appears before or after the place where it is defined, and (v) the headings and titles herein are for convenience only and shall have no significance in the interpretation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agree that each of the Company Releasees is an intended third-party beneficiary of this Separation Agreement and shall have the authority to enforce the provisions applicable to it, her, or Executive in accordance with the terms of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Except as otherwise specifically provided herein, this Separation Agreement constitutes the entire agreement of the Parties with respect to the subject matter hereof, contains all the covenants, promises, representations, warranties, and agreements between the Parties with respect to Executive’s separation from VICI REIT and the Company and all positions therewith;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nothing in this Agreement shall supersede the Sections in the Employment Agreement identified in Paragraph 3 (“</w:t>
      </w:r>
      <w:r>
        <w:rPr>
          <w:rFonts w:ascii="Times New Roman;serif" w:hAnsi="Times New Roman;serif"/>
          <w:b w:val="false"/>
          <w:color w:val="000000"/>
          <w:sz w:val="24"/>
          <w:u w:val="single"/>
        </w:rPr>
        <w:t>Survival</w:t>
      </w:r>
      <w:r>
        <w:rPr>
          <w:color w:val="000000"/>
        </w:rPr>
        <w:t>”</w:t>
      </w:r>
      <w:r>
        <w:rPr>
          <w:rFonts w:ascii="Times New Roman;serif" w:hAnsi="Times New Roman;serif"/>
          <w:b w:val="false"/>
          <w:color w:val="000000"/>
          <w:sz w:val="24"/>
        </w:rPr>
        <w:t>) of this Separation Agreement. Any modification of this Separation Agreement will be effective only if it is in writing and signed by Executive and the Chief Executive Officer of the Company or the General Counsel of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General Release on this ___ day of ____________.</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David A. Kieske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10.42</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AMENDED AND RESTATED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February 25, 2026, (the “Effective Date”) by and between VICI Properties Inc. (“</w:t>
      </w:r>
      <w:r>
        <w:rPr>
          <w:rFonts w:ascii="Times New Roman;serif" w:hAnsi="Times New Roman;serif"/>
          <w:b w:val="false"/>
          <w:color w:val="000000"/>
          <w:sz w:val="24"/>
          <w:u w:val="single"/>
        </w:rPr>
        <w:t>VICI REIT</w:t>
      </w:r>
      <w:r>
        <w:rPr>
          <w:color w:val="000000"/>
        </w:rPr>
        <w:t>”</w:t>
      </w:r>
      <w:r>
        <w:rPr>
          <w:rFonts w:ascii="Times New Roman;serif" w:hAnsi="Times New Roman;serif"/>
          <w:b w:val="false"/>
          <w:color w:val="000000"/>
          <w:sz w:val="24"/>
        </w:rPr>
        <w:t>), VICI Properties L.P.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each with its principal place of business at 535 Madison Avenue, New York, New York 10022, and Samantha Sacks Gallagher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amends and restates in its entirety the existing employment agreement by and between Executive and the Company dated September 25, 2019 (the “</w:t>
      </w:r>
      <w:r>
        <w:rPr>
          <w:rFonts w:ascii="Times New Roman;serif" w:hAnsi="Times New Roman;serif"/>
          <w:b w:val="false"/>
          <w:color w:val="000000"/>
          <w:sz w:val="24"/>
          <w:u w:val="single"/>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general partner of the Company, VICI Properties GP LLC, a Delaware limited liability company, is a wholly owned subsidiary of VICI REIT;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wishes to offer continued employment to Executive, and Executive wishes to accept such offer, on the terms set forth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Accordingly,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Term</w:t>
      </w:r>
      <w:r>
        <w:rPr>
          <w:rFonts w:ascii="Times New Roman;serif" w:hAnsi="Times New Roman;serif"/>
          <w:b w:val="false"/>
          <w:color w:val="000000"/>
          <w:sz w:val="24"/>
        </w:rPr>
        <w:t>. The Company hereby employs Executive, and Executive hereby accepts such employment, for a term (the “</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commencing as of the Effective Date and continuing until terminated in accordance with the provisions of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Executive shall be employed by the Company as Executive Vice President, General Counsel and Secretary and, as such, Executive shall report to the Chief Executive Officer of VICI REIT (the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The Executive may also hold such directorships and officerships in VICI REIT, the Company and any of their affiliates to which, from time to time, the Executive may be elected or appointed during the Term. Executive shall faithfully perform for the Company the duties of said office and shall perform such other duties of an executive, managerial or administrative nature as shall be specified and designated from time to time by the CEO, which duties shall not be materially inconsistent with the duties performed by executives holding similar offices with comparable companies. Executive shall devote substantially all of her business time and effort to the performance of her duties hereunder, except that Executive may devote reasonable time and attention to civic, charitable, business or social activities so long as such activities do not interfere with Executive’s employment duties. In addition, Executive will be permitted to serve, with the prior written consent of the CEO, as a member of the board of directors or advisory boards (or their equivalents, in the case of a non-corporate entity) of non-competing businesses. Executive shall comply with the policies, procedures, standards, and regulations established from time to time by the Company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Executive shall obtain and keep in full force and effect throughout the Term all gaming licenses or approvals necessary or appropriate for Executive’s position. During the Term, Executive shall be based in the Company’s offices in New York, NY, except for reasonably required travel on the Company’s business consistent with Executive’s position.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Salary</w:t>
      </w:r>
      <w:r>
        <w:rPr>
          <w:rFonts w:ascii="Times New Roman;serif" w:hAnsi="Times New Roman;serif"/>
          <w:b w:val="false"/>
          <w:color w:val="000000"/>
          <w:sz w:val="24"/>
        </w:rPr>
        <w:t>. For purposes of this Agreement, a “</w:t>
      </w:r>
      <w:r>
        <w:rPr>
          <w:rFonts w:ascii="Times New Roman;serif" w:hAnsi="Times New Roman;serif"/>
          <w:b w:val="false"/>
          <w:color w:val="000000"/>
          <w:sz w:val="24"/>
          <w:u w:val="single"/>
        </w:rPr>
        <w:t>Contract Year</w:t>
      </w:r>
      <w:r>
        <w:rPr>
          <w:color w:val="000000"/>
        </w:rPr>
        <w:t xml:space="preserve">” </w:t>
      </w:r>
      <w:r>
        <w:rPr>
          <w:rFonts w:ascii="Times New Roman;serif" w:hAnsi="Times New Roman;serif"/>
          <w:b w:val="false"/>
          <w:color w:val="000000"/>
          <w:sz w:val="24"/>
        </w:rPr>
        <w:t xml:space="preserve">shall mean each calendar year during the Term. The Company shall pay Executive a base salary at the rate of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$648,000 per annum (as the same may be increased from time to time, the “</w:t>
      </w:r>
      <w:r>
        <w:rPr>
          <w:rFonts w:ascii="Times New Roman;serif" w:hAnsi="Times New Roman;serif"/>
          <w:b w:val="false"/>
          <w:color w:val="000000"/>
          <w:sz w:val="24"/>
          <w:u w:val="single"/>
        </w:rPr>
        <w:t>Annual Salary</w:t>
      </w:r>
      <w:r>
        <w:rPr>
          <w:color w:val="000000"/>
        </w:rPr>
        <w:t>”</w:t>
      </w:r>
      <w:r>
        <w:rPr>
          <w:rFonts w:ascii="Times New Roman;serif" w:hAnsi="Times New Roman;serif"/>
          <w:b w:val="false"/>
          <w:color w:val="000000"/>
          <w:sz w:val="24"/>
        </w:rPr>
        <w:t>), in accordance with the customary payroll practices of the Company applicable to senior executives, but not less frequently than monthly. The CEO shall review Executive’s base salary each Contract Year and may recommend to the Compensation Committee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 increase in such amount as he may deem advisable, and the Compensation Committee may approve or disapprove of any such recommended increase in its sole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Bonus and Incentive Compensation</w:t>
      </w:r>
      <w:r>
        <w:rPr>
          <w:rFonts w:ascii="Times New Roman;serif" w:hAnsi="Times New Roman;serif"/>
          <w:b w:val="false"/>
          <w:color w:val="000000"/>
          <w:sz w:val="24"/>
        </w:rPr>
        <w:t>. Executive will be entitled to participate in the Company’s annual bonus program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Executive shall be eligible to receive a bonus each Contract Year commencing with the 2026 Contract Year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with a target amount equal to 150% of Annual Salary (as the same may be increased from time to time,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and a maximum amount equal to 300% of Annual Salary (as the same may be increased from time to time, “</w:t>
      </w:r>
      <w:r>
        <w:rPr>
          <w:rFonts w:ascii="Times New Roman;serif" w:hAnsi="Times New Roman;serif"/>
          <w:b w:val="false"/>
          <w:color w:val="000000"/>
          <w:sz w:val="24"/>
          <w:u w:val="single"/>
        </w:rPr>
        <w:t>Maximum Bonus</w:t>
      </w:r>
      <w:r>
        <w:rPr>
          <w:color w:val="000000"/>
        </w:rPr>
        <w:t>”</w:t>
      </w:r>
      <w:r>
        <w:rPr>
          <w:rFonts w:ascii="Times New Roman;serif" w:hAnsi="Times New Roman;serif"/>
          <w:b w:val="false"/>
          <w:color w:val="000000"/>
          <w:sz w:val="24"/>
        </w:rPr>
        <w:t>). Executive’s Annual Bonus shall be based on performance goals for the applicable year, all of which shall be determined by the Compensation Committee, which also shall determine the levels of performance below which no bonus will be payable. The Annual Bonus shall be paid in cash on a date within the 74-day period commencing on January 1 of the year following the year in which the applicable performance period ends. The payment of any Annual Bonus following Executive’s termination of employment shall be as set forth in Section 4.</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Equity Incentive Awards</w:t>
      </w:r>
      <w:r>
        <w:rPr>
          <w:rFonts w:ascii="Times New Roman;serif" w:hAnsi="Times New Roman;serif"/>
          <w:b w:val="false"/>
          <w:color w:val="000000"/>
          <w:sz w:val="24"/>
        </w:rPr>
        <w:t>. Executive shall receive each Contract Year commencing with the 2019 Contract Year awards under VICI REIT’s equity incentive plan or such other plans or programs as the Compensation Committee shall determine with a target value, as determined by the Compensation Committee, of at least 175% of Annual Salary, unless prior to the grant date applicable to executive officers generally, Executive has provided notice of intent to retire or either party has otherwise provided notice of termination to the other.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 provision in this Agreement to the contrary, amounts payable hereunder shall be subject to clawback or disgorgement, to the extent applicable, under (A) the Policies or any claw-back policy adopted by VICI REIT or the Company, (B) the Dodd-Frank Wall Street Reform and Consumer Protection Act, as amended, and rules, regulations, and binding, published guidance thereunder, which legislation provides for the clawback and recovery of incentive compensation in the event of certain financial statement restatements and (C) the Sarbanes-Oxley Act of 2002. If pursuant to Section 10D of the Securities Exchange Act of 1934,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xml:space="preserve">), VICI REIT or any Company Affiliate (as defined below) would not be eligible for continued listing, if applicable, under Section 10D(a) of the Act if it (or they) did not adopt policies consistent with Section 10D(b) of the Act, then, in accordance with those policies that are so required, any incentive-based compensation payable to Executive under this Agreement or otherwise shall be subject to claw-back in the circumstances, to the extent, and in the manner, required by Section 10D(b)(2) of the Act, as interpreted by rules of the Securities Exchange Commission. Nothing in this provision is intended to supersede any existing or future claw-back provision adopted or amended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Company, including, but not limited to the provision that may be set forth in VICI REIT’s equity incentive plan. For purposes of this Agreement a “</w:t>
      </w:r>
      <w:r>
        <w:rPr>
          <w:rFonts w:ascii="Times New Roman;serif" w:hAnsi="Times New Roman;serif"/>
          <w:b w:val="false"/>
          <w:color w:val="000000"/>
          <w:sz w:val="24"/>
          <w:u w:val="single"/>
        </w:rPr>
        <w:t>Company Affiliate</w:t>
      </w:r>
      <w:r>
        <w:rPr>
          <w:color w:val="000000"/>
        </w:rPr>
        <w:t xml:space="preserve">” </w:t>
      </w:r>
      <w:r>
        <w:rPr>
          <w:rFonts w:ascii="Times New Roman;serif" w:hAnsi="Times New Roman;serif"/>
          <w:b w:val="false"/>
          <w:color w:val="000000"/>
          <w:sz w:val="24"/>
        </w:rPr>
        <w:t>shall mean any individual or entity that directly or indirectly controls, is controlled by, or is under common control with VICI REIT or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Benefits</w:t>
      </w:r>
      <w:r>
        <w:rPr>
          <w:rFonts w:ascii="Times New Roman;serif" w:hAnsi="Times New Roman;serif"/>
          <w:b w:val="false"/>
          <w:color w:val="000000"/>
          <w:sz w:val="24"/>
        </w:rPr>
        <w:t>. Executive shall be permitted during the Term to participate in any group life, hospitalization or disability insurance plans, health programs, retirement plans, fringe benefit programs and similar benefits that may be available to other senior executives of VICI REIT or the Company generally, on the same terms as such other executives, in each case to the extent that Executive is eligible under the terms of such plans or programs. Executive shall be entitled to paid vacation in accordance with the normal vacation policies of the Company, as applicable to employees at Executive's level.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pay or reimburse Executive for all ordinary and reasonable out-of-pocket expenses incurred by Executive during the Term in the performance of Executive’s services under this Agreement; provided that such expenses are incurred and accounted for by Executive in accordance with the relevant Company Policies.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Indemnification Agreement; Directors and Officers Liability Insurance</w:t>
      </w:r>
      <w:r>
        <w:rPr>
          <w:rFonts w:ascii="Times New Roman;serif" w:hAnsi="Times New Roman;serif"/>
          <w:b w:val="false"/>
          <w:color w:val="000000"/>
          <w:sz w:val="24"/>
        </w:rPr>
        <w:t>. Executive and VICI REIT have entered into an Indemnification Agreement in the standard form used by VICI REIT for its directors and officers. Executive will continue to be covered by directors and officers liability insurance on the same basis as generally applied to VICI REIT’s directors and other officers.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Termination by the Company for Cause; Termination by Executive without Good Reason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Company shall have the right to terminate Executive’s employment for Cause. Upon the reasonable belief by the Board that Executive has committed an act (or has failed to act in a manner) which constitutes Cause, the Board may immediately suspend Executive from Executive’s duties herein and bar Executive from its premises during the period of the Company’s investigation of such acts (or failures to act) (the “</w:t>
      </w:r>
      <w:r>
        <w:rPr>
          <w:rFonts w:ascii="Times New Roman;serif" w:hAnsi="Times New Roman;serif"/>
          <w:b w:val="false"/>
          <w:color w:val="000000"/>
          <w:sz w:val="24"/>
          <w:u w:val="single"/>
        </w:rPr>
        <w:t>Investigation Period</w:t>
      </w:r>
      <w:r>
        <w:rPr>
          <w:color w:val="000000"/>
        </w:rPr>
        <w:t>”</w:t>
      </w:r>
      <w:r>
        <w:rPr>
          <w:rFonts w:ascii="Times New Roman;serif" w:hAnsi="Times New Roman;serif"/>
          <w:b w:val="false"/>
          <w:color w:val="000000"/>
          <w:sz w:val="24"/>
        </w:rPr>
        <w:t xml:space="preserve">) and any such suspension shall not be deemed to be a breach of this Agreement by the Company or the Executive and/or otherwise provide Executive a right to terminate Executive’s employment for Good Reason;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shall have the right to terminate Executive’s employment for Cause immediately and nothing in this Agreement shall require the Company to provide an Investigation Period or otherwise provide advance notice of termination for Cause, except to the extent that a cure period is available as provided for herein. To the extent that the events giving rise to Cause are, in the reasonable determination of the Board, able to be cured, the Company shall provide the Executive with written notice setting out the events giving rise to Cause and provide Executive with a 5-day period in which to cure such events prior to terminating Executive’s employment for Cause.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Executive’s commission of, guilty plea or plea of no contest to, a felony or a misdemeanor (or its equivalent under applicable law),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conduct by Executive that constitutes fraud or embezzlement, or any acts of dishonesty in relation to Executive’s duties with VICI REIT or the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    Executive’s gross negligence, bad faith, or misconduct which causes either reputational or economic harm to VICI REIT, the Company or any Company Affiliate, as determined by the Board in its sole discretion,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Executive’s willful refusal or failure to perform Executive’s duties hereunder, as determined by the Board in its sole discretion,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    Executive’s refusal or failure to perform any reasonable directive of VICI REIT or the Company,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    Executive’s knowing misrepresentation of any material fact that the Company reasonably requests,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(vii)    Executive being found unsuitable for, or having been denied, a gaming license, or having such license revoked by a gaming regulatory authority in any jurisdiction in which the Company or any Company Affiliate conducts operations,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    Executive’s violation, as determined by the Board, of any securities, gaming, or employment laws, rules, or regulations,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(ix)    Executive’s breach of Executive’s obligations under this Agreement or violation of the Policies, as determined by the Board in its sole discretion.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clause (iii) above, an act or omission shall not be deemed to be bad faith or misconduct if taken or omitted in the good faith belief that such act or omission was in, or not opposed to, the best interests of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may terminate Executive’s employment hereunder for Cause as set forth above, and Executive may, upon 90 days prior written notice to the Company, terminate her employment at any time. If the Company terminates Executive’s employment for Cause, or Executive terminates her employment and the termination by Executive is not covered by Section 4.3 or 4.4, then (i) within ten (10) business days following such termination, the Company shall pay to Executive any unpaid Annual Salary earned through the date of termination, (ii) within thirty (30) days following such termination or submission of documentation of such expenses, whichever is later, the Company shall reimburse Executive pursuant to Section 3.4 for reasonable expenses incurred but not paid prior to such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employment, and (iii) the Company shall provide to Executive other or additional benefits (if any), in accordance with the then-applicable terms of any then-applicable plan, program, agreement or other arrangement of any of the Company or any Company Affiliates in which Executive participates (the rights, including the time of payment, described in sub-clauses (i), (ii), and (iii) are collectively referred to as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Executive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Termination upon Death or Disability</w:t>
      </w:r>
      <w:r>
        <w:rPr>
          <w:rFonts w:ascii="Times New Roman;serif" w:hAnsi="Times New Roman;serif"/>
          <w:b w:val="false"/>
          <w:color w:val="000000"/>
          <w:sz w:val="24"/>
        </w:rPr>
        <w:t>. If Executive dies during the Term, the obligations of the Company to or with respect to Executive shall terminate in their entirety except as otherwise provided under this Section 4.2. If Executive becomes “disabled” (defined for purposes of this Agreement, if Executive by virtue of ill health or other disability is unable to perform substantially the duties assigned to her for at least 90 consecutive or non-consecutive days out of any consecutive 12-month period), the Company shall have the right, to the extent permitted by law (including under the Americans with Disabilities Act), to terminate the employment of Executive upon notice in writing to Executive. Upon death or termination of employment by virtue of disability in accordance with this Section 4.2, Executive (or Executive’s estate or beneficiaries in the case of the death of Executive) shall have no right to receive any compensation or benefits hereunder on and after the effective date of the termination of employment other than: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Accrued Obligations, as set forth in Section 4.1;</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any Annual Bonus earned for the Contract Year prior to the year of termination but not yet paid, which shall be paid at the date such Annual Bonus would have been paid had Executive’s employment not been terminated (any such entitlement, including the payment date, an “</w:t>
      </w:r>
      <w:r>
        <w:rPr>
          <w:rFonts w:ascii="Times New Roman;serif" w:hAnsi="Times New Roman;serif"/>
          <w:b w:val="false"/>
          <w:color w:val="000000"/>
          <w:sz w:val="24"/>
          <w:u w:val="single"/>
        </w:rPr>
        <w:t>Accrued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a cash payment equal to the prorated portion (based on the number of complete months employed during the Contract Year) of the Annual Bonus that Executive would have received had her employment not been terminated (based on the actual level of achievement of the applicable performance goals) for the Contract Year in which Executive’s employment hereunder terminates, payable at such time as the Annual Bonus would have been paid had Executive’s employment not been terminated, provided, however, that Executive shall not receive the Pro-Rata Bonus if the Company does not pay bonuses to employees generally for such Contract Year (such entitlement, including the payment date,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elimination of any time-based vesting conditions on each outstanding unvested restricted stock, stock option or other equity award in VICI REIT or the Company that Executive had been granted and which Executive then continues to hold;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the extent that any of Executive’s vested equity awards are subject to a restriction on transfer within a specified period following vesting, such restriction shall be lifted.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the case of a termination of Executive by virtue of disability, the compensation and benefits described in clauses (B) through (E), above, will be conditioned on Executive’s delivery of a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separation agreement and release in the form attached hereto as Exhibit A (with such changes as may be necessary due to applicable law)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which Separation Agreement shall have become irrevocable. Executive (or, in the case of her death, her estate and beneficiaries) shall have no further rights to any other compensation or benefits hereunder on or after the termination of employment, or any other rights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Termination by the Company without Cause or by Executive for Good Reason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Agreement, Executive shall have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to terminate Executive’s employment if, (i) within thirty (30) days after Executive knows (or has reason to know) of the occurrence of any of the following events, Executive provides written notice to the Company requesting that it cure such event, (ii) the Company fails to cure such event, if curable, within sixty (60) days following such notice, except as set forth below, and, (iii) within ten (10) days after the expiration of such cure period, Executive terminates her employment: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    a reduction in Executive’s Annual Salary or Target Bonus or Maximum Bonus opportunity or failure to pay compensation due under this Agreement, which reduction only may be cured within thirty (30) days following written notice by Executive;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a material diminution in Executive’s duties or responsibilities or the assignment to Executive of duties materially inconsistent with Executive's positions, titles, offices, duties, or responsibilities with VICI REIT or the Company (not including any Investigation Period), which diminution or assignment only may be cured within thirty (30) days following written notice by Executive;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relocation of Executive’s principal business office to any location outside of New York, NY;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any other material breach by VICI REIT or the Company of any of its obligations to the Executive under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If the Company terminates Executive’s employment and the termination is not covered by Section 4.1, 4.2 or 4.4, or if Executive terminates her employment for Good Reason, the following shall apply: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Subject to Executive’s delivery of a Separation Agreement, which Separation Agreement shall have become irrevocable, and subject to Executive’s compliance with the covenants set forth in Section 6,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(or Executive’s estate or beneficiaries in the case of Executive’s death)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the sum of (i) Executive’s Annual Salary (without any proration) and (ii) Executive’s Annual Bonus at the target level for the Contract Year in which Executive’s employment hereunder terminates (without any proration), payable in equal installments over a 12-month period in accordance with the Company’s usual and customary payroll practices;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    a cash payment of $27,500;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a pro-rata portion (based on the number of complete months employed during the applicable performance period and applied separately to each performance goal, to the extent applicable) of outstanding unvested equity awards that are subject to performance-based vesting conditions (whether or not in tandem with time-based vesting conditions) will not be forfeited as of such termination of employment but will continue to be outstanding until the end of the applicable performance period, at which time they may vest to the extent the applicable performance goals have been achieved;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(G)    to the extent that Executive holds outstanding vested stock options as of the termination of employment (including to the extent vested pursuant to clause (E) above), such stock options shall remain exercisable until the date six months after the effective date of such termination of employment, or the option expiration date, if earlier; and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    Subject to Section 4.5, amounts payable pursuant to clause (C) of Section 4.3(b)(ii) shall commence, and the amount payable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clause (D) of Section 4.3(b)(ii) shall be paid, on the 74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from service (the “</w:t>
      </w:r>
      <w:r>
        <w:rPr>
          <w:rFonts w:ascii="Times New Roman;serif" w:hAnsi="Times New Roman;serif"/>
          <w:b w:val="false"/>
          <w:color w:val="000000"/>
          <w:sz w:val="24"/>
          <w:u w:val="single"/>
        </w:rPr>
        <w:t>Payment Commencement Date”</w:t>
      </w:r>
      <w:r>
        <w:rPr>
          <w:rFonts w:ascii="Times New Roman;serif" w:hAnsi="Times New Roman;serif"/>
          <w:b w:val="false"/>
          <w:color w:val="000000"/>
          <w:sz w:val="24"/>
        </w:rPr>
        <w:t>), provided Executive has delivered the Separation Agreement to the Employer and such Separation Agreement has become irrevocable, and provided, further, that the first such payment with respect to clause (C) shall be equal to the amount that would have been payable under such clauses between the date of termination and the Payment Commencement Date had such payments commenced at the separation from service.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Termination by the Company without Cause or by Executive for Good Reason in Connection with a Change in Control</w:t>
      </w:r>
      <w:r>
        <w:rPr>
          <w:rFonts w:ascii="Times New Roman;serif" w:hAnsi="Times New Roman;serif"/>
          <w:b w:val="false"/>
          <w:color w:val="000000"/>
          <w:sz w:val="24"/>
        </w:rPr>
        <w:t>. If the Company terminates Executive’s employment and the termination is not covered by Section 4.1 or 4.2, or if Executive terminates her employment for Good Reason, and the date of notice of such termination of employment is either within six months before or twelve months after a Change in Control, as defined below, the following shall apply in lieu of the provisions of Section 4.3(b):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Company shall pay the Accrued Obligations as set forth in Section 4.1.</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Subject to Executive’s delivery of a Separation Agreement, which shall have become irrevocable, and subject to Executive’s compliance with the covenants set forth in Section 6, Executive (or Executive’s estate or beneficiaries in the case of the death of Executive) shall be entitled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 Accrued Bonus, paid as set forth in Section 4.2(B);</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a Pro-Rata Bonus, if any, paid as set forth in Section 4.2(C) assuming achievement of all performance goals at target and regardless of whether the Company pays bonuses to employees generally for such Contract Year;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 cash payment equal to 150% of the sum of (i) Executive’s Annual Salary (without any proration) and (ii) Executive’s Annual Bonus at the target level for the Contract Year in which Executive’s employment hereunder terminates (without any proration), payable in a lump sum (except to the extent that Section 409A of the Code requires such amount to be paid on the installment schedule described in Section 4.3(b)(ii)(C));</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a cash payment of $40,000;</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(E)    elimination of any time-based vesting conditions on any restricted stock, stock option or other equity awards in VICI REIT or the Company that Executive had been granted and which Executive then continues to hold, to the extent then unvested;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(F)    all performance-based equity will remain outstanding and eligible to vest, subject solely to achievement of the applicable performance goals prorated through the date of termination;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to the extent that Executive holds outstanding stock options as of the termination of employment, such stock options shall remain exercisable until the date six months after the effective date of such termination of employment, or the option expiration date, if earlier; and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to the extent that any of Executive’s vested equity awards are subject to a restriction on transfer within a specified period following vesting, such restriction shall be lifted as of the date the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Subject to Section 4.5 and unless otherwise provided herein, amounts payable pursuant to clauses (B), (C) and (D) of Section 4.4(ii) shall be paid on the Payment Commencement Date, provided Executive has delivered the Separation Agreement to the Employer and such Separation Agreement has become irrevocable.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(iv)    Executive shall have no further rights to any other compensation or benefits hereunder on or after the termination of employment, or any other rights hereunder.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For purposes of this Agreement, a “Change in Control” shall mean: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any transaction or group of related transactions (whether a merger, consolidation, sale or otherwise) pursuant to which any Person, as defined below, (in any case, excluding the Company and any Company Affiliate) or group (within the meaning of Section 13(d)(3) of the Exchange Act) of such Persons acting together pursuant to which such Person or group of Persons acquires a majority of the aggregate voting power of the capital stock ordinarily entitled to elect directors of VICI REIT;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    any disposition in one transaction or a series of related transactions, of all or substantially all of the assets of VICI REIT and its Subsidiaries (which shall be defined to include any corporation, partnership, limited liability company or other entity of which more than 50% of the economic interest in such entity is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owned directly or indirectly by VICI REIT or another subsidiary of VICI REIT), determined on a consolidated basis, to any Person or Persons (in any case, excluding the Company and any Company Affiliate);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within a 12-month period, a majority of the members of the Board cease to be Continuing Directors; as used herein, a “Continuing Director” means any member of the Board who was a member of such Board on the date hereof; provided that any person becoming a director subsequent to such date whose election or nomination for election was supported by a majority of the directors who then comprised the Continuing Directors shall be considered to be a Continuing Director.</w:t>
      </w:r>
    </w:p>
    <w:p>
      <w:pPr>
        <w:pStyle w:val="TextBody"/>
        <w:bidi w:val="0"/>
        <w:spacing w:lineRule="auto" w:line="288" w:before="0" w:after="240"/>
        <w:jc w:val="left"/>
        <w:rPr/>
      </w:pPr>
      <w:r>
        <w:rPr>
          <w:rFonts w:ascii="Times New Roman;serif" w:hAnsi="Times New Roman;serif"/>
          <w:b w:val="false"/>
          <w:color w:val="000000"/>
          <w:sz w:val="24"/>
        </w:rPr>
        <w:t>For the purposes hereof, the term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 individual, partnership, corporation, limited liability company, association, joint stock company, trust, joint venture, unincorporated organization, association or other entity or a governmental entity. Notwithstanding the foregoing, to the extent that a Change in Control is the basis for a payment that is subject to Section 409A of the Code, a Change in Control shall be deemed to occur with respect to such payment only if a change in the ownership or effective control of VICI REIT or a change in the ownership of a substantial portion of the assets of VICI REIT shall also be deemed to have occurred under Section 409A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Delay in Payment to a Specified Employee</w:t>
      </w:r>
      <w:r>
        <w:rPr>
          <w:rFonts w:ascii="Times New Roman;serif" w:hAnsi="Times New Roman;serif"/>
          <w:b w:val="false"/>
          <w:color w:val="000000"/>
          <w:sz w:val="24"/>
        </w:rPr>
        <w:t>. If Executive is a “specified employee” within the meaning of Treasury Regulation Section 1.409A-1(i) as of the date of Executive’s separation from service, the provisions of this Section 4.5 shall apply, but only if and to the extent required to avoid the imputation of any tax, penalty or interest pursuant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and interpretive guidance promulgated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No distribution shall be made to Executive under Section 4.2, 4.3 or 4.4 of this Agreement before the date that is six months after her separation from service or, if earlier, the date of Executive’s death. Any amounts otherwise payable to Executive upon or in the six month period following Executive’s separation from service that are not so paid by reason of this Section 4.5 shall be paid (without interest) as soon as practicable (and in all events within 10 days) after the date that is six months after Executive’s separation from service (or, if earlier, as soon as practicable, and in all events within 10 days, after the date of Executive’s death).</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that the payments and benefits (the “</w:t>
      </w:r>
      <w:r>
        <w:rPr>
          <w:rFonts w:ascii="Times New Roman;serif" w:hAnsi="Times New Roman;serif"/>
          <w:b w:val="false"/>
          <w:color w:val="000000"/>
          <w:sz w:val="24"/>
          <w:u w:val="single"/>
        </w:rPr>
        <w:t>Payments</w:t>
      </w:r>
      <w:r>
        <w:rPr>
          <w:color w:val="000000"/>
        </w:rPr>
        <w:t>”</w:t>
      </w:r>
      <w:r>
        <w:rPr>
          <w:rFonts w:ascii="Times New Roman;serif" w:hAnsi="Times New Roman;serif"/>
          <w:b w:val="false"/>
          <w:color w:val="000000"/>
          <w:sz w:val="24"/>
        </w:rPr>
        <w:t>) paid or provided to Executive under this Agreement or otherwise (a) constitute “parachute payments” within the meaning of Section 280G of the Code (“</w:t>
      </w:r>
      <w:r>
        <w:rPr>
          <w:rFonts w:ascii="Times New Roman;serif" w:hAnsi="Times New Roman;serif"/>
          <w:b w:val="false"/>
          <w:color w:val="000000"/>
          <w:sz w:val="24"/>
          <w:u w:val="single"/>
        </w:rPr>
        <w:t>Section 280G</w:t>
      </w:r>
      <w:r>
        <w:rPr>
          <w:color w:val="000000"/>
        </w:rPr>
        <w:t>”</w:t>
      </w:r>
      <w:r>
        <w:rPr>
          <w:rFonts w:ascii="Times New Roman;serif" w:hAnsi="Times New Roman;serif"/>
          <w:b w:val="false"/>
          <w:color w:val="000000"/>
          <w:sz w:val="24"/>
        </w:rPr>
        <w:t>), and (b) but for this Section 5, would be subject to the excise tax imposed by Section 4999 of the Code (“</w:t>
      </w:r>
      <w:r>
        <w:rPr>
          <w:rFonts w:ascii="Times New Roman;serif" w:hAnsi="Times New Roman;serif"/>
          <w:b w:val="false"/>
          <w:color w:val="000000"/>
          <w:sz w:val="24"/>
          <w:u w:val="single"/>
        </w:rPr>
        <w:t>Section 4999</w:t>
      </w:r>
      <w:r>
        <w:rPr>
          <w:color w:val="000000"/>
        </w:rPr>
        <w:t>”</w:t>
      </w:r>
      <w:r>
        <w:rPr>
          <w:rFonts w:ascii="Times New Roman;serif" w:hAnsi="Times New Roman;serif"/>
          <w:b w:val="false"/>
          <w:color w:val="000000"/>
          <w:sz w:val="24"/>
        </w:rPr>
        <w:t xml:space="preserve">), then the Payments shall be either (x) delivered in full, or (y) delivered as to such lesser extent which would result in no portion of the Payments being subject to excise tax under Section 4999, whichever of the foregoing amounts, taking into account the applicable federal, state and local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income taxes and the excise tax imposed by Section 4999, results in the receipt by Executive on an after-tax basis of the greatest amount of the Payments, notwithstanding that all or some portion of the Payments may be taxable under Section 4999. The provisions of this Section 5 shall apply if, at the time of any change in ownership or control of VICI REIT (within the meaning of Section 280G), VICI REIT is an entity whose stock is readily tradable on an established securities market (or otherwise), within the meaning of Section 280G.</w:t>
      </w:r>
    </w:p>
    <w:p>
      <w:pPr>
        <w:pStyle w:val="TextBody"/>
        <w:bidi w:val="0"/>
        <w:spacing w:lineRule="auto" w:line="288" w:before="0" w:after="240"/>
        <w:ind w:left="0" w:right="0" w:firstLine="144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Accountants’ Determinations</w:t>
      </w:r>
      <w:r>
        <w:rPr>
          <w:rFonts w:ascii="Times New Roman;serif" w:hAnsi="Times New Roman;serif"/>
          <w:b w:val="false"/>
          <w:color w:val="000000"/>
          <w:sz w:val="24"/>
        </w:rPr>
        <w:t>. Unless VICI REIT, the Company and Executive otherwise agree in writing, any determination required under this Section 5 shall be made in writing by VICI REIT’s independent public accountants (the “</w:t>
      </w:r>
      <w:r>
        <w:rPr>
          <w:rFonts w:ascii="Times New Roman;serif" w:hAnsi="Times New Roman;serif"/>
          <w:b w:val="false"/>
          <w:color w:val="000000"/>
          <w:sz w:val="24"/>
          <w:u w:val="single"/>
        </w:rPr>
        <w:t>Accountants</w:t>
      </w:r>
      <w:r>
        <w:rPr>
          <w:color w:val="000000"/>
        </w:rPr>
        <w:t>”</w:t>
      </w:r>
      <w:r>
        <w:rPr>
          <w:rFonts w:ascii="Times New Roman;serif" w:hAnsi="Times New Roman;serif"/>
          <w:b w:val="false"/>
          <w:color w:val="000000"/>
          <w:sz w:val="24"/>
        </w:rPr>
        <w:t>) immediately prior to the transaction described in Section 280G(b)(2)(A)(i) of the Code, whose determination shall be conclusive and binding upon Executive, VICI REIT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 280G and Section 4999. VICI REIT, the Company and Executive shall furnish to the Accountants such information and documents as the Accountants may reasonably request in order to make a determination under this Section 5. The Company shall bear all costs the Accountants may reasonably incur in connection with any calculations contemplated by this Section 5. If a reduction in the Payments constituting “parachute payments” as defined in Section 280G is necessary so that benefits are delivered to a lesser extent, reduction will occur in the following order: (a) reduction of the cash payments and (b) cancellation of accelerated vesting of equity awards. In the event that the accelerated vesting of equity awards is to be cancelled, such vesting acceleration shall be cancelled in the reverse chronological order of Executive’s equity awards’ grant dates.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Non-Competition, Non-Solicitation, and Confidentiality; Certain Other Covenants</w:t>
      </w:r>
      <w:r>
        <w:rPr>
          <w:rFonts w:ascii="Times New Roman;serif" w:hAnsi="Times New Roman;serif"/>
          <w:b w:val="false"/>
          <w:color w:val="000000"/>
          <w:sz w:val="24"/>
        </w:rPr>
        <w:t>. Executive acknowledges that: (i) as a result of Executive’s employment by the Company, Executive has obtained and will obtain Confidential Information (as defined below); (ii) the Confidential Information has been developed and created by the Company and Company Affiliates at substantial expense and the Confidential Information constitutes valuable proprietary assets of the Company; (iii) the Company and the Company Affiliates will suffer substantial damage and irreparable harm which will be difficult to compute if, during the Term or thereafter, Executive should violate the provisions of this Section 6; (iv) the nature of the Company’s and the Company Affiliates’ business is such that it can be conducted anywhere in the world and is not limited to a geographic scope or region; (v) the Company and the Company Affiliates will suffer substantial damage which will be difficult to compute if, during the Term or thereafter, Executive should solicit or interfere with the Company’s or the Company Affiliates’ employees, clients, or customers in violation of the provisions of this Section 6 or should divulge Confidential Information relating to the business of the Company or the Company Affiliates; (vi) the provisions of this Agreement are reasonable and necessary for the protection of the business of the Company and the Company Affiliates; (vii) the Company would not have hired or continued to employ Executive or grant the benefits contemplated under this Agreement unless Executive agreed to be bound by the terms hereof; and (viii) the provisions of this Agreement will not preclude Executive from other gainful employment following Executive’s termination from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Disclosure of Confidential Information</w:t>
      </w:r>
      <w:r>
        <w:rPr>
          <w:rFonts w:ascii="Times New Roman;serif" w:hAnsi="Times New Roman;serif"/>
          <w:b w:val="false"/>
          <w:color w:val="000000"/>
          <w:sz w:val="24"/>
        </w:rPr>
        <w:t>. Executive acknowledges that the Company will provide Executive with confidential and proprietary information regarding the business in which the Company and Company Affiliates are involved, and the Company and the Company Affiliates will provide Executive with trade secrets of the Company and the Company Affiliates (hereinafter all such confidential information and trade secrets referred to as the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For purposes of this Agreement, “Confidential Information” includes, but is not limited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Information related to the business of the Company and the Company Affiliates, including but not limited to marketing strategies and plans, operating policies and procedures, business and strategic plans, finances, financial management systems, financial statements and projections, accounting and tax positions and procedures, organizational charts, salary and benefit programs, and other business and financial information of the Company and the Company Affiliates;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Information regarding the tenants, borrowers, and financing partners of the Company and the Company Affiliates (collectively, “P</w:t>
      </w:r>
      <w:r>
        <w:rPr>
          <w:rFonts w:ascii="Times New Roman;serif" w:hAnsi="Times New Roman;serif"/>
          <w:b w:val="false"/>
          <w:color w:val="000000"/>
          <w:sz w:val="24"/>
          <w:u w:val="single"/>
        </w:rPr>
        <w:t>artners</w:t>
      </w:r>
      <w:r>
        <w:rPr>
          <w:color w:val="000000"/>
        </w:rPr>
        <w:t>”</w:t>
      </w:r>
      <w:r>
        <w:rPr>
          <w:rFonts w:ascii="Times New Roman;serif" w:hAnsi="Times New Roman;serif"/>
          <w:b w:val="false"/>
          <w:color w:val="000000"/>
          <w:sz w:val="24"/>
        </w:rPr>
        <w:t>) which Executive acquired as a result of her employment with the Company, including but not limited to, confidential agreements or contracts, work performed for Partners, Partner contacts, Partner requirements and needs, data used by the Company and the Company Affiliates to formulate Partner proposals, Partners’ financial information and other information regarding the Partners’ respective businesses;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Information regarding the vendors of the Company and the Company Affiliates which Executive acquired as a result of her employment with the Company, including but not limited to, product and service information and other information regarding the business activities of such vendors;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Training materials developed by and utilized by the Company and the Company Affiliates;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Any other information which Executive acquired as a result of her employment with the Company and which Executive has a reasonable basis to believe the Company or the Company Affiliates, as the case may be, would not want disclosed to a business competitor or to the general public;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Information which:</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is proprietary to, about or created by the Company or the Company Affiliates;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gives the Company or any of the Company Affiliates some competitive advantage, the opportunity of obtaining such advantage or the disclosure of which could be detrimental to the interests of the Company or the Company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is not typically disclosed to non-executives by the Company or otherwise is treated as confidential by the Company or the Company Affiliates;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is designated as Confidential Information by the Company or the Company Affiliates or from all the relevant circumstances should reasonably be assumed by Executive to be confidential to the Company or any Company Affiliates;</w:t>
      </w:r>
    </w:p>
    <w:p>
      <w:pPr>
        <w:pStyle w:val="TextBody"/>
        <w:bidi w:val="0"/>
        <w:spacing w:lineRule="auto" w:line="288" w:before="0" w:after="240"/>
        <w:jc w:val="left"/>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Confidential Information shall not include information which at the time of receipt or thereafter becomes publicly known or is obtainable in the public domain, in either case through no wrongful act of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Covenant Not to Compete</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the disclosure of Confidential Information to Executive, Executive shall not, directly or indirectly, for compensation or otherwise, engage in or have any interest in (i) Gaming and Leisure Properties, Inc. and its Subsidiaries and Affiliates, and (ii) any sole proprietorship, partnership, corporation, company, association, business or any other person or entity (whether as an employee, officer, corporation, business or any creditor, consultant or otherwise) that, directly or indirectly, competes with the Company’s “Business” (as defined below) in any and all states in which the Company or any Company Affiliate conducts such business or within 100 miles of any location where the Company or any Company Affiliate conducts such business while Executive is employed by the Company or any Company Affiliate and, with respect to the period following the termination of Executive’s employment, within the two-year period preceding such termination of employment; provided, however, Executive may continue to hold securities of the Company or any Company Affiliate or continue to hold or acquire, solely as an investment, shares of capital stock or other equity securities of any company if (a) she currently holds an interest in such stock or other securities, and before the date hereof has disclosed to the Board in detail (i) the applicable company (or companies) and (ii) the specific stock or other equity securities of the entity she owns, or (b) the stock or other securities are traded on any national securities exchange or are regularly quoted in the over-the-counter market, so long as Executive does not control, acquire a controlling interest in, or become a member of a group which exercises direct or indirect control of more than 1% of any class of capital stock of such entity (other than through an investment in any mutual, private equity or hedge fund or similar pooled investment vehicle). For purposes of this Agreement, the Company’s “</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is defined as the ownership or operation of a Real Estate Investment Trust that invests in lines of business in which VICI REIT or the Company invests or in which VICI REIT or the Company has active plans to invest as of the date Executive’s employment terminates, and such other businesses conducted by the Company or any Company Affiliate after the date hereof, and from time to time during the Term or such other businesses that the Company or any Company Affiliate had active plans to engage in as of the date Executive’s employment terminates. Notwithstanding the foregoing, Executive may engage in the practice of law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subsequent to the termination of her employment for any reason, subject to her compliance with applicable ethical requirements.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Non-Solicitation of Certain Persons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business or other entity, solicit, attempt to contract with, or enter into a contractual or business relationship of any kind pertaining to any aspect of the Company’s Business, or any other business conducted by the Company or any Company Affiliate at the time of termination of employment or at any time in the prior 12-month period, with any person or entity with which the Company or any Company Affiliate has any contractual or business relationship of a material operating or strategic nature or in the previous 12 months has engaged in negotiations toward such a relationship.</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While employed by the Company and, in the event of a termination of Executive’s employment for any reason,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or other entity, either (a) hire, attempt to employ, contact with respect to hiring, solicit with respect to hiring or enter into any contractual arrangement with any employee or former employee of the Company or any Company Affiliate, or (b) induce or otherwise advise or encourage any employee of the Company or any Company Affiliate to leave his or her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6.5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Subject to Sections 6.6 and 6.10, while employed by the Company and after Executive’s employment terminates for any reason, in consideration of the obligations of VICI REIT and the Company hereunder, including without limitation its disclosure of Confidential Information to Executive, Executive shall keep secret and retain in strictest confidence, shall not disclose to any third-party, and shall not use for her benefit or the benefit of others, except in connection with the business affairs of the Company or any Company Affiliate (collectively, the “</w:t>
      </w:r>
      <w:r>
        <w:rPr>
          <w:rFonts w:ascii="Times New Roman;serif" w:hAnsi="Times New Roman;serif"/>
          <w:b w:val="false"/>
          <w:color w:val="000000"/>
          <w:sz w:val="24"/>
          <w:u w:val="single"/>
        </w:rPr>
        <w:t>Benefited Persons</w:t>
      </w:r>
      <w:r>
        <w:rPr>
          <w:color w:val="000000"/>
        </w:rPr>
        <w:t>”</w:t>
      </w:r>
      <w:r>
        <w:rPr>
          <w:rFonts w:ascii="Times New Roman;serif" w:hAnsi="Times New Roman;serif"/>
          <w:b w:val="false"/>
          <w:color w:val="000000"/>
          <w:sz w:val="24"/>
        </w:rPr>
        <w:t>), any Confidential Information unless such disclosure is required by a valid subpoena or other legal mandate or otherwise by rule of law or other valid order of a court or government body or agency or in any litigation between the Executive and any Benefited Person. In the event disclosure is so required, Executive shall provide the Company with written notice within three (3) days of receiving such subpoena or other order if legally permitted to do so, and shall cooperate with VICI REIT and the Company in seeking an appropriate protective order and in attempting to keep such information confidential to the maximum extent possible. Executive agrees to promptly deliver to the Company upon request the originals and all copies, in whatever medium, of all such Confidential Information in Executive’s possession, custody or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6.6 </w:t>
      </w:r>
      <w:r>
        <w:rPr>
          <w:rFonts w:ascii="Times New Roman;serif" w:hAnsi="Times New Roman;serif"/>
          <w:b w:val="false"/>
          <w:color w:val="000000"/>
          <w:sz w:val="24"/>
          <w:u w:val="single"/>
        </w:rPr>
        <w:t>Permitted Uses of Trade Secrets</w:t>
      </w:r>
      <w:r>
        <w:rPr>
          <w:rFonts w:ascii="Times New Roman;serif" w:hAnsi="Times New Roman;serif"/>
          <w:b w:val="false"/>
          <w:color w:val="000000"/>
          <w:sz w:val="24"/>
        </w:rPr>
        <w:t>. Misappropriation of a trade secret of the Company or any Company Affiliate in breach of this Agreement may subject Executive to liability under the Defend Trade Secrets Act of 2016 (the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Company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6.7 </w:t>
      </w:r>
      <w:r>
        <w:rPr>
          <w:rFonts w:ascii="Times New Roman;serif" w:hAnsi="Times New Roman;serif"/>
          <w:b w:val="false"/>
          <w:color w:val="000000"/>
          <w:sz w:val="24"/>
          <w:u w:val="single"/>
        </w:rPr>
        <w:t>Tangible Items</w:t>
      </w:r>
      <w:r>
        <w:rPr>
          <w:rFonts w:ascii="Times New Roman;serif" w:hAnsi="Times New Roman;serif"/>
          <w:b w:val="false"/>
          <w:color w:val="000000"/>
          <w:sz w:val="24"/>
        </w:rPr>
        <w:t>. All files, records, documents, manuals, books, forms, reports, memoranda, studies, data, calculations, recordings, or correspondence, whether visually perceptible, machine-readable or otherwise, in whatever form they may exist, and all copies, abstracts and summaries of the foregoing, and all physical items related to the business of the Company or any Company Affiliate, whether of a public nature or not, and whether prepared by Executive or not, are and shall remain the exclusive property of the Company or any Company Affiliate, as applicable, and shall not be removed from its premises, except as required in the course of Executive’s employment by the Company, without the prior written consent of the Company. Such items, including any copies or other reproductions thereof, shall be promptly returned by Executive to the Company at any time upon the written request of the Company and in all events upon termination of her employment (or, if requested by the Company, destroyed by Executive).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6.8 </w:t>
      </w:r>
      <w:r>
        <w:rPr>
          <w:rFonts w:ascii="Times New Roman;serif" w:hAnsi="Times New Roman;serif"/>
          <w:b w:val="false"/>
          <w:color w:val="000000"/>
          <w:sz w:val="24"/>
          <w:u w:val="single"/>
        </w:rPr>
        <w:t>Remedies</w:t>
      </w:r>
      <w:r>
        <w:rPr>
          <w:rFonts w:ascii="Times New Roman;serif" w:hAnsi="Times New Roman;serif"/>
          <w:b w:val="false"/>
          <w:color w:val="000000"/>
          <w:sz w:val="24"/>
        </w:rPr>
        <w:t>. VICI REIT, the Company and Executive acknowledge and agree that a breach by Executive of any of the covenants contained in this Section 6 will cause immediate and irreparable harm and damage to the Company and the Company Affiliates, and that monetary damages will be inadequate to compensate the Company and the Company Affiliates, as the case may be, for such breach. Accordingly, Executive acknowledges that the Company and the Company Affiliates shall, in addition to any other remedies available to it at law or in equity, be entitled to an injunction from any court of competent jurisdiction enjoining and restraining any violation of said covenants by Executive or any of her affiliates, associates, partners or agents, either directly or indirectly, without the necessity of posting a bond, or proving the inadequacy of legal remedies or irreparable harm.</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6.9 </w:t>
      </w:r>
      <w:r>
        <w:rPr>
          <w:rFonts w:ascii="Times New Roman;serif" w:hAnsi="Times New Roman;serif"/>
          <w:b w:val="false"/>
          <w:color w:val="000000"/>
          <w:sz w:val="24"/>
          <w:u w:val="single"/>
        </w:rPr>
        <w:t>Modification</w:t>
      </w:r>
      <w:r>
        <w:rPr>
          <w:rFonts w:ascii="Times New Roman;serif" w:hAnsi="Times New Roman;serif"/>
          <w:b w:val="false"/>
          <w:color w:val="000000"/>
          <w:sz w:val="24"/>
        </w:rPr>
        <w:t xml:space="preserve">. If, at any time, a reviewing court of appropriate jurisdiction called upon to issue an injunction in accordance with Section 6.8 finds any of the provisions of this Section 6 to be invalid or unenforceable under any applicable law, by reason of being vague or unreasonable as to area, duration, or scope of activity, this Agreement shall be considered divisible and such court shall have authority to modify this Agreement to cover only such area,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duration, and scope as shall be determined to be reasonable and enforceable by the court. Executive, VICI REIT, and the Company agree that this Agreement, as so amended, shall be valid and binding as though any invalid or unenforceable provision had not been included herein.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6.10 </w:t>
      </w:r>
      <w:r>
        <w:rPr>
          <w:rFonts w:ascii="Times New Roman;serif" w:hAnsi="Times New Roman;serif"/>
          <w:b w:val="false"/>
          <w:color w:val="000000"/>
          <w:sz w:val="24"/>
          <w:u w:val="single"/>
        </w:rPr>
        <w:t>Confidential Disclosure to Governmental and Quasi-Governmental Entities</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6.11 </w:t>
      </w:r>
      <w:r>
        <w:rPr>
          <w:rFonts w:ascii="Times New Roman;serif" w:hAnsi="Times New Roman;serif"/>
          <w:b w:val="false"/>
          <w:color w:val="000000"/>
          <w:sz w:val="24"/>
          <w:u w:val="single"/>
        </w:rPr>
        <w:t>Company Property</w:t>
      </w:r>
      <w:r>
        <w:rPr>
          <w:rFonts w:ascii="Times New Roman;serif" w:hAnsi="Times New Roman;serif"/>
          <w:b w:val="false"/>
          <w:color w:val="000000"/>
          <w:sz w:val="24"/>
        </w:rPr>
        <w:t>. The parties hereto agree that any work of authorship, invention, design, discovery, development, technique, improvement, source code, hardware, device, data, apparatus, practice, process, method, or other work product whatever related to the Company’s or the Company Affiliates’ business (whether patentable or subject to copyright, or not, and hereinafter collectively called “</w:t>
      </w:r>
      <w:r>
        <w:rPr>
          <w:rFonts w:ascii="Times New Roman;serif" w:hAnsi="Times New Roman;serif"/>
          <w:b w:val="false"/>
          <w:color w:val="000000"/>
          <w:sz w:val="24"/>
          <w:u w:val="single"/>
        </w:rPr>
        <w:t>discovery</w:t>
      </w:r>
      <w:r>
        <w:rPr>
          <w:color w:val="000000"/>
        </w:rPr>
        <w:t>”</w:t>
      </w:r>
      <w:r>
        <w:rPr>
          <w:rFonts w:ascii="Times New Roman;serif" w:hAnsi="Times New Roman;serif"/>
          <w:b w:val="false"/>
          <w:color w:val="000000"/>
          <w:sz w:val="24"/>
        </w:rPr>
        <w:t>) that Executive, either solely or in collaboration with others, conceives, creates, makes, discovers, invents, develops, perfects, or reduces to practice during the term of Executive’s employment, whether or not during regular business hours or on the Company’s or any Company Affiliates’ premises, shall be the sole and complete property of the Company and/or the Company Affiliates. More particularly, and without limiting the foregoing,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(subsections (i) - (iv) collectively, “</w:t>
      </w:r>
      <w:r>
        <w:rPr>
          <w:rFonts w:ascii="Times New Roman;serif" w:hAnsi="Times New Roman;serif"/>
          <w:b w:val="false"/>
          <w:color w:val="000000"/>
          <w:sz w:val="24"/>
          <w:u w:val="single"/>
        </w:rPr>
        <w:t>Intellectual Property Products</w:t>
      </w:r>
      <w:r>
        <w:rPr>
          <w:color w:val="000000"/>
        </w:rPr>
        <w:t>”</w:t>
      </w:r>
      <w:r>
        <w:rPr>
          <w:rFonts w:ascii="Times New Roman;serif" w:hAnsi="Times New Roman;serif"/>
          <w:b w:val="false"/>
          <w:color w:val="000000"/>
          <w:sz w:val="24"/>
        </w:rPr>
        <w:t>) created, conceived, or prepared on the Company’s or the Company Affiliates’ premises or otherwise, whether or not during normal business hours, and related to the Company’s business, shall perpetually and throughout the world be the exclusive property of the Company and/or the Company Affiliates, as shall all tangible media (including, but not limited to, papers, computer media, and digital and cloud-based of all types and models) in which such Intellectual Property Products shall be recorded or otherwise fixed. Upon termination of Executive’s employment with the Company for any reason whatsoever, and at any earlier time the Company so requests, Executive will immediately deliver to the custody of the person designated by the CEO of the Company all originals and copies of any documents and other property of the Company or any Company Affiliates in Executive’s possession or under Executive’s custody or control.</w:t>
      </w:r>
    </w:p>
    <w:p>
      <w:pPr>
        <w:pStyle w:val="TextBody"/>
        <w:bidi w:val="0"/>
        <w:spacing w:lineRule="auto" w:line="288" w:before="0" w:after="240"/>
        <w:ind w:left="0" w:right="0" w:firstLine="1440"/>
        <w:jc w:val="left"/>
        <w:rPr/>
      </w:pPr>
      <w:r>
        <w:rPr>
          <w:rFonts w:ascii="Times New Roman;serif" w:hAnsi="Times New Roman;serif"/>
          <w:b w:val="false"/>
          <w:color w:val="000000"/>
          <w:sz w:val="24"/>
        </w:rPr>
        <w:t>6.12    </w:t>
      </w:r>
      <w:r>
        <w:rPr>
          <w:rFonts w:ascii="Times New Roman;serif" w:hAnsi="Times New Roman;serif"/>
          <w:b w:val="false"/>
          <w:color w:val="000000"/>
          <w:sz w:val="24"/>
          <w:u w:val="single"/>
        </w:rPr>
        <w:t>Works for Hire</w:t>
      </w:r>
      <w:r>
        <w:rPr>
          <w:rFonts w:ascii="Times New Roman;serif" w:hAnsi="Times New Roman;serif"/>
          <w:b w:val="false"/>
          <w:color w:val="000000"/>
          <w:sz w:val="24"/>
        </w:rPr>
        <w:t>. Executive agrees that all works of authorship created in whole or in part by Executive during Executive’s engagement by the Company and related to the Company’s business shall be works made for hire of which the Company or the Company Affiliates is the author and owner of copyright. To the extent that any competent decision-</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making authority should ever determine that any work of authorship created by Executive during Executive’s engagement by the Company is not a work made for hire, Executive hereby assigns all right, title, and interest in the copyright therein, in perpetuity and throughout the world, to the Company. To the extent that this Agreement does not otherwise serve to grant or otherwise vest in the Company or any of the Company Affiliates all rights in any Intellectual Property Product created in whole or in part by Executive during Executive’s engagement by the Company, Executive hereby assigns all right, title, and interest therein, in perpetuity and throughout the world, to the Company. Executive agrees to execute, immediately upon the Company’s reasonable request and without any additional compensation, any further assignments, applications, conveyances or other instruments, at any time after execution of this Agreement, whether or not Executive remains employed by the Company at the time such request is made, in order to permit the Company, the Company Affiliates, and/or their respective successors and assigns to protect, perfect, register, record, maintain, or enhance their rights in any Intellectual Property Product;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shall bear the cost of any such assignments, applications, or consequences.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Litigation and Regulatory Cooperation</w:t>
      </w:r>
      <w:r>
        <w:rPr>
          <w:rFonts w:ascii="Times New Roman;serif" w:hAnsi="Times New Roman;serif"/>
          <w:b w:val="false"/>
          <w:color w:val="000000"/>
          <w:sz w:val="24"/>
        </w:rPr>
        <w:t xml:space="preserve">. Executive agrees that upon separation for any reason from the Company, Executive will cooperate and assist in all ways reasonably requested by the Company in assuring an orderly transition of all matters being handled by her, subject however to Executive’s subsequent professional and employment obligations. During the Term and continuing thereafter upon termination of employment, Executive shall reasonably cooperate with the Company and the Company Affiliates in the defense or prosecution of any claims or actions now in existence or that may be brought or threatened in the future against or on behalf of any of the Company, the Company Affiliates, or any divisions, successors, and assigns thereof, about which the Company believes Executive may have relevant information. Executive’s cooperation in connection with such claims or actions shall include, but not be limited to, being available to meet with counsel to prepare for discovery or trial and to act as a witness on behalf of the Company, the Company Affiliates, or any successors and assigns thereof at mutually convenient times. Executive also shall, subject however to Executive’s subsequent professional and employment obligations, cooperate fully with the Company in connection with any investigation or review by any federal, state, or local regulatory authority as any such investigation or review relates to events or occurrences that transpired while Executive was employed by the Company. Executive’s cooperation and assistance pursuant to this Section 7 shall be without additional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Company will pay in advance for Executive’s reasonable travel expenses incurred with respect to such cooperation and assistance. Executive shall not be required to cooperate against her legal interests or the legal interests of any entity that is then her employer.</w: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Except with respect to claims arising out of or related to a breach or alleged breach of Section 6, which claims may be brought in court, all disputes between the parties or any claims concerning the performance, breach, construction or interpretation of this Agreement, or in any manner arising out of this Agreement or Executive’s employment by the Company, shall be submitted to binding arbitration in accordance with the Employment Arbitration Rules, as amended from time to time, of the American Arbitration Association (the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which arbitration shall be carried out in the manner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Such arbitration shall be conducted in New York, New York or such other location as the Company’s headquarters may be located at such time, and the arbitrator will apply New York law, including federal law as applied in New York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fees and costs of the arbitrator and/or the AAA shall be divided among the Company and Executive, subject to reallocation as provided in Section 8(iv)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    The arbitrator shall not have the authority to modify the terms of this Agreement except to the extent that the Agreement violates any governing statue, in which case the arbitrator may modify the Agreement solely as necessary to not conflict with such statute. The arbitrator shall have the authority to award any remedy or relief that a court of the State of New York or federal court located in the State of New York could grant in conformity with the applicable law on the basis of claims actually made in the arbitration. The arbitrator shall render an award and written opinion which shall set forth the factual and legal basis for the award. </w:t>
      </w:r>
    </w:p>
    <w:p>
      <w:pPr>
        <w:pStyle w:val="TextBody"/>
        <w:bidi w:val="0"/>
        <w:spacing w:lineRule="auto" w:line="288" w:before="0" w:after="240"/>
        <w:ind w:left="0" w:right="0" w:hanging="720"/>
        <w:jc w:val="left"/>
        <w:rPr/>
      </w:pPr>
      <w:r>
        <w:rPr>
          <w:rFonts w:ascii="Times New Roman;serif" w:hAnsi="Times New Roman;serif"/>
          <w:b w:val="false"/>
          <w:color w:val="000000"/>
          <w:sz w:val="24"/>
        </w:rPr>
        <w:t>(iii)    The award of the arbitrator shall be final and binding on VICI REIT, the Company and Executive, and judgment on the award may be confirmed and entered in any state or federal court located in New York, New York.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xml:space="preserve">), to any third party, with the sole exception of Executive’s legal counsel, who Executive shall ensure adheres to all confidentiality terms in this Agreement. In the event of any court proceeding to challenge or enforce an arbitrator’s award, the Company and Executive hereby consent to the exclusive jurisdiction of the state and federal courts in New York and agree to venue in that jurisdiction. VICI REIT, the Company and Executive agree to take all steps necessary to protect the confidentiality of the Arbitration Materials in connection with any such proceeding, agree to file all Confidential Information (and documents containing Confidential Information) under seal to the extent possible, and agree to the entry of an appropriate protective order encompassing the confidentiality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Each of VICI REIT, the Company and Executive agrees to pay its own costs and fees in connection with any arbitration of a dispute arising under this Agreement, and any court proceeding arising therefrom, provided, however, that (a) the arbitrator shall be authorized to award attorneys’ fees and costs to any party in accordance with applicable law and (b) the arbitrator shall award to the party substantially prevailing in such arbitration her or its costs, including reasonable attorneys’ fees.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    TO THE EXTENT ANY DISPUTE IS FOUND NOT TO BE SUBJECT TO THIS ARBITRATION PROVISION, VICI REIT, THE COMPANY AND EXECUTIVE EACH HEREBY WAIVE THEIR RESPECTIVE RIGHTS TO TRIAL BY JURY.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ACKNOWLEDGES THAT EXECUTIVE HAS CAREFULLY READ THIS SECTION 8, VOLUNTARILY AGREES TO ARBITRATE ALL DISPUTES, AND HAS HAD THE OPPORTUNITY TO REVIEW THE PROVISIONS OF SECTION 8 WITH ANY ADVISORS AS EXECUTIVE CONSIDERED NECESSARY. BY SIGNING BELOW, EXECUTIVE SIGNIFIES EXECUTIVE’S UNDERSTANDING AND AGREEMENT TO SECTION 8.</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Severability</w:t>
      </w:r>
      <w:r>
        <w:rPr>
          <w:rFonts w:ascii="Times New Roman;serif" w:hAnsi="Times New Roman;serif"/>
          <w:b w:val="false"/>
          <w:color w:val="000000"/>
          <w:sz w:val="24"/>
        </w:rPr>
        <w:t>. As the provisions of this Agreement are independent of and severable from each other, the Company and Executive agree that if, in any action before any court or agency legally empowered to enforce this Agreement, any term, restriction, covenant, or promise hereof is found to be unreasonable or otherwise unenforceable, then such decision shall not affect the validity of the other provisions of this Agreement, and such invalid term, restriction, covenant, or promise shall also be deemed modified to the extent necessary to make it enforceable.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Notice</w:t>
      </w:r>
      <w:r>
        <w:rPr>
          <w:rFonts w:ascii="Times New Roman;serif" w:hAnsi="Times New Roman;serif"/>
          <w:b w:val="false"/>
          <w:color w:val="000000"/>
          <w:sz w:val="24"/>
        </w:rPr>
        <w:t>. For purposes of this Agreement, notices, demands and all other communications provided for in this Agreement shall be in writing and shall be deemed to have been duly given when received if delivered in person, the next business day if delivered by overnight commercial courier (e.g., Federal Express), or the third business day if mailed by United States certified mail, return receipt requested, postage prepaid, to the following addresses: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If to VICI REIT or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VICI Properties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535 Madison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Attn: Chief Executive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If to Executive,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Samantha Sacks Gallagher</w:t>
      </w:r>
    </w:p>
    <w:p>
      <w:pPr>
        <w:pStyle w:val="TextBody"/>
        <w:bidi w:val="0"/>
        <w:spacing w:lineRule="auto" w:line="288"/>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address on record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Either party may change its address for notices in accordance with this Section 10 by providing written notice of such change to the other party.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New York applicable to contracts to be performed therein.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Benefits; Binding Effect; Assignment</w:t>
      </w:r>
      <w:r>
        <w:rPr>
          <w:rFonts w:ascii="Times New Roman;serif" w:hAnsi="Times New Roman;serif"/>
          <w:b w:val="false"/>
          <w:color w:val="000000"/>
          <w:sz w:val="24"/>
        </w:rPr>
        <w:t>. This Agreement shall be binding upon and inure to the benefit of the parties and their respective heirs, personal representatives, legal representatives, successors and permitted assigns. Executive shall not assign this Agreement or any of Executive’s obligations hereunder in whole or in part. However, VICI REIT and the Company are expressly authorized to assign this Agreement to a Company Affiliate or an acquirer of substantially all the assets of VICI REIT or the Company upon written notice to Executive, provided that (a) the assignee assumes all of the obligations of VICI REIT and the Company under this Agreement, (b) Executive’s role when viewed from the perspective of the surviving or resulting business is comparable to such role immediately before the assignment, and (c) VICI REIT and the Company, for so long as an affiliate of the assignee, remains secondarily liable for the financial obligations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As all parties have had the opportunity to consult with legal counsel of their own choosing, no provision of this Agreement shall be construed against or interpreted to the disadvantage of any party by reason of such party having, or being deemed to have, drafted, devised, or imposed such provision.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14.    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between the parties, and all prior understandings, agreements or undertakings including without limitation the Prior Agreement between the parties concerning Executive’s employment or the other subject matters of this Agreement are superseded and replaced in their entirety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15.    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lineRule="auto" w:line="288" w:before="0" w:after="240"/>
        <w:ind w:left="0" w:right="0" w:firstLine="720"/>
        <w:jc w:val="left"/>
        <w:rPr/>
      </w:pPr>
      <w:r>
        <w:rPr>
          <w:rFonts w:ascii="Times New Roman;serif" w:hAnsi="Times New Roman;serif"/>
          <w:b w:val="false"/>
          <w:color w:val="000000"/>
          <w:sz w:val="24"/>
        </w:rPr>
        <w:t>16.    </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shall not be required to mitigate damages or the amount of any payment provided for under this Agreement by seeking other employment or otherwise, nor will any payments hereunder be subject to offset in the event Executive does mitigate.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which together shall be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18.    </w:t>
      </w:r>
      <w:r>
        <w:rPr>
          <w:rFonts w:ascii="Times New Roman;serif" w:hAnsi="Times New Roman;serif"/>
          <w:b w:val="false"/>
          <w:color w:val="000000"/>
          <w:sz w:val="24"/>
          <w:u w:val="single"/>
        </w:rPr>
        <w:t>Tax Advice</w:t>
      </w:r>
      <w:r>
        <w:rPr>
          <w:rFonts w:ascii="Times New Roman;serif" w:hAnsi="Times New Roman;serif"/>
          <w:b w:val="false"/>
          <w:color w:val="000000"/>
          <w:sz w:val="24"/>
        </w:rPr>
        <w:t>. Executive confirms and represents to VICI REIT and the Company that she has had the opportunity to obtain the advice of legal counsel, financial and tax advisers, and such other professionals as she deems necessary for entering into this Agreement, and she has not relied upon the advice of VICI REIT, the Company or their respective officers, directors, or employees.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19.    </w:t>
      </w:r>
      <w:r>
        <w:rPr>
          <w:rFonts w:ascii="Times New Roman;serif" w:hAnsi="Times New Roman;serif"/>
          <w:b w:val="false"/>
          <w:color w:val="000000"/>
          <w:sz w:val="24"/>
          <w:u w:val="single"/>
        </w:rPr>
        <w:t>Withholding</w:t>
      </w:r>
      <w:r>
        <w:rPr>
          <w:rFonts w:ascii="Times New Roman;serif" w:hAnsi="Times New Roman;serif"/>
          <w:b w:val="false"/>
          <w:color w:val="000000"/>
          <w:sz w:val="24"/>
        </w:rPr>
        <w:t>. Any payments made to Executive under this Agreement shall be reduced by any applicable withholding taxes or other amounts required to be withheld by law or contract.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comply with, or be exempt from, the requirements of Section 409A, and shall be interpreted and construed consistent with that intent. No expenses eligible for reimbursement, or in-kind benefits to be provided, during any calendar year shall affect the amounts eligible for reimbursement in any other calendar year, to the extent subject to the requirements of Section 409A, and no such right to reimbursement or right to in-kind benefits shall be subject to liquidation or exchange for any other benefit. For purposes of Section 409A, each payment in a series of installment payments provided under this Agreement shall be treated as a separate payment. Any payments to be made under this Agreement upon a termination of employment shall only be made upon a “separation from service” under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Survivability</w:t>
      </w:r>
      <w:r>
        <w:rPr>
          <w:rFonts w:ascii="Times New Roman;serif" w:hAnsi="Times New Roman;serif"/>
          <w:b w:val="false"/>
          <w:color w:val="000000"/>
          <w:sz w:val="24"/>
        </w:rPr>
        <w:t>. Those provisions and obligations of this Agreement which are intended to survive shall survive notwithstanding termination of Executive’s employment with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signed their names as of the day and year first above written.</w:t>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Edward B. Pitoniak</w:t>
      </w:r>
      <w:r>
        <w:rPr>
          <w:color w:val="000000"/>
          <w:u w:val="single"/>
        </w:rPr>
        <w:t xml:space="preserve">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lineRule="auto" w:line="288" w:before="0" w:after="240"/>
        <w:ind w:left="0" w:right="0" w:firstLine="450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ind w:left="0" w:right="0" w:firstLine="4507"/>
        <w:jc w:val="left"/>
        <w:rPr/>
      </w:pPr>
      <w:r>
        <w:rPr/>
      </w:r>
    </w:p>
    <w:p>
      <w:pPr>
        <w:pStyle w:val="TextBody"/>
        <w:bidi w:val="0"/>
        <w:spacing w:lineRule="auto" w:line="288" w:before="0" w:after="0"/>
        <w:ind w:left="0" w:right="0" w:firstLine="4507"/>
        <w:jc w:val="left"/>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 xml:space="preserve">/s/ Edward B. Pitoniak </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Name:     Edward B. Pitoniak</w:t>
      </w:r>
    </w:p>
    <w:p>
      <w:pPr>
        <w:pStyle w:val="TextBody"/>
        <w:bidi w:val="0"/>
        <w:spacing w:lineRule="auto" w:line="288" w:before="0" w:after="0"/>
        <w:ind w:left="0" w:right="0" w:firstLine="450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ind w:left="0" w:right="0" w:firstLine="4500"/>
        <w:jc w:val="left"/>
        <w:rPr/>
      </w:pPr>
      <w:r>
        <w:rPr/>
      </w:r>
    </w:p>
    <w:p>
      <w:pPr>
        <w:pStyle w:val="TextBody"/>
        <w:bidi w:val="0"/>
        <w:spacing w:before="0" w:after="240"/>
        <w:ind w:left="0" w:right="0" w:firstLine="4500"/>
        <w:jc w:val="left"/>
        <w:rPr/>
      </w:pPr>
      <w:r>
        <w:rPr/>
      </w:r>
    </w:p>
    <w:p>
      <w:pPr>
        <w:pStyle w:val="TextBody"/>
        <w:bidi w:val="0"/>
        <w:spacing w:lineRule="auto" w:line="288" w:before="0" w:after="0"/>
        <w:ind w:left="0" w:right="0" w:firstLine="4507"/>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 xml:space="preserve">/s/ Samantha S. Gallagher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Samantha Sacks Gallagher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In consideration of and in accordance with the February 25, 2026 Amended and Restated Employment Agreement by and between Samantha Sacks Gallagher,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VICI Properties Inc. (“VICI REIT”) and VICI Properties L.P., (together with its successors and assigns,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of which this Exhibit A is part, Executive hereby agrees as follows. All terms not defined in this Separation Agreement and Release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shall have the same meanings as those set forth in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Consideration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acknowledges and agrees that the payments and benefits to be paid to Executive under Section [4.2][4.3][4.4] of the Employment Agreement, as set forth in a schedule hereto (the “</w:t>
      </w:r>
      <w:r>
        <w:rPr>
          <w:rFonts w:ascii="Times New Roman;serif" w:hAnsi="Times New Roman;serif"/>
          <w:b w:val="false"/>
          <w:color w:val="000000"/>
          <w:sz w:val="24"/>
          <w:u w:val="single"/>
        </w:rPr>
        <w:t>Consideration Amounts</w:t>
      </w:r>
      <w:r>
        <w:rPr>
          <w:color w:val="000000"/>
        </w:rPr>
        <w:t>”</w:t>
      </w:r>
      <w:r>
        <w:rPr>
          <w:rFonts w:ascii="Times New Roman;serif" w:hAnsi="Times New Roman;serif"/>
          <w:b w:val="false"/>
          <w:color w:val="000000"/>
          <w:sz w:val="24"/>
        </w:rPr>
        <w:t>), represent good, valuable, and sufficient consideration for signing this Separation Agreement, and exceed any amounts or interests to which Executive otherwise would be entitled. Executive acknowledges and agrees that except as specifically provided in this Separation Agreement, VICI REIT and the Company shall have no other obligations or liabilities, monetary or otherwise, to Executive following the date hereof and that the payments and benefits contemplated herein constitute a complete settlement, satisfaction, and waiver of any and all claims Executive may have against VICI REIT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color w:val="000000"/>
          <w:sz w:val="24"/>
          <w:u w:val="single"/>
        </w:rPr>
        <w:t>Release of Claims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Executive, for Executive, Executive’s spouse, and each of Executive’s heirs, beneficiaries, representatives, agents, successors, and assigns (collectively, “</w:t>
      </w:r>
      <w:r>
        <w:rPr>
          <w:rFonts w:ascii="Times New Roman;serif" w:hAnsi="Times New Roman;serif"/>
          <w:b w:val="false"/>
          <w:color w:val="000000"/>
          <w:sz w:val="24"/>
          <w:u w:val="single"/>
        </w:rPr>
        <w:t>Executive Releasors</w:t>
      </w:r>
      <w:r>
        <w:rPr>
          <w:color w:val="000000"/>
        </w:rPr>
        <w:t>”</w:t>
      </w:r>
      <w:r>
        <w:rPr>
          <w:rFonts w:ascii="Times New Roman;serif" w:hAnsi="Times New Roman;serif"/>
          <w:b w:val="false"/>
          <w:color w:val="000000"/>
          <w:sz w:val="24"/>
        </w:rPr>
        <w:t>), irrevocably and unconditionally releases and forever discharges each of VICI REIT and the Company, (i) each and all of their predecessors, parents, Subsidiaries, Affiliates, divisions, successors, and assigns (collectively with VICI REIT and the Company, the “</w:t>
      </w:r>
      <w:r>
        <w:rPr>
          <w:rFonts w:ascii="Times New Roman;serif" w:hAnsi="Times New Roman;serif"/>
          <w:b w:val="false"/>
          <w:color w:val="000000"/>
          <w:sz w:val="24"/>
          <w:u w:val="single"/>
        </w:rPr>
        <w:t>Company Entities</w:t>
      </w:r>
      <w:r>
        <w:rPr>
          <w:color w:val="000000"/>
        </w:rPr>
        <w:t>”</w:t>
      </w:r>
      <w:r>
        <w:rPr>
          <w:rFonts w:ascii="Times New Roman;serif" w:hAnsi="Times New Roman;serif"/>
          <w:b w:val="false"/>
          <w:color w:val="000000"/>
          <w:sz w:val="24"/>
        </w:rPr>
        <w:t>), (ii) each and all of the Company Entities’ current and former officers, directors, employees, and, in their respective capacities as such, each and all of the Company Entities’ shareholders, representatives, attorneys, agents, and assigns(collectively, with the Company Entities, the “</w:t>
      </w:r>
      <w:r>
        <w:rPr>
          <w:rFonts w:ascii="Times New Roman;serif" w:hAnsi="Times New Roman;serif"/>
          <w:b w:val="false"/>
          <w:color w:val="000000"/>
          <w:sz w:val="24"/>
          <w:u w:val="single"/>
        </w:rPr>
        <w:t>Company Releasees</w:t>
      </w:r>
      <w:r>
        <w:rPr>
          <w:color w:val="000000"/>
        </w:rPr>
        <w:t>”</w:t>
      </w:r>
      <w:r>
        <w:rPr>
          <w:rFonts w:ascii="Times New Roman;serif" w:hAnsi="Times New Roman;serif"/>
          <w:b w:val="false"/>
          <w:color w:val="000000"/>
          <w:sz w:val="24"/>
        </w:rPr>
        <w:t>), from any and all causes of action, claims, actions, rights, judgments, obligations, damages, demands, accountings, or liabilities of any kind or character, whether known or unknown, whether accrued or contingent, that Executive has, had, or may have against them, or any of them, by reason of, arising out of, connected with, touching upon, or concerning Executive’s employment with the Company, Executive’s separation from the Company, and Executive’s relationship with any or all of the Company Releasees, and from any and all statutory claims, regulatory claims, claims under the Employment Agreement, and any and all other claims or matters of whatever kind, nature, or description, arising from the beginning of the world up through the Separation Agreement Effective Date (as defined below) (collectively,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xml:space="preserve">). Executive acknowledges that the Released Claims specifically include, but are not limited to, any and all claims for fraud, breach of express or implied contract, breach of the implied covenant of good faith and fair dealing, interference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contractual rights, violation of public policy, invasion of privacy, intentional or negligent infliction of emotional distress, intentional or negligent misrepresentation, defamation, libel, slander, or breach of privacy; claims for failure to pay wages, benefits, deferred compensation, commissions, bonuses, vacation pay, expenses, severance pay, attorneys’ fees, or other compensation of any sort; claims related to stock options, equity awards, or other grants, awards, or warrants; claims related to any tangible or intangible property of Executive that remains with the Company; claims for retaliation, harassment or discrimination on the basis of race, color, sex, sexual orientation, national origin, ancestry, religion, age, disability, medical condition, marital status, gender identity, gender expression, or any other characteristic or criteria protected by law; any claim under Title VII of the Civil Rights Act of 1964 (Title VII, as amended), 42 U.S.C. §§ 2000e, et seq., the Civil Rights Act of 1991, the Civil Rights Act of 1866, the Family and Medical Leave Act (“</w:t>
      </w:r>
      <w:r>
        <w:rPr>
          <w:rFonts w:ascii="Times New Roman;serif" w:hAnsi="Times New Roman;serif"/>
          <w:b w:val="false"/>
          <w:color w:val="000000"/>
          <w:sz w:val="24"/>
          <w:u w:val="single"/>
        </w:rPr>
        <w:t>FMLA</w:t>
      </w:r>
      <w:r>
        <w:rPr>
          <w:color w:val="000000"/>
        </w:rPr>
        <w:t>”</w:t>
      </w:r>
      <w:r>
        <w:rPr>
          <w:rFonts w:ascii="Times New Roman;serif" w:hAnsi="Times New Roman;serif"/>
          <w:b w:val="false"/>
          <w:color w:val="000000"/>
          <w:sz w:val="24"/>
        </w:rPr>
        <w:t>), 29 U.S.C. §§ 2601, et seq., the Fair Labor Standards Act (“</w:t>
      </w:r>
      <w:r>
        <w:rPr>
          <w:rFonts w:ascii="Times New Roman;serif" w:hAnsi="Times New Roman;serif"/>
          <w:b w:val="false"/>
          <w:color w:val="000000"/>
          <w:sz w:val="24"/>
          <w:u w:val="single"/>
        </w:rPr>
        <w:t>FLSA</w:t>
      </w:r>
      <w:r>
        <w:rPr>
          <w:color w:val="000000"/>
        </w:rPr>
        <w:t>”</w:t>
      </w:r>
      <w:r>
        <w:rPr>
          <w:rFonts w:ascii="Times New Roman;serif" w:hAnsi="Times New Roman;serif"/>
          <w:b w:val="false"/>
          <w:color w:val="000000"/>
          <w:sz w:val="24"/>
        </w:rPr>
        <w:t>), 29 U.S.C. §§ 201, et seq., the Equal Pay Act, 29 U.S.C. §206(a) and interpretive regulations, the Americans with Disabilities Act (“</w:t>
      </w:r>
      <w:r>
        <w:rPr>
          <w:rFonts w:ascii="Times New Roman;serif" w:hAnsi="Times New Roman;serif"/>
          <w:b w:val="false"/>
          <w:color w:val="000000"/>
          <w:sz w:val="24"/>
          <w:u w:val="single"/>
        </w:rPr>
        <w:t>ADA</w:t>
      </w:r>
      <w:r>
        <w:rPr>
          <w:color w:val="000000"/>
        </w:rPr>
        <w:t>”</w:t>
      </w:r>
      <w:r>
        <w:rPr>
          <w:rFonts w:ascii="Times New Roman;serif" w:hAnsi="Times New Roman;serif"/>
          <w:b w:val="false"/>
          <w:color w:val="000000"/>
          <w:sz w:val="24"/>
        </w:rPr>
        <w:t>), 42 U.S.C. §§ 12101, et seq., the Consolidated Omnibus Budget Reconciliation Act of 1986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 Occupational Safety and Health Act (“</w:t>
      </w:r>
      <w:r>
        <w:rPr>
          <w:rFonts w:ascii="Times New Roman;serif" w:hAnsi="Times New Roman;serif"/>
          <w:b w:val="false"/>
          <w:color w:val="000000"/>
          <w:sz w:val="24"/>
          <w:u w:val="single"/>
        </w:rPr>
        <w:t>OSHA</w:t>
      </w:r>
      <w:r>
        <w:rPr>
          <w:color w:val="000000"/>
        </w:rPr>
        <w:t>”</w:t>
      </w:r>
      <w:r>
        <w:rPr>
          <w:rFonts w:ascii="Times New Roman;serif" w:hAnsi="Times New Roman;serif"/>
          <w:b w:val="false"/>
          <w:color w:val="000000"/>
          <w:sz w:val="24"/>
        </w:rPr>
        <w:t>) or any other health and/or safety laws, statutes, or regulations, the Uniformed Services Employment and Reemployment Rights Act (“</w:t>
      </w:r>
      <w:r>
        <w:rPr>
          <w:rFonts w:ascii="Times New Roman;serif" w:hAnsi="Times New Roman;serif"/>
          <w:b w:val="false"/>
          <w:color w:val="000000"/>
          <w:sz w:val="24"/>
          <w:u w:val="single"/>
        </w:rPr>
        <w:t>USERRA</w:t>
      </w:r>
      <w:r>
        <w:rPr>
          <w:color w:val="000000"/>
        </w:rPr>
        <w:t>”</w:t>
      </w:r>
      <w:r>
        <w:rPr>
          <w:rFonts w:ascii="Times New Roman;serif" w:hAnsi="Times New Roman;serif"/>
          <w:b w:val="false"/>
          <w:color w:val="000000"/>
          <w:sz w:val="24"/>
        </w:rPr>
        <w:t>), 38 U.S.C. §§ 4301-4333, the Employee Retirement Income Security Act of 1974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29 U.S.C. §§ 301, et seq., the Immigration Reform and Control Act of 1986, 8 U.S.C. §§ 1101, et seq., or the Internal Revenue Code of 1986, as amended, the Worker Adjustment and Retraining Notification Act; all claims arising under the Sarbanes-Oxley Act of 2002 (Public Law 107-204), including whistleblowing claims under 18 U.S.C. §§ 1513(e) and 1514A; the applicable state Wage and Hour Laws, and any and all other foreign, federal, state, or local laws, common law, or case law, including but not limited to all statutes, regulations, common law, and other laws in place in New York, New York. Notwithstanding anything in this Separation Agreement to the contrary, Executive is not releasing pursuant to this Separation Agreement any claims with respect to (i) Annual Salary due under the Employment Agreement through the date of termination, (ii) amounts payable pursuant to this Agreement, (iii) vested employee benefits or vested deferred compensation under VICI REIT’s and the Company’s applicable plans and arrangements, (iv) matters which cannot be released under applicable law, (v) indemnification by VICI REIT and the Company to the maximum extent pursuant to its by-laws, any indemnification agreement entered into between Executive and VICI REIT, and to third party directors’ and officers‘ liability or other insurance coverage, and/or (vi) any rights or claims arising out of events or circumstances that occur after Executive’s execution of this Separation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Executive acknowledges that there is a risk that after the execution of this Separation Agreement, Executive will incur or suffer damage, loss, or injury that is in some way caused by or connected with Executive’s employment with the Company or its Subsidiaries or Affiliates or Executive’s separation from the Company or its Subsidiaries or Affiliates, and any relationship with or membership or investment in the Company Releasees, but that is unknown or unanticipated at the time of execution of this Separation Agreement. Executive specifically assumes that risk, and agrees that this Separation Agreement and the Released Claims apply to all unknown or unanticipated, accrued or contingent claims and all matters caused by or connected with Executive’s employment with the Company or its Subsidiaries or Affiliates and/</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Executive’s separation from the Company or its Subsidiaries or Affiliates, as well as those claims currently known or anticipated. Executive acknowledges and agrees that this Separation Agreement constitutes a knowing and voluntary waiver of any and all rights and claims Executive does or may have as of the Separation Agreement Effective Date. Executive acknowledges that Executive has waived rights or claims pursuant to this Separation Agreement in exchange for consideration, the value of which exceeds payment or remuneration to which Executive otherwise would be entitled.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permitted by law, Executive agrees never to file a lawsuit or other adversarial proceeding with any court or arbitrator against VICI REIT, the Company or any other Company Releasee asserting any Released Claims. Executive represents and agrees that, prior to signing this Separation Agreement, Executive has not filed or pursued any complaints, charges, or lawsuits of any kind with any court, governmental or administrative agency, arbitrator, or other forum against VICI REIT, the Company or any of the other Company Releasees, asserting any claims whatsoever. Executive understands and acknowledges that, in the event Executive files an administrative charge or commences any proceeding with respect to any Released Claim, or in the event another person or entity does so in whole or in part on Executive’s behalf, Executive waives and is estopped from receiving any monetary award or other legal or equitable relief in connection with any such proceeding.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Executive represents and warrants that Executive has not assigned, transferred, or permitted the subrogation of any of Executive’s rights, claims, and/or causes of action, including any claims referenced in this Separation Agreement, or authorized any other person or entity to assert any such claim or claims on Executive’s behalf, and Executive agrees to indemnify and hold harmless VICI REIT and the Company against any assignment, transfer, or subrogation of said rights, claims, and/or causes of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color w:val="000000"/>
          <w:sz w:val="24"/>
          <w:u w:val="single"/>
        </w:rPr>
        <w:t>Survival</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following Sections of the Employment Agreement shall remain in full force and effect following the Termination Date: Section 3.2(c) (“Clawback”), Section 4 (“Termination of Employment”), Section 6 (“Non-Competition, Non-Solicitation, and Confidentiality; Certain Other Covenants”), Section 7 (“Litigation And Regulatory Cooperation”) Section 8 (“Dispute Resolution”), Section 10 (“Notice”) and Section 12 (“Benefits; Binding Effect; Assignment”). Any disputes arising in connection with this Separation Agreement or otherwise arising between any of Executive Releasors, on the one hand, and any of the Company Releasees, on the other hand, shall be resolved in accordance with Sections 6 and 8 of the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color w:val="000000"/>
          <w:sz w:val="24"/>
          <w:u w:val="single"/>
        </w:rPr>
        <w:t>Tax Liability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expressly acknowledges that neither VICI REIT nor the Company nor its attorneys have made any representations to Executive regarding the tax consequences of the consideration provided to Executive pursuant to this Separation Agreement and the Employment Agreement. It is the intention of the parties to this Separation Agreement that no payments made under this Separation Agreement and/or the Employment Agreement be subject to the additional tax on deferred compensation imposed by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but neither VICI REIT nor the Company guarantees that any such payment complies with or is exempt from Code Section 409A. Each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made under this Separation Agreement or the Employment Agreement will be treated as a separate payment for purposes of Code Section 409A and the right to a series of installment payments under this Separation Agreement is to be treated as a right to a series of separate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color w:val="000000"/>
          <w:sz w:val="24"/>
          <w:u w:val="single"/>
        </w:rPr>
        <w:t>Knowing/Voluntary Waiver</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is entitled to consider the terms of this Separation Agreement for twenty-one (21) days before signing it. If Executive fails to execute this Separation Agreement within this twenty-one (21) day period, this Separation Agreement will be null and void and of no force or effect. To execute this Separation Agreement, Executive must sign and date the Separation Agreement below, and return a signed copy hereof to Attn: Chief Executive Officer, VICI Properties Inc., 535 Madison Avenue, New York, New York 10022, (phone): (646) 949-4631, via nationally recognized overnight carrier or email.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Executive may revoke this Separation Agreement within seven (7) days of Executive’s signing it by delivering a written notice of such revocation to Attn: Chief Executive Officer, VICI Properties Inc., 535 Madison Avenue, New York, New York 10022, (phone): (646) 949-4631, via nationally recognized overnight carrier or email. If Executive revokes this Separation Agreement within seven (7) days of signing it, this Separation Agreement and the promises contained herein automatically will be null and void. If Executive signs this Separation Agreement and does not revoke this Separation Agreement within seven (7) days of signing it, this Separation Agreement shall become binding, effective, and irrevocable on the eighth (8th) day after the Separation Agreement is executed by both parties (the “</w:t>
      </w:r>
      <w:r>
        <w:rPr>
          <w:rFonts w:ascii="Times New Roman;serif" w:hAnsi="Times New Roman;serif"/>
          <w:b w:val="false"/>
          <w:color w:val="000000"/>
          <w:sz w:val="24"/>
          <w:u w:val="single"/>
        </w:rPr>
        <w:t>Separation Agreement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Executive acknowledges that Executive (a) has carefully read this Separation Agreement and the Employment Agreement; (b) is competent to manage Executive’s own affairs; (c) fully understands the Separation Agreement’s and Employment Agreement’s contents and legal effect, and understands that Executive is giving up any legal claims Executive has against any of the Company Releasees, including but not limited to any and all legal rights or claims under the Age Discrimination in Employment Act of 1967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(29 U.S.C. § 626, as amended), and all other federal, state, foreign, and local laws regarding age discrimination, whether those claims are presently known or hereafter discovered; (d) has been advised to consult with an attorney of Executive’s choosing prior to signing this Separation Agreement, if Executive so desires; and (e) has chosen to enter into this Separation Agreement freely, without coercion, and based upon Executive’s own judgment, and that Executive has not relied upon any promises made by any of the Company Releasees, other than the promises explicitly contained in this Separation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Separation Agreement may be executed in counterparts, each of which shall be deemed an original, and both of which together shall constitute one and the same instrument. The section headings in this Separation Agreement are provided for convenience only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 affect the construction or interpretation of this Separation Agreement or the provisions 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in any way be construed as an admission that VICI REIT, the Company, Executive, or any other individual or entity has any liability to or acted wrongfully in any way with respect to Executive, VICI REIT, the Company, or any other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Separation Agreement shall not be construed against either Party, and no consideration shall be given or presumption made on the basis of who drafted the Separation Agreement or any particular provision hereof or who supplied the form of this Separation Agreement. In construing the Separation Agreement, (i) examples shall not be construed to limit, expressly or by implication, the matter they illustrate, (ii) the connectives “and,” “or,” and “and/or” shall be construed either disjunctively or conjunctively so as to construe a sentence or clause most broadly and bring within its scope all subject matter that might otherwise be construed to be outside of its scope; (iii) the word “includes” and its derivatives means “includes, but is not limited to” and corresponding derivative expressions, (iv) a defined term has its defined meaning throughout the Separation Agreement, whether it appears before or after the place where it is defined, and (v) the headings and titles herein are for convenience only and shall have no significance in the interpretation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agree that each of the Company Releasees is an intended third-party beneficiary of this Separation Agreement and shall have the authority to enforce the provisions applicable to it, her, or Executive in accordance with the terms of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Except as otherwise specifically provided herein, this Separation Agreement constitutes the entire agreement of the Parties with respect to the subject matter hereof, contains all the covenants, promises, representations, warranties, and agreements between the Parties with respect to Executive’s separation from VICI REIT and the Company and all positions therewith;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nothing in this Agreement shall supersede the Sections in the Employment Agreement identified in Paragraph 3 (“</w:t>
      </w:r>
      <w:r>
        <w:rPr>
          <w:rFonts w:ascii="Times New Roman;serif" w:hAnsi="Times New Roman;serif"/>
          <w:b w:val="false"/>
          <w:color w:val="000000"/>
          <w:sz w:val="24"/>
          <w:u w:val="single"/>
        </w:rPr>
        <w:t>Survival</w:t>
      </w:r>
      <w:r>
        <w:rPr>
          <w:color w:val="000000"/>
        </w:rPr>
        <w:t>”</w:t>
      </w:r>
      <w:r>
        <w:rPr>
          <w:rFonts w:ascii="Times New Roman;serif" w:hAnsi="Times New Roman;serif"/>
          <w:b w:val="false"/>
          <w:color w:val="000000"/>
          <w:sz w:val="24"/>
        </w:rPr>
        <w:t>) of this Separation Agreement. Any modification of this Separation Agreement will be effective only if it is in writing and signed by Executive and the Chief Executive Officer of the Company.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General Release on this ___ day of 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Samantha Sacks Gallagher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VICI Properties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9" name="Frame2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Employment Agreement – Separation Agreement and Release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Subsidiaries of VICI Properties Inc. </w:t>
      </w:r>
    </w:p>
    <w:tbl>
      <w:tblPr>
        <w:tblW w:w="7542" w:type="dxa"/>
        <w:jc w:val="left"/>
        <w:tblInd w:w="0" w:type="dxa"/>
        <w:tblLayout w:type="fixed"/>
        <w:tblCellMar>
          <w:top w:w="28" w:type="dxa"/>
          <w:left w:w="28" w:type="dxa"/>
          <w:bottom w:w="28" w:type="dxa"/>
          <w:right w:w="28" w:type="dxa"/>
        </w:tblCellMar>
      </w:tblPr>
      <w:tblGrid>
        <w:gridCol w:w="1208"/>
        <w:gridCol w:w="1055"/>
        <w:gridCol w:w="1067"/>
        <w:gridCol w:w="109"/>
        <w:gridCol w:w="109"/>
        <w:gridCol w:w="109"/>
        <w:gridCol w:w="1138"/>
        <w:gridCol w:w="1138"/>
        <w:gridCol w:w="1609"/>
      </w:tblGrid>
      <w:tr>
        <w:trPr/>
        <w:tc>
          <w:tcPr>
            <w:tcW w:w="12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 or Country of Incorporation or Organization</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2474322 Alberta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Biloxi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Bluegrass Downs Property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Caesars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Southern Indiana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Cape 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Cascata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Centaur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Chariot Run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Cincinnati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Claudine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Claudine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Cleveland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CPLV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Expo Center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Fitz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Grand Bear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Grand Biloxi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Greektown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GSCR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Atlantic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Bossier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Council Bluffs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Joliet LandCo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Lake Tahoe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Metropolis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New Orleans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Reno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Harvey’s Lake Tahoe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Bossier City Prop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Council Bluffs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Tunica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Lady Luck 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Laughlin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Mandalay Grand Holdco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Mandalay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Margaritaville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Springfield reDevelopment,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Finance Co-Issuer,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2.5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Yonkers Realty Sub,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Mirage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47" w:type="dxa"/>
        <w:jc w:val="left"/>
        <w:tblInd w:w="0" w:type="dxa"/>
        <w:tblLayout w:type="fixed"/>
        <w:tblCellMar>
          <w:top w:w="28" w:type="dxa"/>
          <w:left w:w="28" w:type="dxa"/>
          <w:bottom w:w="28" w:type="dxa"/>
          <w:right w:w="28" w:type="dxa"/>
        </w:tblCellMar>
      </w:tblPr>
      <w:tblGrid>
        <w:gridCol w:w="1146"/>
        <w:gridCol w:w="1008"/>
        <w:gridCol w:w="1011"/>
        <w:gridCol w:w="109"/>
        <w:gridCol w:w="109"/>
        <w:gridCol w:w="109"/>
        <w:gridCol w:w="425"/>
        <w:gridCol w:w="425"/>
        <w:gridCol w:w="60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Miscellaneous Land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Mountaineer CRR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Harrah’s North Kansas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Horseshoe Hammond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Laughlin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Tunica Roadhouse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Palazzo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Philadelphia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PropCo Gulfport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PropCo TRS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1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2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3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4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1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2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3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4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Rio Secco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Riverview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Rocky Gap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Thistledown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Alexandria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Appleton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Auburn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Brentwood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Burke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Columbia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Commack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Crystal River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Elkhorn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Falls Church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Findlay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Gaithersburg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Georgetown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Jacksonville Mandarin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Jacksonville Southridge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Limerick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Manassas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Menasha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Midlothian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Milwaukee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North Brunswick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6" w:type="dxa"/>
        <w:jc w:val="left"/>
        <w:tblInd w:w="0" w:type="dxa"/>
        <w:tblLayout w:type="fixed"/>
        <w:tblCellMar>
          <w:top w:w="28" w:type="dxa"/>
          <w:left w:w="28" w:type="dxa"/>
          <w:bottom w:w="28" w:type="dxa"/>
          <w:right w:w="28" w:type="dxa"/>
        </w:tblCellMar>
      </w:tblPr>
      <w:tblGrid>
        <w:gridCol w:w="1006"/>
        <w:gridCol w:w="883"/>
        <w:gridCol w:w="885"/>
        <w:gridCol w:w="109"/>
        <w:gridCol w:w="109"/>
        <w:gridCol w:w="109"/>
        <w:gridCol w:w="425"/>
        <w:gridCol w:w="425"/>
        <w:gridCol w:w="605"/>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Norwalk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Pleasant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Port St. Lucie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Reading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Roanoke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Rocklin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Rohnert Park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San Antonio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Sinking Spring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Spring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St Paul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Sterling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Vacaville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13th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Northridge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Northrock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Vegas 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Vegas Operating Property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Venue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Baby REIT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Baby REIT Sub I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Bowl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Agent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Golf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Greenfield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VICI JerseyCo Limited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Jersey</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Lendco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Lendco UK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NF Lendco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Note 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2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906"/>
        <w:gridCol w:w="796"/>
        <w:gridCol w:w="802"/>
        <w:gridCol w:w="109"/>
        <w:gridCol w:w="109"/>
        <w:gridCol w:w="109"/>
        <w:gridCol w:w="407"/>
        <w:gridCol w:w="407"/>
        <w:gridCol w:w="581"/>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Properties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OP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Revolving Lendco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UK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UK REIT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England/Wales</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Waterview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WWW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YRL Associates,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21.2</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Subsidiaries of VICI Properties L.P.</w:t>
      </w:r>
    </w:p>
    <w:tbl>
      <w:tblPr>
        <w:tblW w:w="7542" w:type="dxa"/>
        <w:jc w:val="left"/>
        <w:tblInd w:w="0" w:type="dxa"/>
        <w:tblLayout w:type="fixed"/>
        <w:tblCellMar>
          <w:top w:w="28" w:type="dxa"/>
          <w:left w:w="28" w:type="dxa"/>
          <w:bottom w:w="28" w:type="dxa"/>
          <w:right w:w="28" w:type="dxa"/>
        </w:tblCellMar>
      </w:tblPr>
      <w:tblGrid>
        <w:gridCol w:w="1208"/>
        <w:gridCol w:w="1055"/>
        <w:gridCol w:w="1067"/>
        <w:gridCol w:w="109"/>
        <w:gridCol w:w="109"/>
        <w:gridCol w:w="109"/>
        <w:gridCol w:w="1138"/>
        <w:gridCol w:w="1138"/>
        <w:gridCol w:w="1609"/>
      </w:tblGrid>
      <w:tr>
        <w:trPr/>
        <w:tc>
          <w:tcPr>
            <w:tcW w:w="12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 or Country of Incorporation or Organization</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2474322 Alberta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Biloxi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Bluegrass Downs Property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Caesars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Southern Indiana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Cape 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Centaur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Cincinnati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Claudine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Claudine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Cleveland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CPLV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Expo Center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Fitz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Grand Biloxi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Greektown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GSCR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Bossier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Joliet LandCo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Lake Tahoe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Metropolis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Harrah’s New Orleans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Harrah’s Reno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Harvey’s Lake Tahoe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Bossier City Prop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Horseshoe Tunica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Lady Luck 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Laughlin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Mandalay Grand Holdco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Mandalay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Margaritaville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Springfield reDevelopment,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Finance Co-Issuer,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JV Investco 2.5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Lessor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MGP Yonkers Realty Sub,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Mirage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Miscellaneous Land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Venetian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Mountaineer CRR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47" w:type="dxa"/>
        <w:jc w:val="left"/>
        <w:tblInd w:w="0" w:type="dxa"/>
        <w:tblLayout w:type="fixed"/>
        <w:tblCellMar>
          <w:top w:w="28" w:type="dxa"/>
          <w:left w:w="28" w:type="dxa"/>
          <w:bottom w:w="28" w:type="dxa"/>
          <w:right w:w="28" w:type="dxa"/>
        </w:tblCellMar>
      </w:tblPr>
      <w:tblGrid>
        <w:gridCol w:w="1144"/>
        <w:gridCol w:w="1006"/>
        <w:gridCol w:w="1015"/>
        <w:gridCol w:w="109"/>
        <w:gridCol w:w="109"/>
        <w:gridCol w:w="109"/>
        <w:gridCol w:w="425"/>
        <w:gridCol w:w="425"/>
        <w:gridCol w:w="605"/>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Harrah’s North Kansas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Horseshoe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Laughlin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New Tunica Roadhouse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Palazzo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Philadelphia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PropCo Gulfport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PropCo TRS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3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GP 4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CAN Holdings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Riverview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Rocky Gap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Thistledown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Alexandria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Appleton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Auburn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Brentwood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Burke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Columbia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Commack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Crystal River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Elkhorn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Falls Church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Findlay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Gaithersburg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Georgetown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Jacksonville Mandarin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Jacksonville Southridge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Limerick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Manassas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Menasha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Midlothian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Milwaukee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North Brunswick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Norwalk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Pleasant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Port St. Lucie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Reading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7" w:type="dxa"/>
        <w:jc w:val="left"/>
        <w:tblInd w:w="0" w:type="dxa"/>
        <w:tblLayout w:type="fixed"/>
        <w:tblCellMar>
          <w:top w:w="28" w:type="dxa"/>
          <w:left w:w="28" w:type="dxa"/>
          <w:bottom w:w="28" w:type="dxa"/>
          <w:right w:w="28" w:type="dxa"/>
        </w:tblCellMar>
      </w:tblPr>
      <w:tblGrid>
        <w:gridCol w:w="1005"/>
        <w:gridCol w:w="883"/>
        <w:gridCol w:w="887"/>
        <w:gridCol w:w="109"/>
        <w:gridCol w:w="109"/>
        <w:gridCol w:w="109"/>
        <w:gridCol w:w="425"/>
        <w:gridCol w:w="425"/>
        <w:gridCol w:w="60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Roanoke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Rocklin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Rohnert Park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San Antonio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Sinking Spring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Spring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St Paul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Sterling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Vacaville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13th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Northridge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Bowl Wichita Northrock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Vegas 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Vegas Operating Property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Venetian Venue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Baby REIT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Baby REIT Sub I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Bowl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Agent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CR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Greenfield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JerseyCo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Jersey</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Lendco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Lendco UK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NF Lendco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Note 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VICI Properties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2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2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Revolving Lendco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UK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UK REIT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England/Wales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Waterview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101" w:type="dxa"/>
        <w:jc w:val="left"/>
        <w:tblInd w:w="0" w:type="dxa"/>
        <w:tblLayout w:type="fixed"/>
        <w:tblCellMar>
          <w:top w:w="28" w:type="dxa"/>
          <w:left w:w="28" w:type="dxa"/>
          <w:bottom w:w="28" w:type="dxa"/>
          <w:right w:w="28" w:type="dxa"/>
        </w:tblCellMar>
      </w:tblPr>
      <w:tblGrid>
        <w:gridCol w:w="657"/>
        <w:gridCol w:w="577"/>
        <w:gridCol w:w="581"/>
        <w:gridCol w:w="109"/>
        <w:gridCol w:w="109"/>
        <w:gridCol w:w="109"/>
        <w:gridCol w:w="280"/>
        <w:gridCol w:w="280"/>
        <w:gridCol w:w="39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WWW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YRL Associates,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333-286854 on Form S-3 and Registration Statement No. 333-220949 on Form S-8 of our reports dated February 25, 2026, relating to the financial statements of VICI Properties Inc. and the effectiveness of VICI Properties Inc.’s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333-286854 on Form S-3 of our reports dated February 25, 2026, relating to the financial statements of VICI Properties L.P. and the effectiveness of VICI Properties L.P.’s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89560"/>
                <wp:effectExtent l="0" t="0" r="0" b="0"/>
                <wp:wrapNone/>
                <wp:docPr id="260" name="Frame25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31.3</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89560"/>
                <wp:effectExtent l="0" t="0" r="0" b="0"/>
                <wp:wrapNone/>
                <wp:docPr id="261" name="Frame25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31.4</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89560"/>
                <wp:effectExtent l="0" t="0" r="0" b="0"/>
                <wp:wrapNone/>
                <wp:docPr id="262" name="Frame26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89560"/>
                <wp:effectExtent l="0" t="0" r="0" b="0"/>
                <wp:wrapNone/>
                <wp:docPr id="263" name="Frame26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accompanying Annual Report on Form 10-K of the Company for the year ended December 31, 2025 (the “Report”) fully complies with the requirements of Section 13(a) or Section 15(d), as applicable, of the Securities Exchange Act of 1934, as amended; and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89560"/>
                <wp:effectExtent l="0" t="0" r="0" b="0"/>
                <wp:wrapNone/>
                <wp:docPr id="264" name="Frame26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Company for the year ended December 31, 2025 (the “Report”) fully complies with the requirements of Section 13(a) or Section 15(d), as applicable, of the Securities Exchange Act of 1934, as amended;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32.3</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89560"/>
                <wp:effectExtent l="0" t="0" r="0" b="0"/>
                <wp:wrapNone/>
                <wp:docPr id="265" name="Frame26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accompanying Annual Report on Form 10-K of the Partnership for the year ended December 31, 2025 (the “Report”) fully complies with the requirements of Section 13(a) or Section 15(d), as applicable, of the Securities Exchange Act of 1934, as amended; and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Partnership.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32.4</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89560"/>
                <wp:effectExtent l="0" t="0" r="0" b="0"/>
                <wp:wrapNone/>
                <wp:docPr id="266" name="Frame2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Partnership for the year ended December 31, 2025 (the “Report”) fully complies with the requirements of Section 13(a) or Section 15(d), as applicable, of the Securities Exchange Act of 1934, as amended;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Partnership.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89560"/>
                <wp:effectExtent l="0" t="0" r="0" b="0"/>
                <wp:wrapNone/>
                <wp:docPr id="267" name="Frame2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ix?doc=/Archives/edgar/data/0001705696/000170569625000033/vici-20241231.htm" TargetMode="External"/><Relationship Id="rId5" Type="http://schemas.openxmlformats.org/officeDocument/2006/relationships/hyperlink" Target="https://www.sec.gov/Archives/edgar/data/1705696/000119312517307477/d470550dex31.htm" TargetMode="External"/><Relationship Id="rId6" Type="http://schemas.openxmlformats.org/officeDocument/2006/relationships/hyperlink" Target="https://www.sec.gov/Archives/edgar/data/1705696/000119312517307477/d470550dex31.htm" TargetMode="External"/><Relationship Id="rId7" Type="http://schemas.openxmlformats.org/officeDocument/2006/relationships/hyperlink" Target="https://www.sec.gov/Archives/edgar/data/1705696/000170569621000050/vici-articlesofamendment20.htm" TargetMode="External"/><Relationship Id="rId8" Type="http://schemas.openxmlformats.org/officeDocument/2006/relationships/hyperlink" Target="https://www.sec.gov/Archives/edgar/data/1705696/000170569621000050/vici-articlesofamendment20.htm" TargetMode="External"/><Relationship Id="rId9" Type="http://schemas.openxmlformats.org/officeDocument/2006/relationships/hyperlink" Target="https://www.sec.gov/Archives/edgar/data/0001705696/000170569621000183/vici-articlesofamendmentse.htm" TargetMode="External"/><Relationship Id="rId10" Type="http://schemas.openxmlformats.org/officeDocument/2006/relationships/hyperlink" Target="https://www.sec.gov/Archives/edgar/data/0001705696/000170569621000183/vici-articlesofamendmentse.htm" TargetMode="External"/><Relationship Id="rId11" Type="http://schemas.openxmlformats.org/officeDocument/2006/relationships/hyperlink" Target="https://www.sec.gov/Archives/edgar/data/1705696/000170569623000035/exhibit34-viciarbylawsdece.htm" TargetMode="External"/><Relationship Id="rId12" Type="http://schemas.openxmlformats.org/officeDocument/2006/relationships/hyperlink" Target="https://www.sec.gov/Archives/edgar/data/1705696/000170569623000035/exhibit34-viciarbylawsdece.htm" TargetMode="External"/><Relationship Id="rId13" Type="http://schemas.openxmlformats.org/officeDocument/2006/relationships/hyperlink" Target="https://www.sec.gov/Archives/edgar/data/1705696/000170569619000172/vici-20192026noteofferingx.htm" TargetMode="External"/><Relationship Id="rId14" Type="http://schemas.openxmlformats.org/officeDocument/2006/relationships/hyperlink" Target="https://www.sec.gov/Archives/edgar/data/1705696/000170569619000172/vici-20192026noteofferingx.htm" TargetMode="External"/><Relationship Id="rId15" Type="http://schemas.openxmlformats.org/officeDocument/2006/relationships/hyperlink" Target="https://www.sec.gov/Archives/edgar/data/1705696/000170569624000033/exhibit42viciexchangeoffer.htm" TargetMode="External"/><Relationship Id="rId16" Type="http://schemas.openxmlformats.org/officeDocument/2006/relationships/hyperlink" Target="https://www.sec.gov/Archives/edgar/data/1705696/000170569624000033/exhibit42viciexchangeoffer.htm" TargetMode="External"/><Relationship Id="rId17" Type="http://schemas.openxmlformats.org/officeDocument/2006/relationships/hyperlink" Target="https://www.sec.gov/Archives/edgar/data/1705696/000170569619000172/vici-20192029noteofferingx.htm" TargetMode="External"/><Relationship Id="rId18" Type="http://schemas.openxmlformats.org/officeDocument/2006/relationships/hyperlink" Target="https://www.sec.gov/Archives/edgar/data/1705696/000170569619000172/vici-20192029noteofferingx.htm" TargetMode="External"/><Relationship Id="rId19" Type="http://schemas.openxmlformats.org/officeDocument/2006/relationships/hyperlink" Target="https://www.sec.gov/Archives/edgar/data/1705696/000170569624000033/exhibit44viciexchangeoffer.htm" TargetMode="External"/><Relationship Id="rId20" Type="http://schemas.openxmlformats.org/officeDocument/2006/relationships/hyperlink" Target="https://www.sec.gov/Archives/edgar/data/1705696/000170569624000033/exhibit44viciexchangeoffer.htm" TargetMode="External"/><Relationship Id="rId21" Type="http://schemas.openxmlformats.org/officeDocument/2006/relationships/hyperlink" Target="https://www.sec.gov/Archives/edgar/data/1705696/000170569620000023/notesoffering-2027inde.htm" TargetMode="External"/><Relationship Id="rId22" Type="http://schemas.openxmlformats.org/officeDocument/2006/relationships/hyperlink" Target="https://www.sec.gov/Archives/edgar/data/1705696/000170569620000023/notesoffering-2027inde.htm" TargetMode="External"/><Relationship Id="rId23" Type="http://schemas.openxmlformats.org/officeDocument/2006/relationships/hyperlink" Target="https://www.sec.gov/Archives/edgar/data/1705696/000170569624000033/exhibit48viciexchangeoffer.htm" TargetMode="External"/><Relationship Id="rId24" Type="http://schemas.openxmlformats.org/officeDocument/2006/relationships/hyperlink" Target="https://www.sec.gov/Archives/edgar/data/1705696/000170569624000033/exhibit48viciexchangeoffer.htm" TargetMode="External"/><Relationship Id="rId25" Type="http://schemas.openxmlformats.org/officeDocument/2006/relationships/hyperlink" Target="https://www.sec.gov/Archives/edgar/data/1705696/000170569620000023/notesoffering-2030inde.htm" TargetMode="External"/><Relationship Id="rId26" Type="http://schemas.openxmlformats.org/officeDocument/2006/relationships/hyperlink" Target="https://www.sec.gov/Archives/edgar/data/1705696/000170569620000023/notesoffering-2030inde.htm" TargetMode="External"/><Relationship Id="rId27" Type="http://schemas.openxmlformats.org/officeDocument/2006/relationships/hyperlink" Target="https://www.sec.gov/Archives/edgar/data/1705696/000170569624000033/exhibit410viciexchangeoffe.htm" TargetMode="External"/><Relationship Id="rId28" Type="http://schemas.openxmlformats.org/officeDocument/2006/relationships/hyperlink" Target="https://www.sec.gov/Archives/edgar/data/1705696/000170569624000033/exhibit410viciexchangeoffe.htm" TargetMode="External"/><Relationship Id="rId29" Type="http://schemas.openxmlformats.org/officeDocument/2006/relationships/hyperlink" Target="https://www.sec.gov/Archives/edgar/data/1705696/000119312522134159/d291163dex41.htm" TargetMode="External"/><Relationship Id="rId30" Type="http://schemas.openxmlformats.org/officeDocument/2006/relationships/hyperlink" Target="https://www.sec.gov/Archives/edgar/data/1705696/000119312522134159/d291163dex41.htm" TargetMode="External"/><Relationship Id="rId31" Type="http://schemas.openxmlformats.org/officeDocument/2006/relationships/hyperlink" Target="https://www.sec.gov/Archives/edgar/data/1705696/000119312522134159/d291163dex42.htm" TargetMode="External"/><Relationship Id="rId32" Type="http://schemas.openxmlformats.org/officeDocument/2006/relationships/hyperlink" Target="https://www.sec.gov/Archives/edgar/data/1705696/000119312522134159/d291163dex42.htm" TargetMode="External"/><Relationship Id="rId33" Type="http://schemas.openxmlformats.org/officeDocument/2006/relationships/hyperlink" Target="https://www.sec.gov/Archives/edgar/data/1705696/000110465924035576/tm249036d1_ex4-2.htm" TargetMode="External"/><Relationship Id="rId34" Type="http://schemas.openxmlformats.org/officeDocument/2006/relationships/hyperlink" Target="https://www.sec.gov/Archives/edgar/data/1705696/000110465924035576/tm249036d1_ex4-2.htm" TargetMode="External"/><Relationship Id="rId35" Type="http://schemas.openxmlformats.org/officeDocument/2006/relationships/hyperlink" Target="https://www.sec.gov/Archives/edgar/data/1705696/000110465924130170/tm2431539d1_ex4-2.htm" TargetMode="External"/><Relationship Id="rId36" Type="http://schemas.openxmlformats.org/officeDocument/2006/relationships/hyperlink" Target="https://www.sec.gov/Archives/edgar/data/1705696/000110465924130170/tm2431539d1_ex4-2.htm" TargetMode="External"/><Relationship Id="rId37" Type="http://schemas.openxmlformats.org/officeDocument/2006/relationships/hyperlink" Target="https://www.sec.gov/Archives/edgar/data/1705696/000110465925032640/tm2511522d1_ex4-2.htm" TargetMode="External"/><Relationship Id="rId38" Type="http://schemas.openxmlformats.org/officeDocument/2006/relationships/hyperlink" Target="https://www.sec.gov/Archives/edgar/data/1705696/000110465925032640/tm2511522d1_ex4-2.htm" TargetMode="External"/><Relationship Id="rId39" Type="http://schemas.openxmlformats.org/officeDocument/2006/relationships/hyperlink" Target="https://www.sec.gov/Archives/edgar/data/1705696/000119312522134159/d291163dex42.htm" TargetMode="External"/><Relationship Id="rId40" Type="http://schemas.openxmlformats.org/officeDocument/2006/relationships/hyperlink" Target="https://www.sec.gov/Archives/edgar/data/1705696/000119312522134159/d291163dex42.htm" TargetMode="External"/><Relationship Id="rId41" Type="http://schemas.openxmlformats.org/officeDocument/2006/relationships/hyperlink" Target="https://www.sec.gov/Archives/edgar/data/1705696/000119312522134159/d291163dex42.htm" TargetMode="External"/><Relationship Id="rId42" Type="http://schemas.openxmlformats.org/officeDocument/2006/relationships/hyperlink" Target="https://www.sec.gov/Archives/edgar/data/1705696/000119312522134159/d291163dex42.htm" TargetMode="External"/><Relationship Id="rId43" Type="http://schemas.openxmlformats.org/officeDocument/2006/relationships/hyperlink" Target="https://www.sec.gov/Archives/edgar/data/1705696/000119312522134159/d291163dex42.htm" TargetMode="External"/><Relationship Id="rId44" Type="http://schemas.openxmlformats.org/officeDocument/2006/relationships/hyperlink" Target="https://www.sec.gov/Archives/edgar/data/1705696/000119312522134159/d291163dex42.htm" TargetMode="External"/><Relationship Id="rId45" Type="http://schemas.openxmlformats.org/officeDocument/2006/relationships/hyperlink" Target="https://www.sec.gov/Archives/edgar/data/1705696/000119312522134159/d291163dex42.htm" TargetMode="External"/><Relationship Id="rId46" Type="http://schemas.openxmlformats.org/officeDocument/2006/relationships/hyperlink" Target="https://www.sec.gov/Archives/edgar/data/1705696/000119312522134159/d291163dex42.htm" TargetMode="External"/><Relationship Id="rId47" Type="http://schemas.openxmlformats.org/officeDocument/2006/relationships/hyperlink" Target="https://www.sec.gov/Archives/edgar/data/1705696/000119312522134159/d291163dex42.htm" TargetMode="External"/><Relationship Id="rId48" Type="http://schemas.openxmlformats.org/officeDocument/2006/relationships/hyperlink" Target="https://www.sec.gov/Archives/edgar/data/1705696/000119312522134159/d291163dex42.htm" TargetMode="External"/><Relationship Id="rId49" Type="http://schemas.openxmlformats.org/officeDocument/2006/relationships/hyperlink" Target="https://www.sec.gov/Archives/edgar/data/1705696/000119312522134159/d291163dex42.htm" TargetMode="External"/><Relationship Id="rId50" Type="http://schemas.openxmlformats.org/officeDocument/2006/relationships/hyperlink" Target="https://www.sec.gov/Archives/edgar/data/1705696/000119312522134159/d291163dex42.htm" TargetMode="External"/><Relationship Id="rId51" Type="http://schemas.openxmlformats.org/officeDocument/2006/relationships/hyperlink" Target="https://www.sec.gov/Archives/edgar/data/1705696/000119312522134159/d291163dex42.htm" TargetMode="External"/><Relationship Id="rId52" Type="http://schemas.openxmlformats.org/officeDocument/2006/relationships/hyperlink" Target="https://www.sec.gov/Archives/edgar/data/1705696/000119312522134159/d291163dex42.htm" TargetMode="External"/><Relationship Id="rId53" Type="http://schemas.openxmlformats.org/officeDocument/2006/relationships/hyperlink" Target="https://www.sec.gov/Archives/edgar/data/1705696/000119312522134159/d291163dex42.htm" TargetMode="External"/><Relationship Id="rId54" Type="http://schemas.openxmlformats.org/officeDocument/2006/relationships/hyperlink" Target="https://www.sec.gov/Archives/edgar/data/1705696/000110465924035576/tm249036d1_ex4-2.htm" TargetMode="External"/><Relationship Id="rId55" Type="http://schemas.openxmlformats.org/officeDocument/2006/relationships/hyperlink" Target="https://www.sec.gov/Archives/edgar/data/1705696/000110465924035576/tm249036d1_ex4-2.htm" TargetMode="External"/><Relationship Id="rId56" Type="http://schemas.openxmlformats.org/officeDocument/2006/relationships/hyperlink" Target="https://www.sec.gov/Archives/edgar/data/1705696/000110465924035576/tm249036d1_ex4-2.htm" TargetMode="External"/><Relationship Id="rId57" Type="http://schemas.openxmlformats.org/officeDocument/2006/relationships/hyperlink" Target="https://www.sec.gov/Archives/edgar/data/1705696/000110465924035576/tm249036d1_ex4-2.htm" TargetMode="External"/><Relationship Id="rId58" Type="http://schemas.openxmlformats.org/officeDocument/2006/relationships/hyperlink" Target="https://www.sec.gov/Archives/edgar/data/1705696/000110465924035576/tm249036d1_ex4-2.htm" TargetMode="External"/><Relationship Id="rId59" Type="http://schemas.openxmlformats.org/officeDocument/2006/relationships/hyperlink" Target="https://www.sec.gov/Archives/edgar/data/1705696/000110465924035576/tm249036d1_ex4-2.htm" TargetMode="External"/><Relationship Id="rId60" Type="http://schemas.openxmlformats.org/officeDocument/2006/relationships/hyperlink" Target="https://www.sec.gov/Archives/edgar/data/1705696/000110465924130170/tm2431539d1_ex4-2.htm" TargetMode="External"/><Relationship Id="rId61" Type="http://schemas.openxmlformats.org/officeDocument/2006/relationships/hyperlink" Target="https://www.sec.gov/Archives/edgar/data/1705696/000110465924130170/tm2431539d1_ex4-2.htm" TargetMode="External"/><Relationship Id="rId62" Type="http://schemas.openxmlformats.org/officeDocument/2006/relationships/hyperlink" Target="https://www.sec.gov/Archives/edgar/data/1705696/000110465924130170/tm2431539d1_ex4-2.htm" TargetMode="External"/><Relationship Id="rId63" Type="http://schemas.openxmlformats.org/officeDocument/2006/relationships/hyperlink" Target="https://www.sec.gov/Archives/edgar/data/1705696/000110465925032640/tm2511522d1_ex4-2.htm" TargetMode="External"/><Relationship Id="rId64" Type="http://schemas.openxmlformats.org/officeDocument/2006/relationships/hyperlink" Target="https://www.sec.gov/Archives/edgar/data/1705696/000110465925032640/tm2511522d1_ex4-2.htm" TargetMode="External"/><Relationship Id="rId65" Type="http://schemas.openxmlformats.org/officeDocument/2006/relationships/hyperlink" Target="https://www.sec.gov/Archives/edgar/data/1705696/000110465925032640/tm2511522d1_ex4-2.htm" TargetMode="External"/><Relationship Id="rId66" Type="http://schemas.openxmlformats.org/officeDocument/2006/relationships/hyperlink" Target="https://www.sec.gov/Archives/edgar/data/1705696/000110465925032640/tm2511522d1_ex4-2.htm" TargetMode="External"/><Relationship Id="rId67" Type="http://schemas.openxmlformats.org/officeDocument/2006/relationships/hyperlink" Target="https://www.sec.gov/Archives/edgar/data/1705696/000119312522134159/d291163dex410.htm" TargetMode="External"/><Relationship Id="rId68" Type="http://schemas.openxmlformats.org/officeDocument/2006/relationships/hyperlink" Target="https://www.sec.gov/Archives/edgar/data/1705696/000119312522134159/d291163dex410.htm" TargetMode="External"/><Relationship Id="rId69" Type="http://schemas.openxmlformats.org/officeDocument/2006/relationships/hyperlink" Target="https://www.sec.gov/Archives/edgar/data/1705696/000119312522134159/d291163dex410.htm" TargetMode="External"/><Relationship Id="rId70" Type="http://schemas.openxmlformats.org/officeDocument/2006/relationships/hyperlink" Target="https://www.sec.gov/Archives/edgar/data/1705696/000119312522134159/d291163dex410.htm" TargetMode="External"/><Relationship Id="rId71" Type="http://schemas.openxmlformats.org/officeDocument/2006/relationships/hyperlink" Target="https://www.sec.gov/Archives/edgar/data/1705696/000119312522134159/d291163dex411.htm" TargetMode="External"/><Relationship Id="rId72" Type="http://schemas.openxmlformats.org/officeDocument/2006/relationships/hyperlink" Target="https://www.sec.gov/Archives/edgar/data/1705696/000119312522134159/d291163dex411.htm" TargetMode="External"/><Relationship Id="rId73" Type="http://schemas.openxmlformats.org/officeDocument/2006/relationships/hyperlink" Target="https://www.sec.gov/Archives/edgar/data/1705696/000119312522134159/d291163dex411.htm" TargetMode="External"/><Relationship Id="rId74" Type="http://schemas.openxmlformats.org/officeDocument/2006/relationships/hyperlink" Target="https://www.sec.gov/Archives/edgar/data/1705696/000119312522134159/d291163dex411.htm" TargetMode="External"/><Relationship Id="rId75" Type="http://schemas.openxmlformats.org/officeDocument/2006/relationships/hyperlink" Target="https://www.sec.gov/Archives/edgar/data/1705696/000119312522134159/d291163dex412.htm" TargetMode="External"/><Relationship Id="rId76" Type="http://schemas.openxmlformats.org/officeDocument/2006/relationships/hyperlink" Target="https://www.sec.gov/Archives/edgar/data/1705696/000119312522134159/d291163dex412.htm" TargetMode="External"/><Relationship Id="rId77" Type="http://schemas.openxmlformats.org/officeDocument/2006/relationships/hyperlink" Target="https://www.sec.gov/Archives/edgar/data/1705696/000119312522134159/d291163dex412.htm" TargetMode="External"/><Relationship Id="rId78" Type="http://schemas.openxmlformats.org/officeDocument/2006/relationships/hyperlink" Target="https://www.sec.gov/Archives/edgar/data/1705696/000119312522134159/d291163dex413.htm" TargetMode="External"/><Relationship Id="rId79" Type="http://schemas.openxmlformats.org/officeDocument/2006/relationships/hyperlink" Target="https://www.sec.gov/Archives/edgar/data/1705696/000119312522134159/d291163dex413.htm" TargetMode="External"/><Relationship Id="rId80" Type="http://schemas.openxmlformats.org/officeDocument/2006/relationships/hyperlink" Target="https://www.sec.gov/Archives/edgar/data/1705696/000119312522134159/d291163dex413.htm" TargetMode="External"/><Relationship Id="rId81" Type="http://schemas.openxmlformats.org/officeDocument/2006/relationships/hyperlink" Target="https://www.sec.gov/Archives/edgar/data/1705696/000119312522134159/d291163dex410.htm" TargetMode="External"/><Relationship Id="rId82" Type="http://schemas.openxmlformats.org/officeDocument/2006/relationships/hyperlink" Target="https://www.sec.gov/Archives/edgar/data/1705696/000119312522134159/d291163dex410.htm" TargetMode="External"/><Relationship Id="rId83" Type="http://schemas.openxmlformats.org/officeDocument/2006/relationships/hyperlink" Target="https://www.sec.gov/Archives/edgar/data/1705696/000119312522134159/d291163dex410.htm" TargetMode="External"/><Relationship Id="rId84" Type="http://schemas.openxmlformats.org/officeDocument/2006/relationships/hyperlink" Target="https://www.sec.gov/Archives/edgar/data/1705696/000119312522134159/d291163dex410.htm" TargetMode="External"/><Relationship Id="rId85" Type="http://schemas.openxmlformats.org/officeDocument/2006/relationships/hyperlink" Target="https://www.sec.gov/Archives/edgar/data/1705696/000119312522134159/d291163dex410.htm" TargetMode="External"/><Relationship Id="rId86" Type="http://schemas.openxmlformats.org/officeDocument/2006/relationships/hyperlink" Target="https://www.sec.gov/Archives/edgar/data/1705696/000119312522134159/d291163dex411.htm" TargetMode="External"/><Relationship Id="rId87" Type="http://schemas.openxmlformats.org/officeDocument/2006/relationships/hyperlink" Target="https://www.sec.gov/Archives/edgar/data/1705696/000119312522134159/d291163dex411.htm" TargetMode="External"/><Relationship Id="rId88" Type="http://schemas.openxmlformats.org/officeDocument/2006/relationships/hyperlink" Target="https://www.sec.gov/Archives/edgar/data/1705696/000119312522134159/d291163dex411.htm" TargetMode="External"/><Relationship Id="rId89" Type="http://schemas.openxmlformats.org/officeDocument/2006/relationships/hyperlink" Target="https://www.sec.gov/Archives/edgar/data/1705696/000119312522134159/d291163dex411.htm" TargetMode="External"/><Relationship Id="rId90" Type="http://schemas.openxmlformats.org/officeDocument/2006/relationships/hyperlink" Target="https://www.sec.gov/Archives/edgar/data/1705696/000119312522134159/d291163dex411.htm" TargetMode="External"/><Relationship Id="rId91" Type="http://schemas.openxmlformats.org/officeDocument/2006/relationships/hyperlink" Target="https://www.sec.gov/Archives/edgar/data/1705696/000119312522134159/d291163dex412.htm" TargetMode="External"/><Relationship Id="rId92" Type="http://schemas.openxmlformats.org/officeDocument/2006/relationships/hyperlink" Target="https://www.sec.gov/Archives/edgar/data/1705696/000119312522134159/d291163dex412.htm" TargetMode="External"/><Relationship Id="rId93" Type="http://schemas.openxmlformats.org/officeDocument/2006/relationships/hyperlink" Target="https://www.sec.gov/Archives/edgar/data/1705696/000119312522134159/d291163dex412.htm" TargetMode="External"/><Relationship Id="rId94" Type="http://schemas.openxmlformats.org/officeDocument/2006/relationships/hyperlink" Target="https://www.sec.gov/Archives/edgar/data/1705696/000119312522134159/d291163dex412.htm" TargetMode="External"/><Relationship Id="rId95" Type="http://schemas.openxmlformats.org/officeDocument/2006/relationships/hyperlink" Target="https://www.sec.gov/Archives/edgar/data/1705696/000119312522134159/d291163dex412.htm" TargetMode="External"/><Relationship Id="rId96" Type="http://schemas.openxmlformats.org/officeDocument/2006/relationships/hyperlink" Target="https://www.sec.gov/Archives/edgar/data/1705696/000119312522134159/d291163dex413.htm" TargetMode="External"/><Relationship Id="rId97" Type="http://schemas.openxmlformats.org/officeDocument/2006/relationships/hyperlink" Target="https://www.sec.gov/Archives/edgar/data/1705696/000119312522134159/d291163dex413.htm" TargetMode="External"/><Relationship Id="rId98" Type="http://schemas.openxmlformats.org/officeDocument/2006/relationships/hyperlink" Target="https://www.sec.gov/Archives/edgar/data/1705696/000119312522134159/d291163dex413.htm" TargetMode="External"/><Relationship Id="rId99" Type="http://schemas.openxmlformats.org/officeDocument/2006/relationships/hyperlink" Target="https://www.sec.gov/Archives/edgar/data/1705696/000119312522134159/d291163dex413.htm" TargetMode="External"/><Relationship Id="rId100" Type="http://schemas.openxmlformats.org/officeDocument/2006/relationships/hyperlink" Target="https://www.sec.gov/Archives/edgar/data/1705696/000119312522134159/d291163dex413.htm" TargetMode="External"/><Relationship Id="rId101" Type="http://schemas.openxmlformats.org/officeDocument/2006/relationships/hyperlink" Target="https://www.sec.gov/Archives/edgar/data/1656936/000119312516680168/d51988dex41.htm" TargetMode="External"/><Relationship Id="rId102" Type="http://schemas.openxmlformats.org/officeDocument/2006/relationships/hyperlink" Target="https://www.sec.gov/Archives/edgar/data/1656936/000119312516680168/d51988dex41.htm" TargetMode="External"/><Relationship Id="rId103" Type="http://schemas.openxmlformats.org/officeDocument/2006/relationships/hyperlink" Target="https://www.sec.gov/Archives/edgar/data/1656936/000119312516680168/d51988dex41.htm" TargetMode="External"/><Relationship Id="rId104" Type="http://schemas.openxmlformats.org/officeDocument/2006/relationships/hyperlink" Target="https://www.sec.gov/Archives/edgar/data/1656936/000119312521284267/d228774dex42.htm" TargetMode="External"/><Relationship Id="rId105" Type="http://schemas.openxmlformats.org/officeDocument/2006/relationships/hyperlink" Target="https://www.sec.gov/Archives/edgar/data/1656936/000119312521284267/d228774dex42.htm" TargetMode="External"/><Relationship Id="rId106" Type="http://schemas.openxmlformats.org/officeDocument/2006/relationships/hyperlink" Target="https://www.sec.gov/Archives/edgar/data/1656936/000119312521284267/d228774dex42.htm" TargetMode="External"/><Relationship Id="rId107" Type="http://schemas.openxmlformats.org/officeDocument/2006/relationships/hyperlink" Target="https://www.sec.gov/Archives/edgar/data/1656936/000119312519017149/d697852dex41.htm" TargetMode="External"/><Relationship Id="rId108" Type="http://schemas.openxmlformats.org/officeDocument/2006/relationships/hyperlink" Target="https://www.sec.gov/Archives/edgar/data/1656936/000119312519017149/d697852dex41.htm" TargetMode="External"/><Relationship Id="rId109" Type="http://schemas.openxmlformats.org/officeDocument/2006/relationships/hyperlink" Target="https://www.sec.gov/Archives/edgar/data/1656936/000119312519017149/d697852dex41.htm" TargetMode="External"/><Relationship Id="rId110" Type="http://schemas.openxmlformats.org/officeDocument/2006/relationships/hyperlink" Target="https://www.sec.gov/Archives/edgar/data/1656936/000119312519017149/d697852dex41.htm" TargetMode="External"/><Relationship Id="rId111" Type="http://schemas.openxmlformats.org/officeDocument/2006/relationships/hyperlink" Target="https://www.sec.gov/Archives/edgar/data/1656936/000119312519017149/d697852dex41.htm" TargetMode="External"/><Relationship Id="rId112" Type="http://schemas.openxmlformats.org/officeDocument/2006/relationships/hyperlink" Target="https://www.sec.gov/Archives/edgar/data/1656936/000119312519017149/d697852dex41.htm" TargetMode="External"/><Relationship Id="rId113" Type="http://schemas.openxmlformats.org/officeDocument/2006/relationships/hyperlink" Target="https://www.sec.gov/Archives/edgar/data/1656936/000119312519017149/d697852dex41.htm" TargetMode="External"/><Relationship Id="rId114" Type="http://schemas.openxmlformats.org/officeDocument/2006/relationships/hyperlink" Target="https://www.sec.gov/Archives/edgar/data/1656936/000119312521284267/d228774dex44.htm" TargetMode="External"/><Relationship Id="rId115" Type="http://schemas.openxmlformats.org/officeDocument/2006/relationships/hyperlink" Target="https://www.sec.gov/Archives/edgar/data/1656936/000119312521284267/d228774dex44.htm" TargetMode="External"/><Relationship Id="rId116" Type="http://schemas.openxmlformats.org/officeDocument/2006/relationships/hyperlink" Target="https://www.sec.gov/Archives/edgar/data/1656936/000119312521284267/d228774dex44.htm" TargetMode="External"/><Relationship Id="rId117" Type="http://schemas.openxmlformats.org/officeDocument/2006/relationships/hyperlink" Target="https://www.sec.gov/Archives/edgar/data/1656936/000119312517290490/d450326dex41.htm" TargetMode="External"/><Relationship Id="rId118" Type="http://schemas.openxmlformats.org/officeDocument/2006/relationships/hyperlink" Target="https://www.sec.gov/Archives/edgar/data/1656936/000119312517290490/d450326dex41.htm" TargetMode="External"/><Relationship Id="rId119" Type="http://schemas.openxmlformats.org/officeDocument/2006/relationships/hyperlink" Target="https://www.sec.gov/Archives/edgar/data/1656936/000119312517290490/d450326dex41.htm" TargetMode="External"/><Relationship Id="rId120" Type="http://schemas.openxmlformats.org/officeDocument/2006/relationships/hyperlink" Target="https://www.sec.gov/Archives/edgar/data/1656936/000119312517290490/d450326dex41.htm" TargetMode="External"/><Relationship Id="rId121" Type="http://schemas.openxmlformats.org/officeDocument/2006/relationships/hyperlink" Target="https://www.sec.gov/Archives/edgar/data/1656936/000119312521284267/d228774dex43.htm" TargetMode="External"/><Relationship Id="rId122" Type="http://schemas.openxmlformats.org/officeDocument/2006/relationships/hyperlink" Target="https://www.sec.gov/Archives/edgar/data/1656936/000119312521284267/d228774dex43.htm" TargetMode="External"/><Relationship Id="rId123" Type="http://schemas.openxmlformats.org/officeDocument/2006/relationships/hyperlink" Target="https://www.sec.gov/Archives/edgar/data/1656936/000119312521284267/d228774dex43.htm" TargetMode="External"/><Relationship Id="rId124" Type="http://schemas.openxmlformats.org/officeDocument/2006/relationships/hyperlink" Target="https://www.sec.gov/Archives/edgar/data/1656936/000119312520299440/d95985dex41.htm" TargetMode="External"/><Relationship Id="rId125" Type="http://schemas.openxmlformats.org/officeDocument/2006/relationships/hyperlink" Target="https://www.sec.gov/Archives/edgar/data/1656936/000119312520299440/d95985dex41.htm" TargetMode="External"/><Relationship Id="rId126" Type="http://schemas.openxmlformats.org/officeDocument/2006/relationships/hyperlink" Target="https://www.sec.gov/Archives/edgar/data/1656936/000119312520299440/d95985dex41.htm" TargetMode="External"/><Relationship Id="rId127" Type="http://schemas.openxmlformats.org/officeDocument/2006/relationships/hyperlink" Target="https://www.sec.gov/Archives/edgar/data/1656936/000119312521284267/d228774dex46.htm" TargetMode="External"/><Relationship Id="rId128" Type="http://schemas.openxmlformats.org/officeDocument/2006/relationships/hyperlink" Target="https://www.sec.gov/Archives/edgar/data/1656936/000119312521284267/d228774dex46.htm" TargetMode="External"/><Relationship Id="rId129" Type="http://schemas.openxmlformats.org/officeDocument/2006/relationships/hyperlink" Target="https://www.sec.gov/Archives/edgar/data/1656936/000119312521284267/d228774dex46.htm" TargetMode="External"/><Relationship Id="rId130" Type="http://schemas.openxmlformats.org/officeDocument/2006/relationships/hyperlink" Target="https://www.sec.gov/Archives/edgar/data/1705696/000170569620000143/exhibit101vegaslease-2.htm" TargetMode="External"/><Relationship Id="rId131" Type="http://schemas.openxmlformats.org/officeDocument/2006/relationships/hyperlink" Target="https://www.sec.gov/Archives/edgar/data/1705696/000170569620000143/exhibit101vegaslease-2.htm" TargetMode="External"/><Relationship Id="rId132" Type="http://schemas.openxmlformats.org/officeDocument/2006/relationships/hyperlink" Target="https://www.sec.gov/Archives/edgar/data/1705696/000170569620000181/exhibit1015-lasvegasle.htm" TargetMode="External"/><Relationship Id="rId133" Type="http://schemas.openxmlformats.org/officeDocument/2006/relationships/hyperlink" Target="https://www.sec.gov/Archives/edgar/data/1705696/000170569620000181/exhibit1015-lasvegasle.htm" TargetMode="External"/><Relationship Id="rId134" Type="http://schemas.openxmlformats.org/officeDocument/2006/relationships/hyperlink" Target="https://www.sec.gov/Archives/edgar/data/1705696/000170569621000030/lasvegaslease-fourthamendm.htm" TargetMode="External"/><Relationship Id="rId135" Type="http://schemas.openxmlformats.org/officeDocument/2006/relationships/hyperlink" Target="https://www.sec.gov/Archives/edgar/data/1705696/000170569621000030/lasvegaslease-fourthamendm.htm" TargetMode="External"/><Relationship Id="rId136" Type="http://schemas.openxmlformats.org/officeDocument/2006/relationships/hyperlink" Target="https://www.sec.gov/Archives/edgar/data/1705696/000170569621000224/exhibit104lasvegaslease-fi.htm" TargetMode="External"/><Relationship Id="rId137" Type="http://schemas.openxmlformats.org/officeDocument/2006/relationships/hyperlink" Target="https://www.sec.gov/Archives/edgar/data/1705696/000170569621000224/exhibit104lasvegaslease-fi.htm" TargetMode="External"/><Relationship Id="rId138" Type="http://schemas.openxmlformats.org/officeDocument/2006/relationships/hyperlink" Target="https://www.sec.gov/Archives/edgar/data/1705696/000170569622000046/exhibit105-amendmenttolasv.htm" TargetMode="External"/><Relationship Id="rId139" Type="http://schemas.openxmlformats.org/officeDocument/2006/relationships/hyperlink" Target="https://www.sec.gov/Archives/edgar/data/1705696/000170569622000046/exhibit105-amendmenttolasv.htm" TargetMode="External"/><Relationship Id="rId140" Type="http://schemas.openxmlformats.org/officeDocument/2006/relationships/hyperlink" Target="https://www.sec.gov/Archives/edgar/data/1705696/000170569620000143/exhibit102regionalleas.htm" TargetMode="External"/><Relationship Id="rId141" Type="http://schemas.openxmlformats.org/officeDocument/2006/relationships/hyperlink" Target="https://www.sec.gov/Archives/edgar/data/1705696/000170569620000143/exhibit102regionalleas.htm" TargetMode="External"/><Relationship Id="rId142" Type="http://schemas.openxmlformats.org/officeDocument/2006/relationships/hyperlink" Target="https://www.sec.gov/Archives/edgar/data/1705696/000170569620000181/exhibit1013-regionalle.htm" TargetMode="External"/><Relationship Id="rId143" Type="http://schemas.openxmlformats.org/officeDocument/2006/relationships/hyperlink" Target="https://www.sec.gov/Archives/edgar/data/1705696/000170569620000181/exhibit1013-regionalle.htm" TargetMode="External"/><Relationship Id="rId144" Type="http://schemas.openxmlformats.org/officeDocument/2006/relationships/hyperlink" Target="https://www.sec.gov/Archives/edgar/data/1705696/000170569621000030/regionallease-seventhamend.htm" TargetMode="External"/><Relationship Id="rId145" Type="http://schemas.openxmlformats.org/officeDocument/2006/relationships/hyperlink" Target="https://www.sec.gov/Archives/edgar/data/1705696/000170569621000030/regionallease-seventhamend.htm" TargetMode="External"/><Relationship Id="rId146" Type="http://schemas.openxmlformats.org/officeDocument/2006/relationships/hyperlink" Target="https://www.sec.gov/Archives/edgar/data/1705696/000170569621000224/exhibit105regionallease-ei.htm" TargetMode="External"/><Relationship Id="rId147" Type="http://schemas.openxmlformats.org/officeDocument/2006/relationships/hyperlink" Target="https://www.sec.gov/Archives/edgar/data/1705696/000170569621000224/exhibit105regionallease-ei.htm" TargetMode="External"/><Relationship Id="rId148" Type="http://schemas.openxmlformats.org/officeDocument/2006/relationships/hyperlink" Target="https://www.sec.gov/Archives/edgar/data/1705696/000170569622000046/exhibit1010regionallease-n.htm" TargetMode="External"/><Relationship Id="rId149" Type="http://schemas.openxmlformats.org/officeDocument/2006/relationships/hyperlink" Target="https://www.sec.gov/Archives/edgar/data/1705696/000170569622000046/exhibit1010regionallease-n.htm" TargetMode="External"/><Relationship Id="rId150" Type="http://schemas.openxmlformats.org/officeDocument/2006/relationships/hyperlink" Target="https://www.sec.gov/Archives/edgar/data/1705696/000170569622000046/exhibit1011regionallease-t.htm" TargetMode="External"/><Relationship Id="rId151" Type="http://schemas.openxmlformats.org/officeDocument/2006/relationships/hyperlink" Target="https://www.sec.gov/Archives/edgar/data/1705696/000170569622000046/exhibit1011regionallease-t.htm" TargetMode="External"/><Relationship Id="rId152" Type="http://schemas.openxmlformats.org/officeDocument/2006/relationships/hyperlink" Target="https://www.sec.gov/Archives/edgar/data/1705696/000170569622000130/caesarsregionalmasterleaseb.htm" TargetMode="External"/><Relationship Id="rId153" Type="http://schemas.openxmlformats.org/officeDocument/2006/relationships/hyperlink" Target="https://www.sec.gov/Archives/edgar/data/1705696/000170569622000130/caesarsregionalmasterleaseb.htm" TargetMode="External"/><Relationship Id="rId154" Type="http://schemas.openxmlformats.org/officeDocument/2006/relationships/hyperlink" Target="https://www.sec.gov/Archives/edgar/data/1705696/000170569623000072/caesarsregionalmasterlease.htm" TargetMode="External"/><Relationship Id="rId155" Type="http://schemas.openxmlformats.org/officeDocument/2006/relationships/hyperlink" Target="https://www.sec.gov/Archives/edgar/data/1705696/000170569623000072/caesarsregionalmasterlease.htm" TargetMode="External"/><Relationship Id="rId156" Type="http://schemas.openxmlformats.org/officeDocument/2006/relationships/hyperlink" Target="https://www.sec.gov/Archives/edgar/data/1705696/000170569625000107/regionallease-thirteentham.htm" TargetMode="External"/><Relationship Id="rId157" Type="http://schemas.openxmlformats.org/officeDocument/2006/relationships/hyperlink" Target="https://www.sec.gov/Archives/edgar/data/1705696/000170569625000107/regionallease-thirteentham.htm" TargetMode="External"/><Relationship Id="rId158" Type="http://schemas.openxmlformats.org/officeDocument/2006/relationships/hyperlink" Target="https://www.sec.gov/Archives/edgar/data/1705696/000170569620000143/exhibit103jolietlease-.htm" TargetMode="External"/><Relationship Id="rId159" Type="http://schemas.openxmlformats.org/officeDocument/2006/relationships/hyperlink" Target="https://www.sec.gov/Archives/edgar/data/1705696/000170569620000143/exhibit103jolietlease-.htm" TargetMode="External"/><Relationship Id="rId160" Type="http://schemas.openxmlformats.org/officeDocument/2006/relationships/hyperlink" Target="https://www.sec.gov/Archives/edgar/data/1705696/000170569620000143/exhibit103jolietlease-.htm" TargetMode="External"/><Relationship Id="rId161" Type="http://schemas.openxmlformats.org/officeDocument/2006/relationships/hyperlink" Target="https://www.sec.gov/Archives/edgar/data/1705696/000170569620000143/exhibit103jolietlease-.htm" TargetMode="External"/><Relationship Id="rId162" Type="http://schemas.openxmlformats.org/officeDocument/2006/relationships/hyperlink" Target="https://www.sec.gov/Archives/edgar/data/1705696/000170569620000181/exhibit1014-jolietleas.htm" TargetMode="External"/><Relationship Id="rId163" Type="http://schemas.openxmlformats.org/officeDocument/2006/relationships/hyperlink" Target="https://www.sec.gov/Archives/edgar/data/1705696/000170569620000181/exhibit1014-jolietleas.htm" TargetMode="External"/><Relationship Id="rId164" Type="http://schemas.openxmlformats.org/officeDocument/2006/relationships/hyperlink" Target="https://www.sec.gov/Archives/edgar/data/1705696/000170569620000181/exhibit1014-jolietleas.htm" TargetMode="External"/><Relationship Id="rId165" Type="http://schemas.openxmlformats.org/officeDocument/2006/relationships/hyperlink" Target="https://www.sec.gov/Archives/edgar/data/1705696/000170569621000030/jolietlease-fourthamendmen.htm" TargetMode="External"/><Relationship Id="rId166" Type="http://schemas.openxmlformats.org/officeDocument/2006/relationships/hyperlink" Target="https://www.sec.gov/Archives/edgar/data/1705696/000170569621000030/jolietlease-fourthamendmen.htm" TargetMode="External"/><Relationship Id="rId167" Type="http://schemas.openxmlformats.org/officeDocument/2006/relationships/hyperlink" Target="https://www.sec.gov/Archives/edgar/data/1705696/000170569621000030/jolietlease-fourthamendmen.htm" TargetMode="External"/><Relationship Id="rId168" Type="http://schemas.openxmlformats.org/officeDocument/2006/relationships/hyperlink" Target="https://www.sec.gov/Archives/edgar/data/1705696/000170569621000224/exhibit106jolietlease-fift.htm" TargetMode="External"/><Relationship Id="rId169" Type="http://schemas.openxmlformats.org/officeDocument/2006/relationships/hyperlink" Target="https://www.sec.gov/Archives/edgar/data/1705696/000170569621000224/exhibit106jolietlease-fift.htm" TargetMode="External"/><Relationship Id="rId170" Type="http://schemas.openxmlformats.org/officeDocument/2006/relationships/hyperlink" Target="https://www.sec.gov/Archives/edgar/data/1705696/000170569621000224/exhibit106jolietlease-fift.htm" TargetMode="External"/><Relationship Id="rId171" Type="http://schemas.openxmlformats.org/officeDocument/2006/relationships/hyperlink" Target="https://www.sec.gov/Archives/edgar/data/1705696/000170569622000046/exhibit1016-amendmenttojol.htm" TargetMode="External"/><Relationship Id="rId172" Type="http://schemas.openxmlformats.org/officeDocument/2006/relationships/hyperlink" Target="https://www.sec.gov/Archives/edgar/data/1705696/000170569622000046/exhibit1016-amendmenttojol.htm" TargetMode="External"/><Relationship Id="rId173" Type="http://schemas.openxmlformats.org/officeDocument/2006/relationships/hyperlink" Target="https://www.sec.gov/Archives/edgar/data/1705696/000170569622000046/exhibit1016-amendmenttojol.htm" TargetMode="External"/><Relationship Id="rId174" Type="http://schemas.openxmlformats.org/officeDocument/2006/relationships/hyperlink" Target="https://www.sec.gov/Archives/edgar/data/1705696/000170569620000181/exhibit1016-amendedand.htm" TargetMode="External"/><Relationship Id="rId175" Type="http://schemas.openxmlformats.org/officeDocument/2006/relationships/hyperlink" Target="https://www.sec.gov/Archives/edgar/data/1705696/000170569620000181/exhibit1016-amendedand.htm" TargetMode="External"/><Relationship Id="rId176" Type="http://schemas.openxmlformats.org/officeDocument/2006/relationships/hyperlink" Target="https://www.sec.gov/Archives/edgar/data/1705696/000170569620000181/exhibit1016-amendedand.htm" TargetMode="External"/><Relationship Id="rId177" Type="http://schemas.openxmlformats.org/officeDocument/2006/relationships/hyperlink" Target="https://www.sec.gov/Archives/edgar/data/1705696/000170569620000143/exhibit104.htm" TargetMode="External"/><Relationship Id="rId178" Type="http://schemas.openxmlformats.org/officeDocument/2006/relationships/hyperlink" Target="https://www.sec.gov/Archives/edgar/data/1705696/000170569620000143/exhibit104.htm" TargetMode="External"/><Relationship Id="rId179" Type="http://schemas.openxmlformats.org/officeDocument/2006/relationships/hyperlink" Target="https://www.sec.gov/Archives/edgar/data/1705696/000170569620000143/exhibit105.htm" TargetMode="External"/><Relationship Id="rId180" Type="http://schemas.openxmlformats.org/officeDocument/2006/relationships/hyperlink" Target="https://www.sec.gov/Archives/edgar/data/1705696/000170569620000143/exhibit105.htm" TargetMode="External"/><Relationship Id="rId181" Type="http://schemas.openxmlformats.org/officeDocument/2006/relationships/hyperlink" Target="https://www.sec.gov/Archives/edgar/data/1705696/000170569620000143/exhibit105.htm" TargetMode="External"/><Relationship Id="rId182" Type="http://schemas.openxmlformats.org/officeDocument/2006/relationships/hyperlink" Target="https://www.sec.gov/Archives/edgar/data/1705696/000170569620000143/exhibit105.htm" TargetMode="External"/><Relationship Id="rId183" Type="http://schemas.openxmlformats.org/officeDocument/2006/relationships/hyperlink" Target="https://www.sec.gov/Archives/edgar/data/1705696/000170569620000143/exhibit106.htm" TargetMode="External"/><Relationship Id="rId184" Type="http://schemas.openxmlformats.org/officeDocument/2006/relationships/hyperlink" Target="https://www.sec.gov/Archives/edgar/data/1705696/000170569620000143/exhibit106.htm" TargetMode="External"/><Relationship Id="rId185" Type="http://schemas.openxmlformats.org/officeDocument/2006/relationships/hyperlink" Target="https://www.sec.gov/Archives/edgar/data/1705696/000170569620000143/exhibit106.htm" TargetMode="External"/><Relationship Id="rId186" Type="http://schemas.openxmlformats.org/officeDocument/2006/relationships/hyperlink" Target="https://www.sec.gov/Archives/edgar/data/1705696/000119312522134159/d291163dex101.htm" TargetMode="External"/><Relationship Id="rId187" Type="http://schemas.openxmlformats.org/officeDocument/2006/relationships/hyperlink" Target="https://www.sec.gov/Archives/edgar/data/1705696/000119312522134159/d291163dex101.htm" TargetMode="External"/><Relationship Id="rId188" Type="http://schemas.openxmlformats.org/officeDocument/2006/relationships/hyperlink" Target="https://www.sec.gov/Archives/edgar/data/1705696/000119312522134159/d291163dex101.htm" TargetMode="External"/><Relationship Id="rId189" Type="http://schemas.openxmlformats.org/officeDocument/2006/relationships/hyperlink" Target="https://www.sec.gov/Archives/edgar/data/1705696/000170569622000133/compiledfirstamendmenttoar.htm" TargetMode="External"/><Relationship Id="rId190" Type="http://schemas.openxmlformats.org/officeDocument/2006/relationships/hyperlink" Target="https://www.sec.gov/Archives/edgar/data/1705696/000170569622000133/compiledfirstamendmenttoar.htm" TargetMode="External"/><Relationship Id="rId191" Type="http://schemas.openxmlformats.org/officeDocument/2006/relationships/hyperlink" Target="https://www.sec.gov/Archives/edgar/data/1705696/000170569622000133/compiledfirstamendmenttoar.htm" TargetMode="External"/><Relationship Id="rId192" Type="http://schemas.openxmlformats.org/officeDocument/2006/relationships/hyperlink" Target="https://www.sec.gov/Archives/edgar/data/1705696/000170569623000035/secondamendmenttoarmasterl.htm" TargetMode="External"/><Relationship Id="rId193" Type="http://schemas.openxmlformats.org/officeDocument/2006/relationships/hyperlink" Target="https://www.sec.gov/Archives/edgar/data/1705696/000170569623000035/secondamendmenttoarmasterl.htm" TargetMode="External"/><Relationship Id="rId194" Type="http://schemas.openxmlformats.org/officeDocument/2006/relationships/hyperlink" Target="https://www.sec.gov/Archives/edgar/data/1705696/000170569623000035/secondamendmenttoarmasterl.htm" TargetMode="External"/><Relationship Id="rId195" Type="http://schemas.openxmlformats.org/officeDocument/2006/relationships/hyperlink" Target="https://www.sec.gov/Archives/edgar/data/1705696/000119312522134159/d291163dex102.htm" TargetMode="External"/><Relationship Id="rId196" Type="http://schemas.openxmlformats.org/officeDocument/2006/relationships/hyperlink" Target="https://www.sec.gov/Archives/edgar/data/1705696/000119312522134159/d291163dex102.htm" TargetMode="External"/><Relationship Id="rId197" Type="http://schemas.openxmlformats.org/officeDocument/2006/relationships/hyperlink" Target="https://www.sec.gov/Archives/edgar/data/1705696/000119312522134159/d291163dex102.htm" TargetMode="External"/><Relationship Id="rId198" Type="http://schemas.openxmlformats.org/officeDocument/2006/relationships/hyperlink" Target="https://www.sec.gov/Archives/edgar/data/1705696/000119312522134159/d291163dex103.htm" TargetMode="External"/><Relationship Id="rId199" Type="http://schemas.openxmlformats.org/officeDocument/2006/relationships/hyperlink" Target="https://www.sec.gov/Archives/edgar/data/1705696/000119312522134159/d291163dex103.htm" TargetMode="External"/><Relationship Id="rId200" Type="http://schemas.openxmlformats.org/officeDocument/2006/relationships/hyperlink" Target="https://www.sec.gov/Archives/edgar/data/1705696/000119312522134159/d291163dex103.htm" TargetMode="External"/><Relationship Id="rId201" Type="http://schemas.openxmlformats.org/officeDocument/2006/relationships/hyperlink" Target="https://www.sec.gov/Archives/edgar/data/1705696/000170569623000035/mgmgrand_mandalaybayleasef.htm" TargetMode="External"/><Relationship Id="rId202" Type="http://schemas.openxmlformats.org/officeDocument/2006/relationships/hyperlink" Target="https://www.sec.gov/Archives/edgar/data/1705696/000170569623000035/mgmgrand_mandalaybayleasef.htm" TargetMode="External"/><Relationship Id="rId203" Type="http://schemas.openxmlformats.org/officeDocument/2006/relationships/hyperlink" Target="https://www.sec.gov/Archives/edgar/data/1705696/000170569623000035/mgmgrand_mandalaybayleasef.htm" TargetMode="External"/><Relationship Id="rId204" Type="http://schemas.openxmlformats.org/officeDocument/2006/relationships/hyperlink" Target="https://www.sec.gov/Archives/edgar/data/1705696/000170569623000035/mgm_guarantyxmgmgrandxmand.htm" TargetMode="External"/><Relationship Id="rId205" Type="http://schemas.openxmlformats.org/officeDocument/2006/relationships/hyperlink" Target="https://www.sec.gov/Archives/edgar/data/1705696/000170569623000035/mgm_guarantyxmgmgrandxmand.htm" TargetMode="External"/><Relationship Id="rId206" Type="http://schemas.openxmlformats.org/officeDocument/2006/relationships/hyperlink" Target="https://www.sec.gov/Archives/edgar/data/1705696/000170569623000035/mgm_guarantyxmgmgrandxmand.htm" TargetMode="External"/><Relationship Id="rId207" Type="http://schemas.openxmlformats.org/officeDocument/2006/relationships/hyperlink" Target="https://www.sec.gov/Archives/edgar/data/1705696/000170569623000035/mgm_guarantyxmgmgrandxmand.htm" TargetMode="External"/><Relationship Id="rId208" Type="http://schemas.openxmlformats.org/officeDocument/2006/relationships/hyperlink" Target="https://www.sec.gov/Archives/edgar/data/1705696/000170569623000035/mgmgrand_mandalaybayloanxa.htm" TargetMode="External"/><Relationship Id="rId209" Type="http://schemas.openxmlformats.org/officeDocument/2006/relationships/hyperlink" Target="https://www.sec.gov/Archives/edgar/data/1705696/000170569623000035/mgmgrand_mandalaybayloanxa.htm" TargetMode="External"/><Relationship Id="rId210" Type="http://schemas.openxmlformats.org/officeDocument/2006/relationships/hyperlink" Target="https://www.sec.gov/Archives/edgar/data/1705696/000170569623000035/mgmgrand_mandalaybayloanxa.htm" TargetMode="External"/><Relationship Id="rId211" Type="http://schemas.openxmlformats.org/officeDocument/2006/relationships/hyperlink" Target="https://www.sec.gov/Archives/edgar/data/1705696/000170569623000035/first_amendmentxtoxloanxag.htm" TargetMode="External"/><Relationship Id="rId212" Type="http://schemas.openxmlformats.org/officeDocument/2006/relationships/hyperlink" Target="https://www.sec.gov/Archives/edgar/data/1705696/000170569623000035/first_amendmentxtoxloanxag.htm" TargetMode="External"/><Relationship Id="rId213" Type="http://schemas.openxmlformats.org/officeDocument/2006/relationships/hyperlink" Target="https://www.sec.gov/Archives/edgar/data/1705696/000170569623000035/first_amendmentxtoxloanxag.htm" TargetMode="External"/><Relationship Id="rId214" Type="http://schemas.openxmlformats.org/officeDocument/2006/relationships/hyperlink" Target="https://www.sec.gov/Archives/edgar/data/1705696/000170569623000035/second_amendmentxtoxloanxa.htm" TargetMode="External"/><Relationship Id="rId215" Type="http://schemas.openxmlformats.org/officeDocument/2006/relationships/hyperlink" Target="https://www.sec.gov/Archives/edgar/data/1705696/000170569623000035/second_amendmentxtoxloanxa.htm" TargetMode="External"/><Relationship Id="rId216" Type="http://schemas.openxmlformats.org/officeDocument/2006/relationships/hyperlink" Target="https://www.sec.gov/Archives/edgar/data/1705696/000170569623000035/second_amendmentxtoxloanxa.htm" TargetMode="External"/><Relationship Id="rId217" Type="http://schemas.openxmlformats.org/officeDocument/2006/relationships/hyperlink" Target="https://www.sec.gov/Archives/edgar/data/1705696/000170569623000035/third_amendmentxtoxloanxag.htm" TargetMode="External"/><Relationship Id="rId218" Type="http://schemas.openxmlformats.org/officeDocument/2006/relationships/hyperlink" Target="https://www.sec.gov/Archives/edgar/data/1705696/000170569623000035/third_amendmentxtoxloanxag.htm" TargetMode="External"/><Relationship Id="rId219" Type="http://schemas.openxmlformats.org/officeDocument/2006/relationships/hyperlink" Target="https://www.sec.gov/Archives/edgar/data/1705696/000170569623000035/third_amendmentxtoxloanxag.htm" TargetMode="External"/><Relationship Id="rId220" Type="http://schemas.openxmlformats.org/officeDocument/2006/relationships/hyperlink" Target="https://www.sec.gov/Archives/edgar/data/1705696/000110465925008898/tm254973d1_ex10-1.htm" TargetMode="External"/><Relationship Id="rId221" Type="http://schemas.openxmlformats.org/officeDocument/2006/relationships/hyperlink" Target="https://www.sec.gov/Archives/edgar/data/1705696/000110465925008898/tm254973d1_ex10-1.htm" TargetMode="External"/><Relationship Id="rId222" Type="http://schemas.openxmlformats.org/officeDocument/2006/relationships/hyperlink" Target="https://www.sec.gov/Archives/edgar/data/1705696/000110465925008898/tm254973d1_ex10-1.htm" TargetMode="External"/><Relationship Id="rId223" Type="http://schemas.openxmlformats.org/officeDocument/2006/relationships/hyperlink" Target="https://www.sec.gov/Archives/edgar/data/1705696/000119312522134159/d291163dex105.htm" TargetMode="External"/><Relationship Id="rId224" Type="http://schemas.openxmlformats.org/officeDocument/2006/relationships/hyperlink" Target="https://www.sec.gov/Archives/edgar/data/1705696/000119312522134159/d291163dex105.htm" TargetMode="External"/><Relationship Id="rId225" Type="http://schemas.openxmlformats.org/officeDocument/2006/relationships/hyperlink" Target="https://www.sec.gov/Archives/edgar/data/1705696/000119312522134159/d291163dex105.htm" TargetMode="External"/><Relationship Id="rId226" Type="http://schemas.openxmlformats.org/officeDocument/2006/relationships/hyperlink" Target="https://www.sec.gov/Archives/edgar/data/1705696/000119312522134159/d291163dex104.htm" TargetMode="External"/><Relationship Id="rId227" Type="http://schemas.openxmlformats.org/officeDocument/2006/relationships/hyperlink" Target="https://www.sec.gov/Archives/edgar/data/1705696/000119312522134159/d291163dex104.htm" TargetMode="External"/><Relationship Id="rId228" Type="http://schemas.openxmlformats.org/officeDocument/2006/relationships/hyperlink" Target="https://www.sec.gov/Archives/edgar/data/1705696/000119312522134159/d291163dex104.htm" TargetMode="External"/><Relationship Id="rId229" Type="http://schemas.openxmlformats.org/officeDocument/2006/relationships/hyperlink" Target="https://www.sec.gov/Archives/edgar/data/1705696/000119312517297902/d392523dex1020.htm" TargetMode="External"/><Relationship Id="rId230" Type="http://schemas.openxmlformats.org/officeDocument/2006/relationships/hyperlink" Target="https://www.sec.gov/Archives/edgar/data/1705696/000119312517297902/d392523dex1020.htm" TargetMode="External"/><Relationship Id="rId231" Type="http://schemas.openxmlformats.org/officeDocument/2006/relationships/hyperlink" Target="https://www.sec.gov/Archives/edgar/data/1705696/000119312517297902/d392523dex1020.htm" TargetMode="External"/><Relationship Id="rId232" Type="http://schemas.openxmlformats.org/officeDocument/2006/relationships/hyperlink" Target="https://www.sec.gov/Archives/edgar/data/1705696/000119312517307477/d470550dex1028.htm" TargetMode="External"/><Relationship Id="rId233" Type="http://schemas.openxmlformats.org/officeDocument/2006/relationships/hyperlink" Target="https://www.sec.gov/Archives/edgar/data/1705696/000119312517307477/d470550dex1028.htm" TargetMode="External"/><Relationship Id="rId234" Type="http://schemas.openxmlformats.org/officeDocument/2006/relationships/hyperlink" Target="https://www.sec.gov/Archives/edgar/data/1705696/000119312517307477/d470550dex1028.htm" TargetMode="External"/><Relationship Id="rId235" Type="http://schemas.openxmlformats.org/officeDocument/2006/relationships/hyperlink" Target="https://www.sec.gov/Archives/edgar/data/1705696/000119312517307477/d470550dex1028.htm" TargetMode="External"/><Relationship Id="rId236" Type="http://schemas.openxmlformats.org/officeDocument/2006/relationships/hyperlink" Target="https://www.sec.gov/Archives/edgar/data/1705696/000170569619000064/exhibit1052amendmentno.htm" TargetMode="External"/><Relationship Id="rId237" Type="http://schemas.openxmlformats.org/officeDocument/2006/relationships/hyperlink" Target="https://www.sec.gov/Archives/edgar/data/1705696/000170569619000064/exhibit1052amendmentno.htm" TargetMode="External"/><Relationship Id="rId238" Type="http://schemas.openxmlformats.org/officeDocument/2006/relationships/hyperlink" Target="https://www.sec.gov/Archives/edgar/data/1705696/000170569619000064/exhibit1052amendmentno.htm" TargetMode="External"/><Relationship Id="rId239" Type="http://schemas.openxmlformats.org/officeDocument/2006/relationships/hyperlink" Target="https://www.sec.gov/Archives/edgar/data/1705696/000170569619000064/exhibit1052amendmentno.htm" TargetMode="External"/><Relationship Id="rId240" Type="http://schemas.openxmlformats.org/officeDocument/2006/relationships/hyperlink" Target="https://www.sec.gov/Archives/edgar/data/1705696/000170569618000015/vici10kexhibit1039.htm" TargetMode="External"/><Relationship Id="rId241" Type="http://schemas.openxmlformats.org/officeDocument/2006/relationships/hyperlink" Target="https://www.sec.gov/Archives/edgar/data/1705696/000170569618000015/vici10kexhibit1039.htm" TargetMode="External"/><Relationship Id="rId242" Type="http://schemas.openxmlformats.org/officeDocument/2006/relationships/hyperlink" Target="https://www.sec.gov/Archives/edgar/data/1705696/000170569618000015/vici10kexhibit1039.htm" TargetMode="External"/><Relationship Id="rId243" Type="http://schemas.openxmlformats.org/officeDocument/2006/relationships/hyperlink" Target="https://www.sec.gov/Archives/edgar/data/1705696/000170569618000015/vici10kexhibit1039.htm" TargetMode="External"/><Relationship Id="rId244" Type="http://schemas.openxmlformats.org/officeDocument/2006/relationships/hyperlink" Target="https://www.sec.gov/Archives/edgar/data/1705696/000170569624000033/vici-amendedrsaagreementfe.htm" TargetMode="External"/><Relationship Id="rId245" Type="http://schemas.openxmlformats.org/officeDocument/2006/relationships/hyperlink" Target="https://www.sec.gov/Archives/edgar/data/1705696/000170569624000033/vici-amendedrsaagreementfe.htm" TargetMode="External"/><Relationship Id="rId246" Type="http://schemas.openxmlformats.org/officeDocument/2006/relationships/hyperlink" Target="https://www.sec.gov/Archives/edgar/data/1705696/000170569624000033/vici-amendedrsaagreementfe.htm" TargetMode="External"/><Relationship Id="rId247" Type="http://schemas.openxmlformats.org/officeDocument/2006/relationships/hyperlink" Target="https://www.sec.gov/Archives/edgar/data/1705696/000170569624000033/vici-amendedrsaagreementfe.htm" TargetMode="External"/><Relationship Id="rId248" Type="http://schemas.openxmlformats.org/officeDocument/2006/relationships/hyperlink" Target="https://www.sec.gov/Archives/edgar/data/1705696/000170569624000033/vici-amendedpsuagreementfe.htm" TargetMode="External"/><Relationship Id="rId249" Type="http://schemas.openxmlformats.org/officeDocument/2006/relationships/hyperlink" Target="https://www.sec.gov/Archives/edgar/data/1705696/000170569624000033/vici-amendedpsuagreementfe.htm" TargetMode="External"/><Relationship Id="rId250" Type="http://schemas.openxmlformats.org/officeDocument/2006/relationships/hyperlink" Target="https://www.sec.gov/Archives/edgar/data/1705696/000170569624000033/vici-amendedpsuagreementfe.htm" TargetMode="External"/><Relationship Id="rId251" Type="http://schemas.openxmlformats.org/officeDocument/2006/relationships/hyperlink" Target="https://www.sec.gov/Archives/edgar/data/1705696/000170569624000033/vici-amendedpsuagreementfe.htm" TargetMode="External"/><Relationship Id="rId252" Type="http://schemas.openxmlformats.org/officeDocument/2006/relationships/hyperlink" Target="https://www.sec.gov/Archives/edgar/data/1705696/000170569625000033/vici-insidertradingpolicyf.htm" TargetMode="External"/><Relationship Id="rId253" Type="http://schemas.openxmlformats.org/officeDocument/2006/relationships/hyperlink" Target="https://www.sec.gov/Archives/edgar/data/1705696/000170569625000033/vici-insidertradingpolicyf.htm" TargetMode="External"/><Relationship Id="rId254" Type="http://schemas.openxmlformats.org/officeDocument/2006/relationships/hyperlink" Target="https://www.sec.gov/Archives/edgar/data/1705696/000170569624000033/vici-amendedclawbackpolicy.htm" TargetMode="External"/><Relationship Id="rId255" Type="http://schemas.openxmlformats.org/officeDocument/2006/relationships/hyperlink" Target="https://www.sec.gov/Archives/edgar/data/1705696/000170569624000033/vici-amendedclawbackpolicy.htm" TargetMode="External"/><Relationship Id="rId256" Type="http://schemas.openxmlformats.org/officeDocument/2006/relationships/fontTable" Target="fontTable.xml"/><Relationship Id="rId2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151</Pages>
  <Words>138654</Words>
  <Characters>758172</Characters>
  <CharactersWithSpaces>892821</CharactersWithSpaces>
  <Paragraphs>8020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