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147"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10-Q</w:t>
      </w:r>
    </w:p>
    <w:p>
      <w:pPr>
        <w:spacing w:after="0" w:line="3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33" w:lineRule="exact"/>
        <w:rPr>
          <w:sz w:val="24"/>
          <w:szCs w:val="24"/>
          <w:color w:val="auto"/>
        </w:rPr>
      </w:pPr>
    </w:p>
    <w:p>
      <w:pPr>
        <w:ind w:left="1740" w:hanging="587"/>
        <w:spacing w:after="0"/>
        <w:tabs>
          <w:tab w:leader="none" w:pos="174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or</w:t>
      </w:r>
    </w:p>
    <w:p>
      <w:pPr>
        <w:spacing w:after="0" w:line="27" w:lineRule="exact"/>
        <w:rPr>
          <w:sz w:val="24"/>
          <w:szCs w:val="24"/>
          <w:color w:val="auto"/>
        </w:rPr>
      </w:pPr>
    </w:p>
    <w:p>
      <w:pPr>
        <w:ind w:left="1740" w:hanging="587"/>
        <w:spacing w:after="0"/>
        <w:tabs>
          <w:tab w:leader="none" w:pos="17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60"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Commission file number: 001-38372</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w:t>
      </w:r>
    </w:p>
    <w:p>
      <w:pPr>
        <w:spacing w:after="0" w:line="37"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VICI Properties Inc.</w:t>
      </w:r>
    </w:p>
    <w:p>
      <w:pPr>
        <w:spacing w:after="0" w:line="8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40"/>
          </w:cols>
          <w:pgMar w:left="320" w:top="1055" w:right="239" w:bottom="1440" w:gutter="0" w:footer="0" w:header="0"/>
        </w:sectPr>
      </w:pPr>
    </w:p>
    <w:p>
      <w:pPr>
        <w:spacing w:after="0" w:line="29" w:lineRule="exact"/>
        <w:rPr>
          <w:sz w:val="24"/>
          <w:szCs w:val="24"/>
          <w:color w:val="auto"/>
        </w:rPr>
      </w:pPr>
    </w:p>
    <w:p>
      <w:pPr>
        <w:ind w:left="30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49" w:lineRule="exact"/>
        <w:rPr>
          <w:sz w:val="24"/>
          <w:szCs w:val="24"/>
          <w:color w:val="auto"/>
        </w:rPr>
      </w:pPr>
    </w:p>
    <w:p>
      <w:pPr>
        <w:sectPr>
          <w:pgSz w:w="11900" w:h="16838" w:orient="portrait"/>
          <w:cols w:equalWidth="0" w:num="2">
            <w:col w:w="6700" w:space="720"/>
            <w:col w:w="3920"/>
          </w:cols>
          <w:pgMar w:left="320" w:top="1055" w:right="239" w:bottom="1440" w:gutter="0" w:footer="0" w:header="0"/>
          <w:type w:val="continuous"/>
        </w:sectPr>
      </w:pPr>
    </w:p>
    <w:p>
      <w:pPr>
        <w:jc w:val="center"/>
        <w:ind w:left="74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82" w:lineRule="exact"/>
        <w:rPr>
          <w:sz w:val="24"/>
          <w:szCs w:val="24"/>
          <w:color w:val="auto"/>
        </w:rPr>
      </w:pPr>
    </w:p>
    <w:p>
      <w:pPr>
        <w:sectPr>
          <w:pgSz w:w="11900" w:h="16838" w:orient="portrait"/>
          <w:cols w:equalWidth="0" w:num="2">
            <w:col w:w="6040" w:space="720"/>
            <w:col w:w="4580"/>
          </w:cols>
          <w:pgMar w:left="320" w:top="1055" w:right="2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0"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160" w:lineRule="exact"/>
        <w:rPr>
          <w:sz w:val="24"/>
          <w:szCs w:val="24"/>
          <w:color w:val="auto"/>
        </w:rPr>
      </w:pPr>
    </w:p>
    <w:tbl>
      <w:tblPr>
        <w:tblLayout w:type="fixed"/>
        <w:tblInd w:w="340" w:type="dxa"/>
        <w:tblCellMar>
          <w:top w:w="0" w:type="dxa"/>
          <w:left w:w="0" w:type="dxa"/>
          <w:bottom w:w="0" w:type="dxa"/>
          <w:right w:w="0" w:type="dxa"/>
        </w:tblCellMar>
      </w:tblPr>
      <w:tr>
        <w:trPr>
          <w:trHeight w:val="206"/>
        </w:trPr>
        <w:tc>
          <w:tcPr>
            <w:tcW w:w="42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394"/>
        </w:trPr>
        <w:tc>
          <w:tcPr>
            <w:tcW w:w="38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87"/>
              </w:rPr>
              <w:t>Title of each class</w:t>
            </w:r>
          </w:p>
        </w:tc>
        <w:tc>
          <w:tcPr>
            <w:tcW w:w="360" w:type="dxa"/>
            <w:vAlign w:val="bottom"/>
          </w:tcPr>
          <w:p>
            <w:pPr>
              <w:spacing w:after="0"/>
              <w:rPr>
                <w:sz w:val="24"/>
                <w:szCs w:val="24"/>
                <w:color w:val="auto"/>
              </w:rPr>
            </w:pPr>
          </w:p>
        </w:tc>
        <w:tc>
          <w:tcPr>
            <w:tcW w:w="252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92"/>
              </w:rPr>
              <w:t>Trading Symbol</w:t>
            </w:r>
          </w:p>
        </w:tc>
        <w:tc>
          <w:tcPr>
            <w:tcW w:w="360" w:type="dxa"/>
            <w:vAlign w:val="bottom"/>
          </w:tcPr>
          <w:p>
            <w:pPr>
              <w:spacing w:after="0"/>
              <w:rPr>
                <w:sz w:val="24"/>
                <w:szCs w:val="24"/>
                <w:color w:val="auto"/>
              </w:rPr>
            </w:pPr>
          </w:p>
        </w:tc>
        <w:tc>
          <w:tcPr>
            <w:tcW w:w="38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24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Common stock, $0.01 par value</w:t>
            </w:r>
          </w:p>
        </w:tc>
        <w:tc>
          <w:tcPr>
            <w:tcW w:w="2880" w:type="dxa"/>
            <w:vAlign w:val="bottom"/>
            <w:gridSpan w:val="2"/>
          </w:tcPr>
          <w:p>
            <w:pPr>
              <w:jc w:val="center"/>
              <w:ind w:right="40"/>
              <w:spacing w:after="0"/>
              <w:rPr>
                <w:sz w:val="20"/>
                <w:szCs w:val="20"/>
                <w:color w:val="auto"/>
              </w:rPr>
            </w:pPr>
            <w:r>
              <w:rPr>
                <w:rFonts w:ascii="Arial" w:cs="Arial" w:eastAsia="Arial" w:hAnsi="Arial"/>
                <w:sz w:val="16"/>
                <w:szCs w:val="16"/>
                <w:color w:val="auto"/>
              </w:rPr>
              <w:t>VICI</w:t>
            </w:r>
          </w:p>
        </w:tc>
        <w:tc>
          <w:tcPr>
            <w:tcW w:w="3880" w:type="dxa"/>
            <w:vAlign w:val="bottom"/>
          </w:tcPr>
          <w:p>
            <w:pPr>
              <w:jc w:val="center"/>
              <w:ind w:left="279"/>
              <w:spacing w:after="0"/>
              <w:rPr>
                <w:sz w:val="20"/>
                <w:szCs w:val="20"/>
                <w:color w:val="auto"/>
              </w:rPr>
            </w:pPr>
            <w:r>
              <w:rPr>
                <w:rFonts w:ascii="Arial" w:cs="Arial" w:eastAsia="Arial" w:hAnsi="Arial"/>
                <w:sz w:val="16"/>
                <w:szCs w:val="16"/>
                <w:color w:val="auto"/>
                <w:w w:val="92"/>
              </w:rPr>
              <w:t>New York Stock Exchange</w:t>
            </w:r>
          </w:p>
        </w:tc>
      </w:tr>
    </w:tbl>
    <w:p>
      <w:pPr>
        <w:spacing w:after="0" w:line="200" w:lineRule="exact"/>
        <w:rPr>
          <w:sz w:val="24"/>
          <w:szCs w:val="24"/>
          <w:color w:val="auto"/>
        </w:rPr>
      </w:pPr>
    </w:p>
    <w:p>
      <w:pPr>
        <w:spacing w:after="0" w:line="267" w:lineRule="exact"/>
        <w:rPr>
          <w:sz w:val="24"/>
          <w:szCs w:val="24"/>
          <w:color w:val="auto"/>
        </w:rPr>
      </w:pPr>
    </w:p>
    <w:p>
      <w:pPr>
        <w:jc w:val="both"/>
        <w:ind w:right="100" w:firstLine="323"/>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right="100" w:firstLine="323"/>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6" w:lineRule="exact"/>
        <w:rPr>
          <w:sz w:val="24"/>
          <w:szCs w:val="24"/>
          <w:color w:val="auto"/>
        </w:rPr>
      </w:pPr>
    </w:p>
    <w:p>
      <w:pPr>
        <w:jc w:val="both"/>
        <w:ind w:right="100" w:firstLine="323"/>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0" w:lineRule="exact"/>
        <w:rPr>
          <w:sz w:val="24"/>
          <w:szCs w:val="24"/>
          <w:color w:val="auto"/>
        </w:rPr>
      </w:pPr>
    </w:p>
    <w:tbl>
      <w:tblPr>
        <w:tblLayout w:type="fixed"/>
        <w:tblInd w:w="680" w:type="dxa"/>
        <w:tblCellMar>
          <w:top w:w="0" w:type="dxa"/>
          <w:left w:w="0" w:type="dxa"/>
          <w:bottom w:w="0" w:type="dxa"/>
          <w:right w:w="0" w:type="dxa"/>
        </w:tblCellMar>
      </w:tblPr>
      <w:tr>
        <w:trPr>
          <w:trHeight w:val="215"/>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8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86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5"/>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118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86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100" w:type="dxa"/>
            <w:vAlign w:val="bottom"/>
          </w:tcPr>
          <w:p>
            <w:pPr>
              <w:ind w:left="86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34" w:lineRule="exact"/>
        <w:rPr>
          <w:sz w:val="24"/>
          <w:szCs w:val="24"/>
          <w:color w:val="auto"/>
        </w:rPr>
      </w:pPr>
    </w:p>
    <w:p>
      <w:pPr>
        <w:ind w:right="100" w:firstLine="323"/>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6" w:lineRule="exact"/>
        <w:rPr>
          <w:sz w:val="24"/>
          <w:szCs w:val="24"/>
          <w:color w:val="auto"/>
        </w:rPr>
      </w:pPr>
    </w:p>
    <w:p>
      <w:pPr>
        <w:ind w:left="340" w:right="2500"/>
        <w:spacing w:after="0" w:line="29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26, 2021, the registrant had 628,946,033 shares of its $0.01 par value common stock outstanding.</w:t>
      </w:r>
    </w:p>
    <w:p>
      <w:pPr>
        <w:spacing w:after="0" w:line="200" w:lineRule="exact"/>
        <w:rPr>
          <w:sz w:val="24"/>
          <w:szCs w:val="24"/>
          <w:color w:val="auto"/>
        </w:rPr>
      </w:pPr>
    </w:p>
    <w:p>
      <w:pPr>
        <w:spacing w:after="0" w:line="33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05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SEPTEMBER 30, 2021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gridSpan w:val="3"/>
            <w:vMerge w:val="restart"/>
          </w:tcPr>
          <w:p>
            <w:pPr>
              <w:ind w:left="20"/>
              <w:spacing w:after="0"/>
              <w:rPr>
                <w:rFonts w:ascii="Arial" w:cs="Arial" w:eastAsia="Arial" w:hAnsi="Arial"/>
                <w:sz w:val="18"/>
                <w:szCs w:val="18"/>
                <w:b w:val="1"/>
                <w:bCs w:val="1"/>
                <w:color w:val="0000FF"/>
                <w:w w:val="96"/>
              </w:rPr>
            </w:pPr>
            <w:hyperlink w:anchor="page2">
              <w:r>
                <w:rPr>
                  <w:rFonts w:ascii="Arial" w:cs="Arial" w:eastAsia="Arial" w:hAnsi="Arial"/>
                  <w:sz w:val="18"/>
                  <w:szCs w:val="18"/>
                  <w:b w:val="1"/>
                  <w:bCs w:val="1"/>
                  <w:color w:val="0000FF"/>
                  <w:w w:val="96"/>
                </w:rPr>
                <w:t>PART I.</w:t>
              </w:r>
            </w:hyperlink>
          </w:p>
        </w:tc>
        <w:tc>
          <w:tcPr>
            <w:tcW w:w="10000" w:type="dxa"/>
            <w:vAlign w:val="bottom"/>
            <w:gridSpan w:val="14"/>
            <w:vMerge w:val="restart"/>
          </w:tcPr>
          <w:p>
            <w:pPr>
              <w:ind w:left="36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5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660" w:type="dxa"/>
            <w:vAlign w:val="bottom"/>
            <w:gridSpan w:val="3"/>
            <w:vMerge w:val="continue"/>
          </w:tcPr>
          <w:p>
            <w:pPr>
              <w:spacing w:after="0"/>
              <w:rPr>
                <w:sz w:val="14"/>
                <w:szCs w:val="14"/>
                <w:color w:val="auto"/>
              </w:rPr>
            </w:pPr>
          </w:p>
        </w:tc>
        <w:tc>
          <w:tcPr>
            <w:tcW w:w="10000" w:type="dxa"/>
            <w:vAlign w:val="bottom"/>
            <w:gridSpan w:val="14"/>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0"/>
              </w:rPr>
            </w:pPr>
            <w:hyperlink w:anchor="page2">
              <w:r>
                <w:rPr>
                  <w:rFonts w:ascii="Arial" w:cs="Arial" w:eastAsia="Arial" w:hAnsi="Arial"/>
                  <w:sz w:val="18"/>
                  <w:szCs w:val="18"/>
                  <w:color w:val="0000FF"/>
                  <w:w w:val="90"/>
                </w:rPr>
                <w:t>Item 1.</w:t>
              </w:r>
            </w:hyperlink>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12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91"/>
              </w:rPr>
            </w:pPr>
            <w:hyperlink w:anchor="page2">
              <w:r>
                <w:rPr>
                  <w:rFonts w:ascii="Arial" w:cs="Arial" w:eastAsia="Arial" w:hAnsi="Arial"/>
                  <w:sz w:val="18"/>
                  <w:szCs w:val="18"/>
                  <w:color w:val="0000FF"/>
                  <w:w w:val="91"/>
                </w:rPr>
                <w:t>Financial Statements of VICI Properties Inc. (Unaudited)</w:t>
              </w:r>
            </w:hyperlink>
          </w:p>
        </w:tc>
        <w:tc>
          <w:tcPr>
            <w:tcW w:w="5520" w:type="dxa"/>
            <w:vAlign w:val="bottom"/>
            <w:tcBorders>
              <w:bottom w:val="single" w:sz="8" w:color="CCEEFF"/>
            </w:tcBorders>
            <w:gridSpan w:val="7"/>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80" w:type="dxa"/>
            <w:vAlign w:val="bottom"/>
            <w:gridSpan w:val="12"/>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as of September 30, 2021 and December 31, 2020</w:t>
              </w:r>
            </w:hyperlink>
          </w:p>
        </w:tc>
        <w:tc>
          <w:tcPr>
            <w:tcW w:w="380" w:type="dxa"/>
            <w:vAlign w:val="bottom"/>
            <w:gridSpan w:val="4"/>
          </w:tcPr>
          <w:p>
            <w:pPr>
              <w:jc w:val="center"/>
              <w:ind w:left="11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80" w:type="dxa"/>
            <w:vAlign w:val="bottom"/>
            <w:gridSpan w:val="12"/>
            <w:shd w:val="clear" w:color="auto" w:fill="CCEEFF"/>
          </w:tcPr>
          <w:p>
            <w:pPr>
              <w:spacing w:after="0" w:line="189"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Consolidated Statements of Operations and Comprehensive Income for the Three and Nine Months Ended September 30, 2021</w:t>
              </w:r>
            </w:hyperlink>
          </w:p>
        </w:tc>
        <w:tc>
          <w:tcPr>
            <w:tcW w:w="240" w:type="dxa"/>
            <w:vAlign w:val="bottom"/>
            <w:gridSpan w:val="2"/>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vMerge w:val="restart"/>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0000FF"/>
              <w:bottom w:val="single" w:sz="8" w:color="0000FF"/>
            </w:tcBorders>
            <w:shd w:val="clear" w:color="auto" w:fill="CCEEFF"/>
          </w:tcPr>
          <w:p>
            <w:pPr>
              <w:spacing w:after="0" w:line="155" w:lineRule="exact"/>
              <w:rPr>
                <w:rFonts w:ascii="Arial" w:cs="Arial" w:eastAsia="Arial" w:hAnsi="Arial"/>
                <w:sz w:val="17"/>
                <w:szCs w:val="17"/>
                <w:color w:val="0000FF"/>
                <w:w w:val="90"/>
              </w:rPr>
            </w:pPr>
            <w:hyperlink w:anchor="page3">
              <w:r>
                <w:rPr>
                  <w:rFonts w:ascii="Arial" w:cs="Arial" w:eastAsia="Arial" w:hAnsi="Arial"/>
                  <w:sz w:val="17"/>
                  <w:szCs w:val="17"/>
                  <w:color w:val="0000FF"/>
                  <w:w w:val="90"/>
                </w:rPr>
                <w:t>and 2020</w:t>
              </w:r>
            </w:hyperlink>
          </w:p>
        </w:tc>
        <w:tc>
          <w:tcPr>
            <w:tcW w:w="846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100" w:type="dxa"/>
            <w:vAlign w:val="bottom"/>
            <w:tcBorders>
              <w:top w:val="single" w:sz="8" w:color="CCEEFF"/>
              <w:bottom w:val="single" w:sz="8" w:color="0000FF"/>
            </w:tcBorders>
            <w:vMerge w:val="continue"/>
            <w:shd w:val="clear" w:color="auto" w:fill="CCEEFF"/>
          </w:tcPr>
          <w:p>
            <w:pPr>
              <w:spacing w:after="0"/>
              <w:rPr>
                <w:sz w:val="15"/>
                <w:szCs w:val="15"/>
                <w:color w:val="auto"/>
              </w:rPr>
            </w:pPr>
          </w:p>
        </w:tc>
        <w:tc>
          <w:tcPr>
            <w:tcW w:w="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80" w:type="dxa"/>
            <w:vAlign w:val="bottom"/>
            <w:gridSpan w:val="12"/>
          </w:tcPr>
          <w:p>
            <w:pPr>
              <w:spacing w:after="0" w:line="189"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Consolidated Statements of Stockholders’ Equity for the Three and Nine Months Ended September 30, 2021 and 2020</w:t>
              </w:r>
            </w:hyperlink>
          </w:p>
        </w:tc>
        <w:tc>
          <w:tcPr>
            <w:tcW w:w="380" w:type="dxa"/>
            <w:vAlign w:val="bottom"/>
            <w:gridSpan w:val="4"/>
          </w:tcPr>
          <w:p>
            <w:pPr>
              <w:jc w:val="center"/>
              <w:ind w:left="11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60" w:type="dxa"/>
            <w:vAlign w:val="bottom"/>
            <w:tcBorders>
              <w:bottom w:val="single" w:sz="8" w:color="0000FF"/>
            </w:tcBorders>
            <w:gridSpan w:val="9"/>
            <w:shd w:val="clear" w:color="auto" w:fill="CCEEFF"/>
          </w:tcPr>
          <w:p>
            <w:pPr>
              <w:spacing w:after="0" w:line="189"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 for the Nine Months Ended September 30, 2021 and 2020</w:t>
              </w:r>
            </w:hyperlink>
          </w:p>
        </w:tc>
        <w:tc>
          <w:tcPr>
            <w:tcW w:w="2220" w:type="dxa"/>
            <w:vAlign w:val="bottom"/>
            <w:tcBorders>
              <w:bottom w:val="single" w:sz="8" w:color="CCEEFF"/>
            </w:tcBorders>
            <w:gridSpan w:val="3"/>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80" w:type="dxa"/>
            <w:vAlign w:val="bottom"/>
            <w:gridSpan w:val="12"/>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w:t>
              </w:r>
            </w:hyperlink>
          </w:p>
        </w:tc>
        <w:tc>
          <w:tcPr>
            <w:tcW w:w="380" w:type="dxa"/>
            <w:vAlign w:val="bottom"/>
            <w:gridSpan w:val="4"/>
          </w:tcPr>
          <w:p>
            <w:pPr>
              <w:jc w:val="center"/>
              <w:ind w:left="11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Item 2.</w:t>
              </w:r>
            </w:hyperlink>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40" w:type="dxa"/>
            <w:vAlign w:val="bottom"/>
            <w:gridSpan w:val="13"/>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Management’s Discussion and Analysis of Financial Condition and Results of Operations</w:t>
              </w:r>
            </w:hyperlink>
          </w:p>
        </w:tc>
        <w:tc>
          <w:tcPr>
            <w:tcW w:w="58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55</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73">
              <w:r>
                <w:rPr>
                  <w:rFonts w:ascii="Arial" w:cs="Arial" w:eastAsia="Arial" w:hAnsi="Arial"/>
                  <w:sz w:val="18"/>
                  <w:szCs w:val="18"/>
                  <w:color w:val="0000FF"/>
                  <w:w w:val="90"/>
                </w:rPr>
                <w:t>Item 3.</w:t>
              </w:r>
            </w:hyperlink>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40" w:type="dxa"/>
            <w:vAlign w:val="bottom"/>
            <w:gridSpan w:val="9"/>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Quantitative and Qualitative Disclosures About Market Risk</w:t>
              </w:r>
            </w:hyperlink>
          </w:p>
        </w:tc>
        <w:tc>
          <w:tcPr>
            <w:tcW w:w="320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4"/>
          </w:tcPr>
          <w:p>
            <w:pPr>
              <w:jc w:val="center"/>
              <w:ind w:right="200"/>
              <w:spacing w:after="0" w:line="189"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Item 4.</w:t>
              </w:r>
            </w:hyperlink>
          </w:p>
        </w:tc>
        <w:tc>
          <w:tcPr>
            <w:tcW w:w="10000" w:type="dxa"/>
            <w:vAlign w:val="bottom"/>
            <w:gridSpan w:val="14"/>
            <w:shd w:val="clear" w:color="auto" w:fill="CCEEFF"/>
          </w:tcPr>
          <w:p>
            <w:pPr>
              <w:ind w:left="36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Controls and Procedures</w:t>
              </w:r>
            </w:hyperlink>
          </w:p>
        </w:tc>
        <w:tc>
          <w:tcPr>
            <w:tcW w:w="58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920" w:type="dxa"/>
            <w:vAlign w:val="bottom"/>
            <w:gridSpan w:val="6"/>
            <w:shd w:val="clear" w:color="auto" w:fill="CCEEFF"/>
          </w:tcPr>
          <w:p>
            <w:pPr>
              <w:spacing w:after="0"/>
              <w:rPr>
                <w:rFonts w:ascii="Arial" w:cs="Arial" w:eastAsia="Arial" w:hAnsi="Arial"/>
                <w:sz w:val="18"/>
                <w:szCs w:val="18"/>
                <w:b w:val="1"/>
                <w:bCs w:val="1"/>
                <w:color w:val="0000FF"/>
              </w:rPr>
            </w:pPr>
            <w:hyperlink w:anchor="page73">
              <w:r>
                <w:rPr>
                  <w:rFonts w:ascii="Arial" w:cs="Arial" w:eastAsia="Arial" w:hAnsi="Arial"/>
                  <w:sz w:val="18"/>
                  <w:szCs w:val="18"/>
                  <w:b w:val="1"/>
                  <w:bCs w:val="1"/>
                  <w:color w:val="0000FF"/>
                </w:rPr>
                <w:t>PART II.</w:t>
              </w:r>
            </w:hyperlink>
          </w:p>
        </w:tc>
        <w:tc>
          <w:tcPr>
            <w:tcW w:w="4520" w:type="dxa"/>
            <w:vAlign w:val="bottom"/>
            <w:gridSpan w:val="10"/>
            <w:shd w:val="clear" w:color="auto" w:fill="CCEEFF"/>
          </w:tcPr>
          <w:p>
            <w:pPr>
              <w:ind w:left="80"/>
              <w:spacing w:after="0"/>
              <w:rPr>
                <w:rFonts w:ascii="Arial" w:cs="Arial" w:eastAsia="Arial" w:hAnsi="Arial"/>
                <w:sz w:val="18"/>
                <w:szCs w:val="18"/>
                <w:b w:val="1"/>
                <w:bCs w:val="1"/>
                <w:color w:val="0000FF"/>
              </w:rPr>
            </w:pPr>
            <w:hyperlink w:anchor="page73">
              <w:r>
                <w:rPr>
                  <w:rFonts w:ascii="Arial" w:cs="Arial" w:eastAsia="Arial" w:hAnsi="Arial"/>
                  <w:sz w:val="18"/>
                  <w:szCs w:val="18"/>
                  <w:b w:val="1"/>
                  <w:bCs w:val="1"/>
                  <w:color w:val="0000FF"/>
                </w:rPr>
                <w:t>OTHER INFORMATION</w:t>
              </w:r>
            </w:hyperlink>
          </w:p>
        </w:tc>
        <w:tc>
          <w:tcPr>
            <w:tcW w:w="5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4"/>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Item 1.</w:t>
              </w:r>
            </w:hyperlink>
          </w:p>
        </w:tc>
        <w:tc>
          <w:tcPr>
            <w:tcW w:w="220" w:type="dxa"/>
            <w:vAlign w:val="bottom"/>
            <w:tcBorders>
              <w:top w:val="single" w:sz="8" w:color="CCEEFF"/>
            </w:tcBorders>
            <w:gridSpan w:val="2"/>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20" w:type="dxa"/>
            <w:vAlign w:val="bottom"/>
            <w:tcBorders>
              <w:top w:val="single" w:sz="8" w:color="0000FF"/>
            </w:tcBorders>
            <w:gridSpan w:val="6"/>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Legal Proceedings</w:t>
              </w:r>
            </w:hyperlink>
          </w:p>
        </w:tc>
        <w:tc>
          <w:tcPr>
            <w:tcW w:w="2420" w:type="dxa"/>
            <w:vAlign w:val="bottom"/>
            <w:tcBorders>
              <w:top w:val="single" w:sz="8" w:color="CCEEFF"/>
            </w:tcBorders>
            <w:gridSpan w:val="3"/>
          </w:tcPr>
          <w:p>
            <w:pPr>
              <w:spacing w:after="0"/>
              <w:rPr>
                <w:sz w:val="16"/>
                <w:szCs w:val="16"/>
                <w:color w:val="auto"/>
              </w:rPr>
            </w:pPr>
          </w:p>
        </w:tc>
        <w:tc>
          <w:tcPr>
            <w:tcW w:w="5780" w:type="dxa"/>
            <w:vAlign w:val="bottom"/>
            <w:tcBorders>
              <w:top w:val="single" w:sz="8" w:color="CCEEFF"/>
            </w:tcBorders>
            <w:gridSpan w:val="3"/>
          </w:tcPr>
          <w:p>
            <w:pPr>
              <w:jc w:val="right"/>
              <w:ind w:right="20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6"/>
            <w:shd w:val="clear" w:color="auto" w:fill="CCEEFF"/>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Item 1A.</w:t>
              </w:r>
            </w:hyperlink>
          </w:p>
        </w:tc>
        <w:tc>
          <w:tcPr>
            <w:tcW w:w="4520" w:type="dxa"/>
            <w:vAlign w:val="bottom"/>
            <w:gridSpan w:val="10"/>
            <w:shd w:val="clear" w:color="auto" w:fill="CCEEFF"/>
          </w:tcPr>
          <w:p>
            <w:pPr>
              <w:ind w:left="8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Risk Factors</w:t>
              </w:r>
            </w:hyperlink>
          </w:p>
        </w:tc>
        <w:tc>
          <w:tcPr>
            <w:tcW w:w="5780" w:type="dxa"/>
            <w:vAlign w:val="bottom"/>
            <w:gridSpan w:val="3"/>
            <w:shd w:val="clear" w:color="auto" w:fill="CCEEFF"/>
          </w:tcPr>
          <w:p>
            <w:pPr>
              <w:jc w:val="right"/>
              <w:ind w:right="20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2.</w:t>
              </w:r>
            </w:hyperlink>
          </w:p>
        </w:tc>
        <w:tc>
          <w:tcPr>
            <w:tcW w:w="28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gridSpan w:val="9"/>
          </w:tcPr>
          <w:p>
            <w:pPr>
              <w:spacing w:after="0" w:line="189" w:lineRule="exact"/>
              <w:rPr>
                <w:rFonts w:ascii="Arial" w:cs="Arial" w:eastAsia="Arial" w:hAnsi="Arial"/>
                <w:sz w:val="18"/>
                <w:szCs w:val="18"/>
                <w:color w:val="0000FF"/>
                <w:w w:val="91"/>
              </w:rPr>
            </w:pPr>
            <w:hyperlink w:anchor="page83">
              <w:r>
                <w:rPr>
                  <w:rFonts w:ascii="Arial" w:cs="Arial" w:eastAsia="Arial" w:hAnsi="Arial"/>
                  <w:sz w:val="18"/>
                  <w:szCs w:val="18"/>
                  <w:color w:val="0000FF"/>
                  <w:w w:val="91"/>
                </w:rPr>
                <w:t>Unregistered Sales of Equity Securities and Use of Proceeds</w:t>
              </w:r>
            </w:hyperlink>
          </w:p>
        </w:tc>
        <w:tc>
          <w:tcPr>
            <w:tcW w:w="5780" w:type="dxa"/>
            <w:vAlign w:val="bottom"/>
            <w:gridSpan w:val="3"/>
          </w:tcPr>
          <w:p>
            <w:pPr>
              <w:jc w:val="right"/>
              <w:ind w:right="200"/>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84</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Item 3.</w:t>
              </w:r>
            </w:hyperlink>
          </w:p>
        </w:tc>
        <w:tc>
          <w:tcPr>
            <w:tcW w:w="400" w:type="dxa"/>
            <w:vAlign w:val="bottom"/>
            <w:gridSpan w:val="4"/>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40" w:type="dxa"/>
            <w:vAlign w:val="bottom"/>
            <w:gridSpan w:val="9"/>
            <w:shd w:val="clear" w:color="auto" w:fill="CCEEFF"/>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Defaults Upon Senior Securities</w:t>
              </w:r>
            </w:hyperlink>
          </w:p>
        </w:tc>
        <w:tc>
          <w:tcPr>
            <w:tcW w:w="5780" w:type="dxa"/>
            <w:vAlign w:val="bottom"/>
            <w:gridSpan w:val="3"/>
            <w:shd w:val="clear" w:color="auto" w:fill="CCEEFF"/>
          </w:tcPr>
          <w:p>
            <w:pPr>
              <w:jc w:val="right"/>
              <w:ind w:right="20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gridSpan w:val="2"/>
          </w:tcPr>
          <w:p>
            <w:pPr>
              <w:spacing w:after="0" w:line="189"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Item 4.</w:t>
              </w:r>
            </w:hyperlink>
          </w:p>
        </w:tc>
        <w:tc>
          <w:tcPr>
            <w:tcW w:w="40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7"/>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Mine Safety Disclosures</w:t>
              </w:r>
            </w:hyperlink>
          </w:p>
        </w:tc>
        <w:tc>
          <w:tcPr>
            <w:tcW w:w="2120" w:type="dxa"/>
            <w:vAlign w:val="bottom"/>
            <w:gridSpan w:val="2"/>
          </w:tcPr>
          <w:p>
            <w:pPr>
              <w:spacing w:after="0"/>
              <w:rPr>
                <w:sz w:val="16"/>
                <w:szCs w:val="16"/>
                <w:color w:val="auto"/>
              </w:rPr>
            </w:pPr>
          </w:p>
        </w:tc>
        <w:tc>
          <w:tcPr>
            <w:tcW w:w="5400" w:type="dxa"/>
            <w:vAlign w:val="bottom"/>
          </w:tcPr>
          <w:p>
            <w:pPr>
              <w:spacing w:after="0"/>
              <w:rPr>
                <w:sz w:val="16"/>
                <w:szCs w:val="16"/>
                <w:color w:val="auto"/>
              </w:rPr>
            </w:pPr>
          </w:p>
        </w:tc>
        <w:tc>
          <w:tcPr>
            <w:tcW w:w="380" w:type="dxa"/>
            <w:vAlign w:val="bottom"/>
            <w:gridSpan w:val="2"/>
          </w:tcPr>
          <w:p>
            <w:pPr>
              <w:jc w:val="right"/>
              <w:ind w:right="200"/>
              <w:spacing w:after="0" w:line="189" w:lineRule="exact"/>
              <w:rPr>
                <w:rFonts w:ascii="Arial" w:cs="Arial" w:eastAsia="Arial" w:hAnsi="Arial"/>
                <w:sz w:val="18"/>
                <w:szCs w:val="18"/>
                <w:color w:val="0000FF"/>
                <w:w w:val="79"/>
              </w:rPr>
            </w:pPr>
            <w:hyperlink w:anchor="page84">
              <w:r>
                <w:rPr>
                  <w:rFonts w:ascii="Arial" w:cs="Arial" w:eastAsia="Arial" w:hAnsi="Arial"/>
                  <w:sz w:val="18"/>
                  <w:szCs w:val="18"/>
                  <w:color w:val="0000FF"/>
                  <w:w w:val="79"/>
                </w:rPr>
                <w:t>84</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6"/>
            <w:shd w:val="clear" w:color="auto" w:fill="CCEEFF"/>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Item 5</w:t>
              </w:r>
            </w:hyperlink>
            <w:r>
              <w:rPr>
                <w:rFonts w:ascii="Arial" w:cs="Arial" w:eastAsia="Arial" w:hAnsi="Arial"/>
                <w:sz w:val="18"/>
                <w:szCs w:val="18"/>
                <w:color w:val="000000"/>
              </w:rPr>
              <w:t>.</w:t>
            </w:r>
          </w:p>
        </w:tc>
        <w:tc>
          <w:tcPr>
            <w:tcW w:w="4520" w:type="dxa"/>
            <w:vAlign w:val="bottom"/>
            <w:gridSpan w:val="10"/>
            <w:shd w:val="clear" w:color="auto" w:fill="CCEEFF"/>
          </w:tcPr>
          <w:p>
            <w:pPr>
              <w:ind w:left="8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5780" w:type="dxa"/>
            <w:vAlign w:val="bottom"/>
            <w:gridSpan w:val="3"/>
            <w:shd w:val="clear" w:color="auto" w:fill="CCEEFF"/>
          </w:tcPr>
          <w:p>
            <w:pPr>
              <w:jc w:val="right"/>
              <w:ind w:right="20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gridSpan w:val="6"/>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Item 6.</w:t>
              </w:r>
            </w:hyperlink>
          </w:p>
        </w:tc>
        <w:tc>
          <w:tcPr>
            <w:tcW w:w="4520" w:type="dxa"/>
            <w:vAlign w:val="bottom"/>
            <w:gridSpan w:val="10"/>
          </w:tcPr>
          <w:p>
            <w:pPr>
              <w:ind w:left="8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Exhibits</w:t>
              </w:r>
            </w:hyperlink>
          </w:p>
        </w:tc>
        <w:tc>
          <w:tcPr>
            <w:tcW w:w="5780" w:type="dxa"/>
            <w:vAlign w:val="bottom"/>
            <w:gridSpan w:val="3"/>
          </w:tcPr>
          <w:p>
            <w:pPr>
              <w:jc w:val="right"/>
              <w:ind w:right="20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85</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89"/>
        </w:trPr>
        <w:tc>
          <w:tcPr>
            <w:tcW w:w="940" w:type="dxa"/>
            <w:vAlign w:val="bottom"/>
            <w:gridSpan w:val="7"/>
          </w:tcPr>
          <w:p>
            <w:pPr>
              <w:ind w:left="20"/>
              <w:spacing w:after="0" w:line="189" w:lineRule="exact"/>
              <w:rPr>
                <w:rFonts w:ascii="Arial" w:cs="Arial" w:eastAsia="Arial" w:hAnsi="Arial"/>
                <w:sz w:val="18"/>
                <w:szCs w:val="18"/>
                <w:b w:val="1"/>
                <w:bCs w:val="1"/>
                <w:color w:val="0000FF"/>
                <w:w w:val="96"/>
              </w:rPr>
            </w:pPr>
            <w:hyperlink w:anchor="page85">
              <w:r>
                <w:rPr>
                  <w:rFonts w:ascii="Arial" w:cs="Arial" w:eastAsia="Arial" w:hAnsi="Arial"/>
                  <w:sz w:val="18"/>
                  <w:szCs w:val="18"/>
                  <w:b w:val="1"/>
                  <w:bCs w:val="1"/>
                  <w:color w:val="0000FF"/>
                  <w:w w:val="96"/>
                </w:rPr>
                <w:t>Signatures</w:t>
              </w:r>
            </w:hyperlink>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gridSpan w:val="3"/>
          </w:tcPr>
          <w:p>
            <w:pPr>
              <w:jc w:val="right"/>
              <w:ind w:right="200"/>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86</w:t>
              </w:r>
            </w:hyperlink>
          </w:p>
        </w:tc>
      </w:tr>
      <w:tr>
        <w:trPr>
          <w:trHeight w:val="923"/>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tcPr>
          <w:p>
            <w:pPr>
              <w:jc w:val="right"/>
              <w:ind w:right="511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1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line="238" w:lineRule="auto"/>
        <w:rPr>
          <w:sz w:val="20"/>
          <w:szCs w:val="20"/>
          <w:color w:val="auto"/>
        </w:rPr>
      </w:pPr>
      <w:r>
        <w:rPr>
          <w:rFonts w:ascii="Arial" w:cs="Arial" w:eastAsia="Arial" w:hAnsi="Arial"/>
          <w:sz w:val="20"/>
          <w:szCs w:val="20"/>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December 31, 2020</w:t>
            </w:r>
          </w:p>
        </w:tc>
        <w:tc>
          <w:tcPr>
            <w:tcW w:w="0" w:type="dxa"/>
            <w:vAlign w:val="bottom"/>
          </w:tcPr>
          <w:p>
            <w:pPr>
              <w:spacing w:after="0"/>
              <w:rPr>
                <w:sz w:val="1"/>
                <w:szCs w:val="1"/>
                <w:color w:val="auto"/>
              </w:rPr>
            </w:pP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13,124,209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0" w:type="dxa"/>
            <w:vAlign w:val="bottom"/>
          </w:tcPr>
          <w:p>
            <w:pPr>
              <w:spacing w:after="0"/>
              <w:rPr>
                <w:sz w:val="1"/>
                <w:szCs w:val="1"/>
                <w:color w:val="auto"/>
              </w:rPr>
            </w:pPr>
          </w:p>
        </w:tc>
      </w:tr>
      <w:tr>
        <w:trPr>
          <w:trHeight w:val="229"/>
        </w:trPr>
        <w:tc>
          <w:tcPr>
            <w:tcW w:w="716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2,640,399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2,618,562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0" w:type="dxa"/>
            <w:vAlign w:val="bottom"/>
          </w:tcPr>
          <w:p>
            <w:pPr>
              <w:spacing w:after="0"/>
              <w:rPr>
                <w:sz w:val="1"/>
                <w:szCs w:val="1"/>
                <w:color w:val="auto"/>
              </w:rPr>
            </w:pPr>
          </w:p>
        </w:tc>
      </w:tr>
      <w:tr>
        <w:trPr>
          <w:trHeight w:val="229"/>
        </w:trPr>
        <w:tc>
          <w:tcPr>
            <w:tcW w:w="7160" w:type="dxa"/>
            <w:vAlign w:val="bottom"/>
          </w:tcPr>
          <w:p>
            <w:pPr>
              <w:ind w:left="46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153,576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158,190</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315,993</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19,973</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437,209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386,530</w:t>
            </w:r>
          </w:p>
        </w:tc>
        <w:tc>
          <w:tcPr>
            <w:tcW w:w="0" w:type="dxa"/>
            <w:vAlign w:val="bottom"/>
          </w:tcPr>
          <w:p>
            <w:pPr>
              <w:spacing w:after="0"/>
              <w:rPr>
                <w:sz w:val="1"/>
                <w:szCs w:val="1"/>
                <w:color w:val="auto"/>
              </w:rPr>
            </w:pPr>
          </w:p>
        </w:tc>
      </w:tr>
      <w:tr>
        <w:trPr>
          <w:trHeight w:val="222"/>
        </w:trPr>
        <w:tc>
          <w:tcPr>
            <w:tcW w:w="716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17,548,804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17,063,613</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Debt,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4,692,032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6,765,532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46,422</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Deferred financing liability</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73,600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93,659</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226,300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176,992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382,547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413,663</w:t>
            </w:r>
          </w:p>
        </w:tc>
        <w:tc>
          <w:tcPr>
            <w:tcW w:w="0" w:type="dxa"/>
            <w:vAlign w:val="bottom"/>
          </w:tcPr>
          <w:p>
            <w:pPr>
              <w:spacing w:after="0"/>
              <w:rPr>
                <w:sz w:val="1"/>
                <w:szCs w:val="1"/>
                <w:color w:val="auto"/>
              </w:rPr>
            </w:pPr>
          </w:p>
        </w:tc>
      </w:tr>
      <w:tr>
        <w:trPr>
          <w:trHeight w:val="222"/>
        </w:trPr>
        <w:tc>
          <w:tcPr>
            <w:tcW w:w="7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5,420,018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7,569,868</w:t>
            </w:r>
          </w:p>
        </w:tc>
        <w:tc>
          <w:tcPr>
            <w:tcW w:w="0" w:type="dxa"/>
            <w:vAlign w:val="bottom"/>
          </w:tcPr>
          <w:p>
            <w:pPr>
              <w:spacing w:after="0"/>
              <w:rPr>
                <w:sz w:val="1"/>
                <w:szCs w:val="1"/>
                <w:color w:val="auto"/>
              </w:rPr>
            </w:pPr>
          </w:p>
        </w:tc>
      </w:tr>
      <w:tr>
        <w:trPr>
          <w:trHeight w:val="195"/>
        </w:trPr>
        <w:tc>
          <w:tcPr>
            <w:tcW w:w="7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Common stock, $0.01 par value, 1,350,000,000 and 700,000,000 shares authorized and</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628,944,887 and 536,669,722 shares issued and outstanding at September 30, 2021 and</w:t>
            </w:r>
          </w:p>
        </w:tc>
        <w:tc>
          <w:tcPr>
            <w:tcW w:w="2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2020, respectively</w:t>
            </w:r>
          </w:p>
        </w:tc>
        <w:tc>
          <w:tcPr>
            <w:tcW w:w="22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60" w:type="dxa"/>
            <w:vAlign w:val="bottom"/>
          </w:tcPr>
          <w:p>
            <w:pPr>
              <w:ind w:left="220"/>
              <w:spacing w:after="0" w:line="176" w:lineRule="exact"/>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20" w:type="dxa"/>
            <w:vAlign w:val="bottom"/>
          </w:tcPr>
          <w:p>
            <w:pPr>
              <w:spacing w:after="0"/>
              <w:rPr>
                <w:sz w:val="15"/>
                <w:szCs w:val="15"/>
                <w:color w:val="auto"/>
              </w:rPr>
            </w:pPr>
          </w:p>
        </w:tc>
        <w:tc>
          <w:tcPr>
            <w:tcW w:w="1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September 30, 2021 and December 31, 2020</w:t>
            </w:r>
          </w:p>
        </w:tc>
        <w:tc>
          <w:tcPr>
            <w:tcW w:w="22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11,752,852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9,363,539</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(92,521)</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290,966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139,454</w:t>
            </w:r>
          </w:p>
        </w:tc>
        <w:tc>
          <w:tcPr>
            <w:tcW w:w="0" w:type="dxa"/>
            <w:vAlign w:val="bottom"/>
          </w:tcPr>
          <w:p>
            <w:pPr>
              <w:spacing w:after="0"/>
              <w:rPr>
                <w:sz w:val="1"/>
                <w:szCs w:val="1"/>
                <w:color w:val="auto"/>
              </w:rPr>
            </w:pPr>
          </w:p>
        </w:tc>
      </w:tr>
      <w:tr>
        <w:trPr>
          <w:trHeight w:val="222"/>
        </w:trPr>
        <w:tc>
          <w:tcPr>
            <w:tcW w:w="7160" w:type="dxa"/>
            <w:vAlign w:val="bottom"/>
          </w:tcPr>
          <w:p>
            <w:pPr>
              <w:ind w:left="520"/>
              <w:spacing w:after="0"/>
              <w:rPr>
                <w:sz w:val="20"/>
                <w:szCs w:val="20"/>
                <w:color w:val="auto"/>
              </w:rPr>
            </w:pPr>
            <w:r>
              <w:rPr>
                <w:rFonts w:ascii="Arial" w:cs="Arial" w:eastAsia="Arial" w:hAnsi="Arial"/>
                <w:sz w:val="18"/>
                <w:szCs w:val="18"/>
                <w:color w:val="auto"/>
              </w:rPr>
              <w:t>Total VICI stockholders’ equity</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12,050,107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9,415,839</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77,906</w:t>
            </w:r>
          </w:p>
        </w:tc>
        <w:tc>
          <w:tcPr>
            <w:tcW w:w="0" w:type="dxa"/>
            <w:vAlign w:val="bottom"/>
          </w:tcPr>
          <w:p>
            <w:pPr>
              <w:spacing w:after="0"/>
              <w:rPr>
                <w:sz w:val="1"/>
                <w:szCs w:val="1"/>
                <w:color w:val="auto"/>
              </w:rPr>
            </w:pPr>
          </w:p>
        </w:tc>
      </w:tr>
      <w:tr>
        <w:trPr>
          <w:trHeight w:val="222"/>
        </w:trPr>
        <w:tc>
          <w:tcPr>
            <w:tcW w:w="7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12,128,786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9,493,745</w:t>
            </w:r>
          </w:p>
        </w:tc>
        <w:tc>
          <w:tcPr>
            <w:tcW w:w="0" w:type="dxa"/>
            <w:vAlign w:val="bottom"/>
          </w:tcPr>
          <w:p>
            <w:pPr>
              <w:spacing w:after="0"/>
              <w:rPr>
                <w:sz w:val="1"/>
                <w:szCs w:val="1"/>
                <w:color w:val="auto"/>
              </w:rPr>
            </w:pPr>
          </w:p>
        </w:tc>
      </w:tr>
      <w:tr>
        <w:trPr>
          <w:trHeight w:val="247"/>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17,548,804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17,063,613</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6"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September 30, 2021 and December 31, 2020, our Investments in leases - sales-type, Investments in leases - financing receivables, Investments in loans and Other assets (sales-type sub-leases) are net of $432.6 million, $88.6 million, $0.4 million and $6.5 million, respectively, and $454.2 million, $91.0 million, $1.8 million and $6.9 million of Allowance for credit losses, respectively. Refer to </w:t>
      </w:r>
      <w:hyperlink w:anchor="page34">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6"/>
                <w:szCs w:val="16"/>
                <w:color w:val="auto"/>
              </w:rPr>
            </w:pPr>
          </w:p>
        </w:tc>
        <w:tc>
          <w:tcPr>
            <w:tcW w:w="262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80" w:type="dxa"/>
            <w:vAlign w:val="bottom"/>
          </w:tcPr>
          <w:p>
            <w:pPr>
              <w:spacing w:after="0"/>
              <w:rPr>
                <w:sz w:val="18"/>
                <w:szCs w:val="18"/>
                <w:color w:val="auto"/>
              </w:rPr>
            </w:pPr>
          </w:p>
        </w:tc>
        <w:tc>
          <w:tcPr>
            <w:tcW w:w="2620" w:type="dxa"/>
            <w:vAlign w:val="bottom"/>
            <w:gridSpan w:val="4"/>
          </w:tcPr>
          <w:p>
            <w:pPr>
              <w:jc w:val="right"/>
              <w:ind w:right="871"/>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12"/>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sales-type and direct financing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292,059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270,274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873,337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718,421</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operating leases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82,696</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r>
      <w:tr>
        <w:trPr>
          <w:trHeight w:val="22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Golf revenues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r>
      <w:tr>
        <w:trPr>
          <w:trHeight w:val="222"/>
        </w:trPr>
        <w:tc>
          <w:tcPr>
            <w:tcW w:w="5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375,704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339,653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852,556</w:t>
            </w:r>
          </w:p>
        </w:tc>
      </w:tr>
      <w:tr>
        <w:trPr>
          <w:trHeight w:val="236"/>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22,560</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8,702</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177,052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261,080</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r>
      <w:tr>
        <w:trPr>
          <w:trHeight w:val="222"/>
        </w:trPr>
        <w:tc>
          <w:tcPr>
            <w:tcW w:w="53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199,970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316,216</w:t>
            </w:r>
          </w:p>
        </w:tc>
      </w:tr>
      <w:tr>
        <w:trPr>
          <w:trHeight w:val="236"/>
        </w:trPr>
        <w:tc>
          <w:tcPr>
            <w:tcW w:w="5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(321,953)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(231,185)</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(39,059)</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upon lease modification</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164,572</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395,850</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741,488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606,191</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164,184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396,218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605,796</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161,862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603,664</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56"/>
        </w:trPr>
        <w:tc>
          <w:tcPr>
            <w:tcW w:w="5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2"/>
              </w:rPr>
              <w:t>Weighted average number of shares of common stock outstanding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555,153,692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533,407,916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542,843,855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496,002,850</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571,894,545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536,180,175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557,113,510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499,982,269</w:t>
            </w:r>
          </w:p>
        </w:tc>
      </w:tr>
      <w:tr>
        <w:trPr>
          <w:trHeight w:val="256"/>
        </w:trPr>
        <w:tc>
          <w:tcPr>
            <w:tcW w:w="5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603,664</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(39,180)</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Reclassification of realized loss on cash flow hedges to net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232,677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411,281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824,893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564,484</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06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7,817,582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7,965,183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8,048,989</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Cumulative effect of adoption of ASC 326</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(309,362)</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199,877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199,877</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line="165" w:lineRule="exact"/>
              <w:rPr>
                <w:sz w:val="20"/>
                <w:szCs w:val="20"/>
                <w:color w:val="auto"/>
              </w:rPr>
            </w:pPr>
            <w:r>
              <w:rPr>
                <w:rFonts w:ascii="Arial" w:cs="Arial" w:eastAsia="Arial" w:hAnsi="Arial"/>
                <w:sz w:val="16"/>
                <w:szCs w:val="16"/>
                <w:color w:val="auto"/>
                <w:w w:val="98"/>
              </w:rPr>
              <w:t>Dividends declared ($0.2975 per common</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Unrealized loss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(53,138)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(53,138)</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8,018,568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7,642,568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7,724,031</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229,402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229,402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231,643</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1,275,974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1,276,624</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Distribution to non-controlling interest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8"/>
              </w:rPr>
              <w:t>Dividends declared ($0.2975 per common</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06"/>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5,337</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9,296,511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(117,265)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(191,835)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8,992,748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81,663</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9,074,411</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396,218</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63,032</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to non-controlling interest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line="165" w:lineRule="exact"/>
              <w:rPr>
                <w:sz w:val="20"/>
                <w:szCs w:val="20"/>
                <w:color w:val="auto"/>
              </w:rPr>
            </w:pPr>
            <w:r>
              <w:rPr>
                <w:rFonts w:ascii="Arial" w:cs="Arial" w:eastAsia="Arial" w:hAnsi="Arial"/>
                <w:sz w:val="16"/>
                <w:szCs w:val="16"/>
                <w:color w:val="auto"/>
                <w:w w:val="98"/>
              </w:rPr>
              <w:t>Dividends declared ($0.3300 per common</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(177,101)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(177,101)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(177,101)</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13,007</w:t>
            </w:r>
          </w:p>
        </w:tc>
        <w:tc>
          <w:tcPr>
            <w:tcW w:w="0" w:type="dxa"/>
            <w:vAlign w:val="bottom"/>
          </w:tcPr>
          <w:p>
            <w:pPr>
              <w:spacing w:after="0"/>
              <w:rPr>
                <w:sz w:val="1"/>
                <w:szCs w:val="1"/>
                <w:color w:val="auto"/>
              </w:rPr>
            </w:pPr>
          </w:p>
        </w:tc>
      </w:tr>
      <w:tr>
        <w:trPr>
          <w:trHeight w:val="237"/>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9,361,526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9,291,973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9,369,539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CONSOLIDATED STATEMENTS OF STOCKHOLDERS’ EQUITY (Continued)</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 Paid-</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06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9,363,539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9,415,839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9,493,745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269,801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272,099</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line="165" w:lineRule="exact"/>
              <w:rPr>
                <w:sz w:val="20"/>
                <w:szCs w:val="20"/>
                <w:color w:val="auto"/>
              </w:rPr>
            </w:pPr>
            <w:r>
              <w:rPr>
                <w:rFonts w:ascii="Arial" w:cs="Arial" w:eastAsia="Arial" w:hAnsi="Arial"/>
                <w:sz w:val="16"/>
                <w:szCs w:val="16"/>
                <w:color w:val="auto"/>
                <w:w w:val="98"/>
              </w:rPr>
              <w:t>Dividends declared ($0.3300 per common</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9,364,294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9,521,559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9,599,692</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300,709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300,709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303,077</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line="165" w:lineRule="exact"/>
              <w:rPr>
                <w:sz w:val="20"/>
                <w:szCs w:val="20"/>
                <w:color w:val="auto"/>
              </w:rPr>
            </w:pPr>
            <w:r>
              <w:rPr>
                <w:rFonts w:ascii="Arial" w:cs="Arial" w:eastAsia="Arial" w:hAnsi="Arial"/>
                <w:sz w:val="16"/>
                <w:szCs w:val="16"/>
                <w:color w:val="auto"/>
                <w:w w:val="98"/>
              </w:rPr>
              <w:t>Dividends declared ($0.3300 per common</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(177,223)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(177,223)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(177,223)</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9,366,561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9,656,640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9,735,069</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161,862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161,862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164,184</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2,384,815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8"/>
              </w:rPr>
              <w:t>Dividends declared ($0.3600 per common</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(226,420)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(226,420)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(226,420)</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line="165" w:lineRule="exact"/>
              <w:rPr>
                <w:sz w:val="20"/>
                <w:szCs w:val="20"/>
                <w:color w:val="auto"/>
              </w:rPr>
            </w:pPr>
            <w:r>
              <w:rPr>
                <w:rFonts w:ascii="Arial" w:cs="Arial" w:eastAsia="Arial" w:hAnsi="Arial"/>
                <w:sz w:val="16"/>
                <w:szCs w:val="16"/>
                <w:color w:val="auto"/>
                <w:w w:val="93"/>
              </w:rPr>
              <w:t>Reclassification of realized loss on cash flow</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64,239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64,239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64,239</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hedges to net income</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11,752,852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12,050,107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12,128,786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60" w:type="dxa"/>
            <w:vAlign w:val="bottom"/>
            <w:gridSpan w:val="5"/>
          </w:tcPr>
          <w:p>
            <w:pPr>
              <w:ind w:left="380"/>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0" w:type="dxa"/>
            <w:vAlign w:val="bottom"/>
          </w:tcPr>
          <w:p>
            <w:pPr>
              <w:spacing w:after="0"/>
              <w:rPr>
                <w:sz w:val="18"/>
                <w:szCs w:val="18"/>
                <w:color w:val="auto"/>
              </w:rPr>
            </w:pPr>
          </w:p>
        </w:tc>
        <w:tc>
          <w:tcPr>
            <w:tcW w:w="70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739,360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605,796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Non-cash leasing and financing adjustments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(89,714)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(13,322)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2,990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debt issuance costs and original issue discount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(24,453)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261,080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Gain upon lease modification</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(333,352)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2,694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(93,198)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(70,031)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610,924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539,521</w:t>
            </w:r>
          </w:p>
        </w:tc>
        <w:tc>
          <w:tcPr>
            <w:tcW w:w="20" w:type="dxa"/>
            <w:vAlign w:val="bottom"/>
          </w:tcPr>
          <w:p>
            <w:pPr>
              <w:spacing w:after="0"/>
              <w:rPr>
                <w:sz w:val="19"/>
                <w:szCs w:val="19"/>
                <w:color w:val="auto"/>
              </w:rPr>
            </w:pPr>
          </w:p>
        </w:tc>
      </w:tr>
      <w:tr>
        <w:trPr>
          <w:trHeight w:val="182"/>
        </w:trPr>
        <w:tc>
          <w:tcPr>
            <w:tcW w:w="40" w:type="dxa"/>
            <w:vAlign w:val="bottom"/>
          </w:tcPr>
          <w:p>
            <w:pPr>
              <w:spacing w:after="0"/>
              <w:rPr>
                <w:sz w:val="15"/>
                <w:szCs w:val="15"/>
                <w:color w:val="auto"/>
              </w:rPr>
            </w:pPr>
          </w:p>
        </w:tc>
        <w:tc>
          <w:tcPr>
            <w:tcW w:w="7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sales-type and direct financing</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(1,407,260)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(2,682,443)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loans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(535,406)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loans and receipts of deferred fees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Capitalized transaction costs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short-term investments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Maturities of short-term investments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59,474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real estate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of property and equipment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(4,556,349)</w:t>
            </w:r>
          </w:p>
        </w:tc>
        <w:tc>
          <w:tcPr>
            <w:tcW w:w="20" w:type="dxa"/>
            <w:vAlign w:val="bottom"/>
          </w:tcPr>
          <w:p>
            <w:pPr>
              <w:spacing w:after="0"/>
              <w:rPr>
                <w:sz w:val="19"/>
                <w:szCs w:val="19"/>
                <w:color w:val="auto"/>
              </w:rPr>
            </w:pPr>
          </w:p>
        </w:tc>
      </w:tr>
      <w:tr>
        <w:trPr>
          <w:trHeight w:val="182"/>
        </w:trPr>
        <w:tc>
          <w:tcPr>
            <w:tcW w:w="4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offering of common stock, net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2,386,129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1,539,748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February 2020 Senior Unsecured Notes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Repayment of Term Loan B Facility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(2,100,000)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 of Second Lien Notes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(537,538)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CPLV CMBS Debt prepayment penalty reimbursement</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55,401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stock for tax withholding</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(23,166)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(57,789)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paid</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(532,360)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(435,180)</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provided by financing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(277,259)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3,058,992</w:t>
            </w:r>
          </w:p>
        </w:tc>
        <w:tc>
          <w:tcPr>
            <w:tcW w:w="20" w:type="dxa"/>
            <w:vAlign w:val="bottom"/>
          </w:tcPr>
          <w:p>
            <w:pPr>
              <w:spacing w:after="0"/>
              <w:rPr>
                <w:sz w:val="19"/>
                <w:szCs w:val="19"/>
                <w:color w:val="auto"/>
              </w:rPr>
            </w:pPr>
          </w:p>
        </w:tc>
      </w:tr>
      <w:tr>
        <w:trPr>
          <w:trHeight w:val="936"/>
        </w:trPr>
        <w:tc>
          <w:tcPr>
            <w:tcW w:w="7100" w:type="dxa"/>
            <w:vAlign w:val="bottom"/>
            <w:gridSpan w:val="2"/>
          </w:tcPr>
          <w:p>
            <w:pPr>
              <w:jc w:val="right"/>
              <w:ind w:right="135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70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line="238" w:lineRule="auto"/>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(957,836)</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c>
          <w:tcPr>
            <w:tcW w:w="0" w:type="dxa"/>
            <w:vAlign w:val="bottom"/>
          </w:tcPr>
          <w:p>
            <w:pPr>
              <w:spacing w:after="0"/>
              <w:rPr>
                <w:sz w:val="1"/>
                <w:szCs w:val="1"/>
                <w:color w:val="auto"/>
              </w:rPr>
            </w:pPr>
          </w:p>
        </w:tc>
      </w:tr>
      <w:tr>
        <w:trPr>
          <w:trHeight w:val="24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669,514</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272,574</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188,728</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 not paid</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177,101</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50,716</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Equity issuance costs payable</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282,054</w:t>
            </w: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Transfer of Investments in leases - operating to Investments in leases - sales-type due to</w:t>
            </w: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1,086,658</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modification of the Caesars Lease Agreements in connection with the Eldorado Transaction</w:t>
            </w:r>
          </w:p>
        </w:tc>
        <w:tc>
          <w:tcPr>
            <w:tcW w:w="7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60" w:type="dxa"/>
            <w:vAlign w:val="bottom"/>
          </w:tcPr>
          <w:p>
            <w:pPr>
              <w:ind w:left="220"/>
              <w:spacing w:after="0" w:line="176" w:lineRule="exact"/>
              <w:rPr>
                <w:sz w:val="20"/>
                <w:szCs w:val="20"/>
                <w:color w:val="auto"/>
              </w:rPr>
            </w:pPr>
            <w:r>
              <w:rPr>
                <w:rFonts w:ascii="Arial" w:cs="Arial" w:eastAsia="Arial" w:hAnsi="Arial"/>
                <w:sz w:val="18"/>
                <w:szCs w:val="18"/>
                <w:color w:val="auto"/>
                <w:w w:val="90"/>
              </w:rPr>
              <w:t>Transfer of Investments in leases - operating to Land due to modification of the Caesars Lease</w:t>
            </w:r>
          </w:p>
        </w:tc>
        <w:tc>
          <w:tcPr>
            <w:tcW w:w="740" w:type="dxa"/>
            <w:vAlign w:val="bottom"/>
            <w:vMerge w:val="restart"/>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63,479</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Agreements in connection with the Eldorado Transaction</w:t>
            </w:r>
          </w:p>
        </w:tc>
        <w:tc>
          <w:tcPr>
            <w:tcW w:w="7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Increase in Investments in leases - sales-type due to Gain upon lease modification in</w:t>
            </w: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connection with the Eldorado Transaction</w:t>
            </w:r>
          </w:p>
        </w:tc>
        <w:tc>
          <w:tcPr>
            <w:tcW w:w="7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“BREIT JV” refers to the joint venture with Blackstone Real Estate Income Trust, Inc. in which the Company will retain MGP’s existing 50.1% ownership stake.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“Caesars” refers to Caesars Entertainment, Inc., a Delaware corporation, formerly Eldorado, following the consummation of the Eldorado/Caesars Merger on July 20, 2020 and Eldorado’s conversion to a Delaware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Forum Convention Center” refers to the Caesars Forum Convention Center in Las Vegas, Nevada, and the approximately 28 acres of land upon which the Caesars Forum Convention Center is built and/or otherwise used in connection with or necessary for the operation of the Caesars Forum Convention Center.</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“Caesars Lease Agreements” refer collectively to (i) prior to the consummation of the Eldorado Transaction, the CPLV Lease Agreement, the Non-CPLV Lease Agreement, the Joliet Lease Agreement and the HLV Lease Agreement, and (ii) from and after the consummation of the Eldorado Transaction, the Las Vegas Master Lease Agreement, the Regional Master Lease Agreement and the Joliet Lease Agreement, in each case, unless the context otherwise requires.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Southern Indiana” refers to the real estate assets associated with the Caesars Southern Indiana Casino and Hotel, located in Elizabeth, Indiana, the operations of which were purchased by EBCI from Caesars on September 3, 2021, and which retained the Caesars brand name in accordance with the terms of a licensing agreement negotiated between EBCI and Caesars.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 and co-issuer of the Senior Unsecured Notes.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was combined with the HLV Lease Agreement into the Las Vegas Master Lease Agreement upon the consummation of the Eldorado Transaction.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“EBCI” refers to the Eastern Band of Cherokee Indians, a federally recognized Tribe located in western North Carolina, and, as the context requires, its subsidiary and affiliate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“EBCI Lease Agreement” refers to the lease agreement for Caesars Southern Indiana, as amended from time to time.</w:t>
      </w:r>
    </w:p>
    <w:p>
      <w:pPr>
        <w:spacing w:after="0" w:line="224"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i w:val="1"/>
          <w:iCs w:val="1"/>
          <w:color w:val="auto"/>
        </w:rPr>
        <w:t>“Eldorado” refers to Eldorado Resorts, Inc., a Nevada corporation, and, as the context requires, its subsidiaries. Following the consummation of the Eldorado/Caesars Merger on July 20, 2020, Eldorado converted to a Delaware corporation and changed its name to Caesars Entertainment, Inc.</w:t>
      </w:r>
    </w:p>
    <w:p>
      <w:pPr>
        <w:spacing w:after="0" w:line="9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i w:val="1"/>
          <w:iCs w:val="1"/>
          <w:color w:val="auto"/>
        </w:rPr>
        <w:t>“Eldorado Master Transaction Agreement” or “Eldorado MTA” refers to the Master Transaction Agreement dated June 24, 2019 with Eldorado relating to the Eldorado Transaction. The Eldorado MTA was previously referred to as the “Master Transaction Agreement” or “MTA”.</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Original Call Properties, modifications to the Caesars Lease Agreements, and rights of first refusal.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“Eldorado/Caesars Merger” refers to the merger consummated on July 20, 2020 under an Agreement and Plan of Merger pursuant to which a subsidiary of Eldorado merged with and into Pre-Merger Caesars, with Pre-Merger Caesars surviving as a wholly owned subsidiary of Caesars (which changed its name from Eldorado in connection with the closing of the Eldorado/Caesars Merger).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“Harrah’s Original Call Properties” refers to the land and real estate assets associated with Harrah’s New Orleans, Harrah’s Laughlin and Harrah’s Atlantic City, which we purchased in July 2020 upon the consummation of the Eldorado Transaction. The Harrah’s Original Call Properties were previously referred to as the “MTA Properties”.</w:t>
      </w:r>
    </w:p>
    <w:p>
      <w:pPr>
        <w:spacing w:after="0" w:line="1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i w:val="1"/>
          <w:iCs w:val="1"/>
          <w:color w:val="auto"/>
        </w:rPr>
        <w:t>“HLV Lease Agreement” refers to the lease agreement for the Harrah’s Las Vegas facilities, as amended from time to time, which was combined with the CPLV Lease Agreement into the Las Vegas Master Lease Agreement upon the consummation of the Eldorado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facility in Joliet, Illinois,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“Las Vegas Master Lease Agreement” refers to the lease agreement for Caesars Palace Las Vegas and the Harrah’s Las Vegas facilities, as amended from time to time, from and after the consummation of the Eldorado Transaction.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“Lease Agreements” refer collectively to the Caesars Lease Agreements, the Penn National Lease Agreements, the Hard Rock Cincinnati Lease Agreement, the Century Portfolio Lease Agreement, the JACK Cleveland/Thistledown Lease Agreement and the EBCI Lease Agreement, unless the context otherwise requires.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refers to MGM Resorts International, a Delaware corporation, and, as the context requires, its subsidiaries.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“MGM Master Lease Agreement” refers to the form of amended and restated triple-net master lease to be entered into by us and MGM with respect to certain MGM properties that will be owned by us upon consummation of the MGP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refers to MGM Growth Properties LLC, a Delaware limited liability company, and, as the context requires, its subsidiaries.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“MGP Master Transaction Agreement” refers to a Master Transaction Agreement between the Company, MGP, MGP OP, the Operating Partnership, Venus Sub LLC, a Delaware limited liability company and wholly owned subsidiary of the Operating Partnership (“REIT Merger Sub”), VICI Properties OP LLC, a Delaware limited liability company and indirect wholly owned subsidiary of the Company (“New VICI Operating Company”), and MGM entered into on August 4, 2021.</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“MGP OP” refers to MGM Growth Properties Operating Partnership LP, a Delaware limited partnership, and, as the context requires, its subsidiaries.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“MGP OP Notes” refers collectively to the notes issued by MGP OP and MGP Finance Co-Issuer, Inc. (the “MGP Co-Issuer” and, together with MGP OP, the “MGP Issuers”), consisting of (i) the 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the indenture, dated as of November 19, 2020, in each case, as amended or supplemented as of the date hereof, among the MGP Issuers, the subsidiary guarantors party thereto (the “MGP Subsidiary Guarantors”) and U.S. Bank National Association, as trustee (the “MGP Trustee”).</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“MGP Transactions” refers to a series of transactions pursuant to the MGP Master Transaction Agreement between us, MGP and MGM and the other parties thereto in connection with our acquisition of MGP, as contemplated by the MGP Master Transaction Agreement, including the MGM Tax Protection Agreement (as defined below) and the MGM Master Lease Agreement to be entered into between us and MGM upon consummation of the MGP Transactions.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“Non-CPLV Lease Agreement” refers to the lease agreement for regional properties (other than the facility in Joliet, Illinois) leased to Pre-Merger Caesars prior to the consummation of the Eldorado Transaction, as amended from time to time, which was replaced by the Regional Master Lease Agreement upon the consummation of the Eldorado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306" w:lineRule="auto"/>
        <w:rPr>
          <w:sz w:val="20"/>
          <w:szCs w:val="20"/>
          <w:color w:val="auto"/>
        </w:rPr>
      </w:pPr>
      <w:r>
        <w:rPr>
          <w:rFonts w:ascii="Arial" w:cs="Arial" w:eastAsia="Arial" w:hAnsi="Arial"/>
          <w:sz w:val="17"/>
          <w:szCs w:val="17"/>
          <w:i w:val="1"/>
          <w:iCs w:val="1"/>
          <w:color w:val="auto"/>
        </w:rPr>
        <w:t>“Pre-Merger Caesars” refers to Caesars Entertainment Corporation, a Delaware corporation, and, as the context requires, its subsidiaries. Following the consummation of the Eldorado/Caesars Merger on July 20, 2020, Pre-Merger Caesars became a wholly owned subsidiary of Caesars.</w:t>
      </w:r>
    </w:p>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i w:val="1"/>
          <w:iCs w:val="1"/>
          <w:color w:val="auto"/>
        </w:rPr>
        <w:t>“Regional Master Lease Agreement” refers to the lease agreement for the regional properties (other than the facility in Joliet, Illinois) leased to Caesars, as amended from time to time, from and after the consummation of the Eldorado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 which was repaid in full on September 15,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Issuers” refers to VICI Properties L.P., a Delaware limited partnership and VICI Note Co. Inc., a Delaware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Maryland corporation that is primarily engaged in the business of owning and acquiring gaming, hospitality and entertainment destinations, subject to long-term triple-net leases. As of September 30, 2021, our national, geographically diverse real estate portfolio consisted of 28 market-leading properties, including Caesars Palace Las Vegas and Harrah’s Las Vegas. Our properties are leased to, and our tenants are, subsidiaries of Caesars, Penn National, Hard Rock, Century Casinos, JACK Entertainment and EBCI. We also own and operate four championship golf courses located near certain of our properties.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state governments and/or regulatory authorities issuing various directives, mandates, orders or similar actions, which resulted in temporary closures of our tenants’ operations at all of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state and local governments and/or regulatory authorities. While our tenants’ recent performance at many of our leased properties has been at or above pre-pandemic levels, they may continue to face additional challenges and uncertainty due to the impact of the COVID-19 pandemic, such as complying with operational and capacity restrictions and ensuring sufficient employee staffing and service levels, and the sustainability of maintaining improved operating margins and financial performance. Due to prior closures, operating restrictions and other factors, our tenants’ operations, liquidity and financial performance have been adversely affected, and the ongoing nature of the pandemic, including emerging variants, may further impact our tenants’ businesses and, accordingly, our business and financial performance.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of our tenants have fulfilled their rent obligations through October 2021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our tenants’ financial performance and any future operating limitations.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w:t>
      </w:r>
    </w:p>
    <w:p>
      <w:pPr>
        <w:spacing w:after="0" w:line="118"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w:t>
      </w:r>
      <w:hyperlink r:id="rId22">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updated from time to time in our other filings with the SEC.</w:t>
      </w:r>
    </w:p>
    <w:p>
      <w:pPr>
        <w:spacing w:after="0" w:line="128" w:lineRule="exact"/>
        <w:rPr>
          <w:sz w:val="20"/>
          <w:szCs w:val="20"/>
          <w:color w:val="auto"/>
        </w:rPr>
      </w:pPr>
    </w:p>
    <w:p>
      <w:pPr>
        <w:ind w:right="380"/>
        <w:spacing w:after="0" w:line="437" w:lineRule="auto"/>
        <w:rPr>
          <w:sz w:val="20"/>
          <w:szCs w:val="20"/>
          <w:color w:val="auto"/>
        </w:rPr>
      </w:pPr>
      <w:r>
        <w:rPr>
          <w:rFonts w:ascii="Arial" w:cs="Arial" w:eastAsia="Arial" w:hAnsi="Arial"/>
          <w:sz w:val="18"/>
          <w:szCs w:val="18"/>
          <w:color w:val="auto"/>
        </w:rPr>
        <w:t xml:space="preserve">All adjustments (consisting of normal recurring accruals) considered necessary for a fair statement of results for the interim period have been included. </w:t>
      </w:r>
      <w:r>
        <w:rPr>
          <w:rFonts w:ascii="Arial" w:cs="Arial" w:eastAsia="Arial" w:hAnsi="Arial"/>
          <w:sz w:val="18"/>
          <w:szCs w:val="18"/>
          <w:b w:val="1"/>
          <w:bCs w:val="1"/>
          <w:i w:val="1"/>
          <w:iCs w:val="1"/>
          <w:color w:val="auto"/>
        </w:rPr>
        <w:t>Use of Estimates</w:t>
      </w:r>
    </w:p>
    <w:p>
      <w:pPr>
        <w:jc w:val="both"/>
        <w:spacing w:after="0" w:line="285"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Operating results for the three and nine months ended September 30, 2021 are not necessarily indicative of the results that may be expected for the year ending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 balances and transactions have been eliminated in consolidation. We consolidate all subsidiaries in which we have a controlling financial interest and VIEs for which we or one of our consolidated subsidiaries is the primary beneficiary.</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carried at cost, which approximates fair value. As of September 30, 2021 and December 31, 2020, we did not have any restricted cash.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Investments with an original maturity of greater than three months and less than one year from the date of purchase are considered short-term investments and are stated at fair value.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available-for-sale securities. The related income is recognized as interest income in our Statement of Operations. We had $20.0 million of short-term investments as of December 31, 2020. We did not have any short-term investments as of September 30,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Net</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129" w:lineRule="exact"/>
        <w:rPr>
          <w:sz w:val="20"/>
          <w:szCs w:val="20"/>
          <w:color w:val="auto"/>
        </w:rPr>
      </w:pPr>
    </w:p>
    <w:p>
      <w:pPr>
        <w:jc w:val="both"/>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We have determined that the land and building components of the Las Vegas Master Lease Agreement, the Regional Master Lease Agreement (excluding the Harrah’s Original Call Properties (as defined in </w:t>
      </w:r>
      <w:hyperlink w:anchor="page17">
        <w:r>
          <w:rPr>
            <w:rFonts w:ascii="Arial" w:cs="Arial" w:eastAsia="Arial" w:hAnsi="Arial"/>
            <w:sz w:val="18"/>
            <w:szCs w:val="18"/>
            <w:u w:val="single" w:color="auto"/>
            <w:color w:val="0000FF"/>
          </w:rPr>
          <w:t>Note 3 - Property Transactions</w:t>
        </w:r>
      </w:hyperlink>
      <w:r>
        <w:rPr>
          <w:rFonts w:ascii="Arial" w:cs="Arial" w:eastAsia="Arial" w:hAnsi="Arial"/>
          <w:sz w:val="18"/>
          <w:szCs w:val="18"/>
          <w:color w:val="auto"/>
          <w:highlight w:val="white"/>
        </w:rPr>
        <w:t>)</w:t>
      </w:r>
      <w:r>
        <w:rPr>
          <w:rFonts w:ascii="Arial" w:cs="Arial" w:eastAsia="Arial" w:hAnsi="Arial"/>
          <w:sz w:val="18"/>
          <w:szCs w:val="18"/>
          <w:color w:val="auto"/>
        </w:rPr>
        <w:t>), the Joliet Lease Agreement, the Margaritaville Lease Agreement, the Greektown Lease Agreement, the Hard Rock Cincinnati Lease Agreement, the Century Portfolio Lease Agreement and the EBCI Lease Agreement meet the definition of a sales-type lease under ASC 842.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ASC 842, for transactions in which we enter into a contract to acquire an asset and lease it back to the seller under a sales-type lease (i.e., a sale leaseback transaction), control of the asset is not considered to have transferred to us. As a result, we do not recognize the underlying asset but instead recognize a financial asset in accordance with ASC 310 “Receivables” (“ASC 310”). The accounting for the financing receivable under ASC 310 is materially consistent with the accounting for our investments in leases - sales-type under ASC 842.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40" w:lineRule="exact"/>
        <w:rPr>
          <w:sz w:val="20"/>
          <w:szCs w:val="20"/>
          <w:color w:val="auto"/>
        </w:rPr>
      </w:pPr>
    </w:p>
    <w:p>
      <w:pPr>
        <w:jc w:val="both"/>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Upon the consummation of the Eldorado Transaction on July 20, 2020, we reassessed the classification of the Caesars Lease Agreements and determined that the Harrah's Original Call Properties Acquisitions (as defined in </w:t>
      </w:r>
      <w:hyperlink w:anchor="page17">
        <w:r>
          <w:rPr>
            <w:rFonts w:ascii="Arial" w:cs="Arial" w:eastAsia="Arial" w:hAnsi="Arial"/>
            <w:sz w:val="16"/>
            <w:szCs w:val="16"/>
            <w:u w:val="single" w:color="auto"/>
            <w:color w:val="0000FF"/>
          </w:rPr>
          <w:t>Note 3 - Property Transactions</w:t>
        </w:r>
      </w:hyperlink>
      <w:r>
        <w:rPr>
          <w:rFonts w:ascii="Arial" w:cs="Arial" w:eastAsia="Arial" w:hAnsi="Arial"/>
          <w:sz w:val="16"/>
          <w:szCs w:val="16"/>
          <w:color w:val="auto"/>
        </w:rPr>
        <w:t>) meet the definition of a separate contract under ASC</w:t>
      </w:r>
    </w:p>
    <w:p>
      <w:pPr>
        <w:spacing w:after="0" w:line="1" w:lineRule="exact"/>
        <w:rPr>
          <w:sz w:val="20"/>
          <w:szCs w:val="20"/>
          <w:color w:val="auto"/>
        </w:rPr>
      </w:pPr>
    </w:p>
    <w:p>
      <w:pPr>
        <w:jc w:val="both"/>
        <w:ind w:firstLine="8"/>
        <w:spacing w:after="0" w:line="252" w:lineRule="auto"/>
        <w:tabs>
          <w:tab w:leader="none" w:pos="36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this guidance, we are required to separately assess the lease classification apart from the other assets in the Regional Master Lease Agreement. We determined that the land and building components of the Harrah’s Original Call Properties meet the definition of a sales-type lease and, since we purchased and leased the assets back to Caesars, control is not considered to have transferred to us under GAAP. Accordingly, the Harrah’s Original Call Properties are accounted for as Investments in leases - financing receivables on our Balance Sheet, net of allowance for credit losses, in accordance with ASC 310.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Agreements due to the importance of our real estate to the operation of their business, the significant capital they have invested and are required to invest in our properties under the terms of the Lease Agreements and the lack of suitable replacement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the related income from our sales-type leases, direct financing leases and lease financing receivables on an effective interest basis at a constant rate of return over the terms of the applicable leases. As a result, the cash payments accounted for under sales-type leases, direct financing leases and lease financing receivables will not equal income from our Lease Agreements. Rather, a portion of the cash rent we receive is recorded as Income from sales-type and direct financing leases or Income from lease financing receivables and loans, as applicable, in our Statement of Operations and a portion is recorded as a change to Investments in leases - sales-type, net or Investments in leases - financing receivables, net, as applicable.</w:t>
      </w:r>
    </w:p>
    <w:p>
      <w:pPr>
        <w:spacing w:after="0" w:line="1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ASC 840, we determined that the land component of Caesars Palace Las Vegas was greater than 25% of the overall fair value of the combined land and building components. At lease inception, the land was determined to be an operating lease and we recorded the related income on a straight-line basis over the lease term. The amount of annual minimum lease payments attributable to the land element after deducting executory costs, including any profit thereon, was determined by applying the lessee’s incremental borrowing rate to the value of the land. Revenue from this lease was recorded as Income from operating leases in our Statement of Operations. Further, upon adoption of ASC 842 on January 1, 2019, we made an accounting policy election to use a package of practical expedients that, among other things, allow us to not reassess prior lease classifications or initial direct costs for leases that existed as of the balance sheet date. Upon the consummation of the Eldorado Transaction on July 20, 2020, the land component of Caesars Palace Las Vegas was reassessed for lease classification and determined to be a sales-type lease. Accordingly, subsequent to July 20, 2020, the income is recognized as Income from sales-type leases and we no longer have any leases classified as operating or direct financing and, as such, there is no longer any income recorded through Income from operating leases.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or direct financing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we adopted ASC 326 “Credit Losses” (“ASC 326”), which requires that we measure and record current expected credit losses (“CECL”) for the majority of our investments, the scope of which includes our Investments in leases - sales-type, Investments in leases - financing receivables and Investments in loans.</w:t>
      </w:r>
    </w:p>
    <w:p>
      <w:pPr>
        <w:spacing w:after="0" w:line="1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averages (the “Long-Term Period”). The PD and LGD estimates for the R&amp;S Period are developed using the current financial condition of the tenant and the parent guarantor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and their parent guarantors. We are unable to use our historical data to estimate losses as we have no loss history to date.</w:t>
      </w:r>
    </w:p>
    <w:p>
      <w:pPr>
        <w:spacing w:after="0" w:line="10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CECL allowance is recorded as a reduction to our net Investments in leases - sales-type,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required to estimate a CECL allowance related to contractual commitments to extend credit, such as future funding commitments under a revolving credit facility, delayed draw term loan or construction loan. We estimate the amount that we will fund for each contractual commitment based on (i) discussions with our borrowers, (ii) our borrowers'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three and nine months ended September 30, 2021.</w:t>
      </w:r>
    </w:p>
    <w:p>
      <w:pPr>
        <w:spacing w:after="0" w:line="11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4">
        <w:r>
          <w:rPr>
            <w:rFonts w:ascii="Arial" w:cs="Arial" w:eastAsia="Arial" w:hAnsi="Arial"/>
            <w:sz w:val="18"/>
            <w:szCs w:val="18"/>
            <w:u w:val="single" w:color="auto"/>
            <w:color w:val="0000FF"/>
          </w:rPr>
          <w:t>Note 5 -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 ground and use leases.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5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44">
        <w:r>
          <w:rPr>
            <w:rFonts w:ascii="Arial" w:cs="Arial" w:eastAsia="Arial" w:hAnsi="Arial"/>
            <w:sz w:val="18"/>
            <w:szCs w:val="18"/>
            <w:u w:val="single" w:color="auto"/>
            <w:color w:val="0000FF"/>
          </w:rPr>
          <w:t>Note 9 -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a quarterly basis, we also assess whether the derivative we designated in each hedging relationship is expected to be, and has been, highly effective in offsetting changes in the value or cash flows of the hedged items. If it is determined that 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loss on our Balance Sheet with a corresponding change in Unrealized gain (loss) on cash flows hedges within Other comprehensive income on our Statement of Operations.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Caesars is the guarantor of all the lease payment obligations of the tenants under the respective leases of the properties that it leases from us. Revenue from the Caesars Lease Agreements represented 85% and 86% of our lease revenues for the three and nine months ended September 30, 2021, respectively, and 85% and 83% of our lease revenues for the three and nine months ended September 30, 2020, respectively. Additionally, our properties on the Las Vegas Strip generated approximately 32% of our lease revenues for the three and nine months ended September 30, 2021, and 31% and 27% of our lease revenue for the three and nine months ended September 30, 2020, respectively. Other than having a single tenant from which we derive and will continue to derive a substantial portion of our revenue and our concentration in the Las Vegas market, we do not believe there are any other significant concentrations of credit risk.</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Property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2021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MGP Transactions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4, 2021, we entered into the MGP Master Transaction Agreement, pursuant to which we will acquire MGP for total consideration of $17.2 billion, inclusive of the assumption of approximately $5.7 billion of debt. MGP is a publicly traded gaming REIT and the MGP Transactions will add $1,009.0 million of annualized rent (inclusive of MGP’s pending acquisition of MGM Springfield) to our portfolio from 15 Class A entertainment casino resort properties spread across nine regions and comprising 33,000 hotel rooms, 3.6 million square feet of meeting and convention space and hundreds of food, beverage and entertainment venues.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MGP’s portfolio, including properties owned by the BREIT JV, includes seven large-scale entertainment and gaming-related properties located on the Las Vegas Strip: Mandalay Bay, MGM Grand Las Vegas, The Mirage, Park MGM, New York-New York, Luxor and Excalibur, and The Park, a dining and entertainment district located between New York-New York and Park MGM. Outside of Las Vegas, MGP also owns five market-leading casino resort properties: MGM Grand Detroit in Detroit, Michigan, Beau Rivage and Gold Strike Tunica, both of which are located in Mississippi, Borgata in Atlantic City, New Jersey, and MGM National Harbor in Prince George’s County, Maryland. MGP also owns MGM Northfield Park in Northfield, Ohio and Empire City in Yonkers, New York. MGP’s portfolio includes two of the five largest hotels in the United States and two of the three largest Las Vegas resorts by room count and convention space.</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the MGP Transactions, subject to regulatory approvals, approval by the Company’s stockholders and customary closing conditions, to be completed in the first half of 2022. However, we can provide no assurances that the MGP Transactions will close in the anticipated timeframe, on the contemplated terms or at 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contemplated agreements and related activities under the MGP Transactions:</w:t>
      </w:r>
    </w:p>
    <w:p>
      <w:pPr>
        <w:spacing w:after="0" w:line="170" w:lineRule="exact"/>
        <w:rPr>
          <w:sz w:val="20"/>
          <w:szCs w:val="20"/>
          <w:color w:val="auto"/>
        </w:rPr>
      </w:pPr>
    </w:p>
    <w:p>
      <w:pPr>
        <w:jc w:val="both"/>
        <w:ind w:left="660" w:hanging="329"/>
        <w:spacing w:after="0" w:line="27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MGP Master Transaction Agreement. </w:t>
      </w:r>
      <w:r>
        <w:rPr>
          <w:rFonts w:ascii="Arial" w:cs="Arial" w:eastAsia="Arial" w:hAnsi="Arial"/>
          <w:sz w:val="17"/>
          <w:szCs w:val="17"/>
          <w:color w:val="auto"/>
        </w:rPr>
        <w:t>On August 4, 2021, we entered into the MGP Master Transaction Agreement with MGP, MGP OP,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Partnership, REIT Merger Sub, New VICI Operating Company, and MGM. Upon the terms and subject to the conditions set forth in the MGP Master Transaction Agreement, prior to or on the closing date under the MGP Master Transaction Agreement, we will contribute our interest in the Operating Partnership to New VICI Operating Company, which will serve as our new operating company. Following the contribution transaction, MGP will merge with and into REIT Merger Sub, with REIT Merger Sub surviving the merger (the “REIT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Merger”). Immediately following consummation of the REIT Merger, REIT Merger Sub will distribute the interests of the general partner of MGP OP to the Operating Partnership and, immediately following such distribution, REIT Merger Sub will merge with and into MGP OP, with MGP OP surviving the merger (the “Partnership Merger” and, together with the REIT Merger, the “Mergers”).</w:t>
      </w:r>
    </w:p>
    <w:p>
      <w:pPr>
        <w:spacing w:after="0" w:line="128"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Pursuant to the terms and subject to the conditions set forth in the MGP Master Transaction Agreement, at the effective time of the REIT Merger, each outstanding Class A common share, no par value per share, of MGP (“MGP Common Shares”) (other than MGP Common Shares then held in treasury by MGP or owned by any of MGP’s wholly owned subsidiaries) will be converted into the right to receive 1.366 (the “Exchange Ratio”) shares of common stock of the Company (such consideration, the “REIT Merger Consideration”), plus the right, if any, to receive cash in lieu of fractional shares of our common stock into which such MGP Common Shares would have been converted pursuant to the terms and subject to the conditions set forth in the MGP Master Transaction Agreement. The outstanding Class B common share, no par value per share, of MGP (the “Class B Share”), which is held by MGM, will be cancelled at the effective time of the REIT Merger. The REIT Merger is intended to qualify as a “reorganization” within the meaning of Section 368(a) of the Internal Revenue Code of 1986, as amended (the “Code”).</w:t>
      </w:r>
    </w:p>
    <w:p>
      <w:pPr>
        <w:spacing w:after="0" w:line="113"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Following the REIT Merger, pursuant to and subject to the terms set forth in the MGP Master Transaction Agreement, at the effective time of the Partnership Merger, each limited partnership unit in MGP OP (other than the limited partnership units in MGP OP held by REIT Merger Sub or any subsidiary of MGP OP), all of which are held by MGM and certain of its subsidiaries, will be converted into the right to receive a number of limited liability company units of New VICI Operating Company (“New VICI Operating Company Units”, and such consideration, the “Partnership Merger Consideration”) equal to the Exchange Ratio. The Company will redeem a majority of the New VICI Operating Company Units received by MGM in the Partnership Merger for $4,404.0 million in cash (the “Redemption Consideration”) using the proceeds of long-term debt financing or, if unavailable, borrowings under the MGP Transactions Bridge Facility (as defined below) on the closing date of the Mergers (the “Redemption”). Following the Redemption, MGM will retain approximately 12.0 million New VICI Operating Company Units.</w:t>
      </w:r>
    </w:p>
    <w:p>
      <w:pPr>
        <w:spacing w:after="0" w:line="113"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MGP Master Transaction Agreement contains customary covenants, representations, warranties, and closing conditions, as well as certain termination rights for MGP and us, in each case, as more fully described in the MGP Master Transaction Agreement. The consummation of the Mergers is also subject to certain customary closing conditions, including receipt of the approval by our stockholders of the issuance of our common stock in the REIT Merger.</w:t>
      </w:r>
    </w:p>
    <w:p>
      <w:pPr>
        <w:spacing w:after="0" w:line="134"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In accordance with the MGP Master Transaction Agreement, the Company and MGP have jointly prepared and filed with the SEC a Form S-4 registering the Company’s common stock issuable in the REIT Merger, declared effective by the SEC on September 23, 2021, which contains a proxy statement of the Company with respect to the special meeting of the Company’s stockholders to be convened for purposes of approving the issuance of the Company’s common stock in the REIT Merger and that also constitutes a prospectus of the Company and an information statement of MGP concerning the Mergers and MGM’s written consent to the REIT Merger and the transactions contemplated by the MGP Master Transaction Agreement, as described below. The proxy statement contains, subject to certain exceptions, the recommendation of the VICI board of directors that the Company stockholders vote in favor of the issuance of our common stock in the REIT Merger.</w:t>
      </w:r>
    </w:p>
    <w:p>
      <w:pPr>
        <w:spacing w:after="0" w:line="108" w:lineRule="exact"/>
        <w:rPr>
          <w:sz w:val="20"/>
          <w:szCs w:val="20"/>
          <w:color w:val="auto"/>
        </w:rPr>
      </w:pPr>
    </w:p>
    <w:p>
      <w:pPr>
        <w:jc w:val="both"/>
        <w:ind w:left="660" w:hanging="329"/>
        <w:spacing w:after="0" w:line="25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MGM Master Lease Agreement and BREIT JV Lease</w:t>
      </w:r>
      <w:r>
        <w:rPr>
          <w:rFonts w:ascii="Arial" w:cs="Arial" w:eastAsia="Arial" w:hAnsi="Arial"/>
          <w:sz w:val="18"/>
          <w:szCs w:val="18"/>
          <w:color w:val="auto"/>
        </w:rPr>
        <w:t>. Simultaneous with the closing of the Mergers, we will enter into the MGM Master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MGM Master Lease Agreement will have an initial term of 25 years, with three 10-year tenant renewal options and, subject to the closing of the pending acquisition of MGM Springfield by MGP from MGM (the “Springfield Transaction”), will have an initial total annual rent of $860.0 million. The Springfield Transaction is expected to close prior to the closing of the Mergers. However, in the event the Springfield Transaction does not close prior to the closing of the Mergers, the MGM Master Lease Agreement will have an initial total annual rent of $830.0 million. Rent under the MGM Master Lease Agreement will escalate at a rate of 2.0% per annum for the first 10 years and thereafter at the greater of 2.0% per annum or the increase in the consumer price index (“CPI”), subject to a 3.0% cap. The tenant’s obligations under the MGM Master Lease will be guaranteed by MGM.</w:t>
      </w:r>
    </w:p>
    <w:p>
      <w:pPr>
        <w:spacing w:after="0" w:line="139" w:lineRule="exact"/>
        <w:rPr>
          <w:rFonts w:ascii="Arial" w:cs="Arial" w:eastAsia="Arial" w:hAnsi="Arial"/>
          <w:sz w:val="18"/>
          <w:szCs w:val="18"/>
          <w:color w:val="auto"/>
        </w:rPr>
      </w:pPr>
    </w:p>
    <w:p>
      <w:pPr>
        <w:jc w:val="both"/>
        <w:ind w:left="660"/>
        <w:spacing w:after="0" w:line="258" w:lineRule="auto"/>
        <w:rPr>
          <w:rFonts w:ascii="Arial" w:cs="Arial" w:eastAsia="Arial" w:hAnsi="Arial"/>
          <w:sz w:val="18"/>
          <w:szCs w:val="18"/>
          <w:color w:val="auto"/>
        </w:rPr>
      </w:pPr>
      <w:r>
        <w:rPr>
          <w:rFonts w:ascii="Arial" w:cs="Arial" w:eastAsia="Arial" w:hAnsi="Arial"/>
          <w:sz w:val="18"/>
          <w:szCs w:val="18"/>
          <w:color w:val="auto"/>
        </w:rPr>
        <w:t>Additionally, we will retain MGP’s existing 50.1% ownership stake in the BREIT JV, which owns the real estate assets of MGM Grand Las Vegas and Mandalay Bay. The BREIT JV lease will remain unchanged and provides for current total annual base rent of approximately $298.0 million, of which approximately $149.0 million is attributable to MGP’s investment in the BREIT JV, and an initial term of thirty years with two 10-year tenant renewal options.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line="276" w:lineRule="auto"/>
        <w:rPr>
          <w:sz w:val="20"/>
          <w:szCs w:val="20"/>
          <w:color w:val="auto"/>
        </w:rPr>
      </w:pPr>
      <w:r>
        <w:rPr>
          <w:rFonts w:ascii="Arial" w:cs="Arial" w:eastAsia="Arial" w:hAnsi="Arial"/>
          <w:sz w:val="18"/>
          <w:szCs w:val="18"/>
          <w:color w:val="auto"/>
        </w:rPr>
        <w:t>Rent under the BREIT JV lease escalates at a rate of 2.0% per annum for the first fifteen years and thereafter at the greater of 2.0% per annum or CPI, subject to a 3.0% cap. The tenant’s obligations under the BREIT JV lease will be guaranteed by MGM.</w:t>
      </w:r>
    </w:p>
    <w:p>
      <w:pPr>
        <w:spacing w:after="0" w:line="117" w:lineRule="exact"/>
        <w:rPr>
          <w:sz w:val="20"/>
          <w:szCs w:val="20"/>
          <w:color w:val="auto"/>
        </w:rPr>
      </w:pPr>
    </w:p>
    <w:p>
      <w:pPr>
        <w:jc w:val="both"/>
        <w:ind w:left="660" w:hanging="329"/>
        <w:spacing w:after="0" w:line="267" w:lineRule="auto"/>
        <w:tabs>
          <w:tab w:leader="none" w:pos="65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Tax Protection Agreement. </w:t>
      </w:r>
      <w:r>
        <w:rPr>
          <w:rFonts w:ascii="Arial" w:cs="Arial" w:eastAsia="Arial" w:hAnsi="Arial"/>
          <w:sz w:val="17"/>
          <w:szCs w:val="17"/>
          <w:color w:val="auto"/>
        </w:rPr>
        <w:t>In connection with the closing of the MGP Transactions, we have agreed with MGM to enter into a tax protection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“MGM Tax Protection Agreement”) pursuant to which New VICI Operating Company will agree, subject to certain exceptions, for a period of 15 years following the closing of the Mergers (subject to early termination under certain circumstances), to indemnify MGM and certain of its subsidiaries (the “Protected Parties”) for certain tax liabilities resulting from (1) the sale, transfer, exchange or other disposition of a property owned directly or indirectly by MGP OP immediately prior to the closing date of the Mergers (each, a “Protected Property”), (2) a merger, consolidation, transfer of all assets of, or other significant transaction involving New VICI Operating Company pursuant to which the ownership interests of the Protected Parties in New VICI Operating Company are required to be exchanged in whole or in part for cash or other property, (3) the failure of New VICI Operating Company to maintain approximately $8.5 billion of nonrecourse indebtedness allocable to MGM, which amount may be reduced over time in accordance with the MGM Tax Protection Agreement, and (4) the failure of New VICI Operating Company or VICI to comply with certain tax covenants that would impact the tax liabilities of the Protected Parties. In the event that New VICI Operating Company or VICI breaches restrictions in the MGM Tax Protection Agreement, New VICI Operating Company will be liable for grossed-up tax amounts associated with the income or gain recognized as a result of such breach. In addition, the BREIT JV previously entered into a tax protection agreement with MGM with respect to built-in gain and debt maintenance related to MGM Grand Las Vegas and Mandalay Bay, which is effective through mid-2029, and by acquiring MGP, the Company will bear its 50.1% proportionate share in the BREIT JV of any indemnity under this existing tax protection agreement.</w:t>
      </w:r>
    </w:p>
    <w:p>
      <w:pPr>
        <w:spacing w:after="0" w:line="132" w:lineRule="exact"/>
        <w:rPr>
          <w:rFonts w:ascii="Arial" w:cs="Arial" w:eastAsia="Arial" w:hAnsi="Arial"/>
          <w:sz w:val="17"/>
          <w:szCs w:val="17"/>
          <w:i w:val="1"/>
          <w:iCs w:val="1"/>
          <w:color w:val="auto"/>
        </w:rPr>
      </w:pPr>
    </w:p>
    <w:p>
      <w:pPr>
        <w:jc w:val="both"/>
        <w:ind w:left="660" w:hanging="329"/>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Exchange Offers and Consent Solicitations</w:t>
      </w:r>
      <w:r>
        <w:rPr>
          <w:rFonts w:ascii="Arial" w:cs="Arial" w:eastAsia="Arial" w:hAnsi="Arial"/>
          <w:sz w:val="18"/>
          <w:szCs w:val="18"/>
          <w:color w:val="auto"/>
        </w:rPr>
        <w:t>. On September 13, 2021, we announced that the VICI Issuers commenced (i) private exchange offers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 or modify certain of the covenants, restrictions, provisions and events of default in each of the MGP OP Notes Indentures.</w:t>
      </w:r>
    </w:p>
    <w:p>
      <w:pPr>
        <w:spacing w:after="0" w:line="135"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7"/>
          <w:szCs w:val="17"/>
          <w:color w:val="auto"/>
        </w:rPr>
        <w:t>On September 27, 2021, we announced the early tender results of the Exchange Offers and the early participation results of the Consent Solicitations</w:t>
      </w:r>
      <w:r>
        <w:rPr>
          <w:rFonts w:ascii="Arial" w:cs="Arial" w:eastAsia="Arial" w:hAnsi="Arial"/>
          <w:sz w:val="15"/>
          <w:szCs w:val="15"/>
          <w:color w:val="auto"/>
        </w:rPr>
        <w:t>,</w:t>
      </w:r>
      <w:r>
        <w:rPr>
          <w:rFonts w:ascii="Arial" w:cs="Arial" w:eastAsia="Arial" w:hAnsi="Arial"/>
          <w:sz w:val="17"/>
          <w:szCs w:val="17"/>
          <w:color w:val="auto"/>
        </w:rPr>
        <w:t xml:space="preserve"> as well as the extension of the expiration date of the Exchange Offers from October 12, 2021 to December 31, 2021 (such date and time, as the same may be further extended, the “Expiration Date”). Following the receipt of the requisite consents pursuant to the Consent Solicitations, on September 23, 2021, the MGP Issuers executed supplemental indentures to each of the MGP OP Notes Indentures in order to effect the proposed amendments (the “MGP OP Supplemental Indentures”). The MGP OP Supplemental Indentures will become operative upon the settlement of the Exchange Offers and the Consent Solicitations (the “Settlement Date”), which is expected to occur promptly after the Expiration Date on or about the closing date of the Mergers. To the extent the consummation of the MGP Transactions is not anticipated to occur on or before the then-anticipated Settlement Date, for any reason, the VICI Issuers anticipate continuing to extend the Expiration Date until such time that the Mergers may be consummated on or before the Settlement Date.</w:t>
      </w:r>
    </w:p>
    <w:p>
      <w:pPr>
        <w:spacing w:after="0" w:line="129"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Exchange Offers and Consent Solicitations are being made solely pursuant to the terms and conditions set forth in the confidential offering memorandum, dated September 13, 2021, in a private offering exempt from, or not subject to, registration under the Securities Act of 1933, as amended (the “Securities Act”), and are subject to the satisfaction of certain conditions, including the consummation of the Mergers.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BigShots Strategic Arrangement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15, 2021, we and ClubCorp Holdings, Inc. (“ClubCorp”), an Apollo Global Management fund portfolio company, announced that we entered into a strategic arrangement to grow their BigShots golf subsidiary (“BigShots Golf™”), whereby we may provide up to $80.0 million of mortgage financing for the construction of up to five new BigShots Golf™ facilities throughout the United States. As part of the non-binding arrangement, we will have a call right to acquire the real estate assets associated with any BigShots Golf™ facility financed by us, which transaction will be structured as a sale leaseback. In addition, for so long as the mortgage financing remains outstanding and we continue to hold a majority interest therein, we will have a right of first offer on any additional mortgage, mezzanine, preferred equity, or other similar financing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is treated as debt to be obtained by BigShots Golf™ (or any of its affiliates) for any multisite financing related to the development of BigShots Golf’s™ extensive existing and growing pipeline of facilities. Pursuant to the non-binding letter agreement, the terms and conditions of any transaction between the parties will be set forth in definitive documentation.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Southern Indiana Lease Agreement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3, 2021, in connection and concurrent with EBCI’s acquisition of the operations of Caesars Southern Indiana from Caesars, we entered into a triple-net lease agreement with a subsidiary of EBCI, the EBCI Lease Agreement, with respect to the real property associated with Caesars Southern Indiana. Initial total annual rent under the lease with EBCI is $32.5 million. The lease has an initial term of 15 years, with four 5-year tenant renewal options. The tenant’s obligations under the lease are guaranteed by EBCI. Annual base rent payments under the Regional Master Lease Agreement were reduced by $32.5 million upon completion of EBCI’s acquisition of the operations of Caesars Southern Indiana and the execution of the EBCI Lease Agreement. We determined that the land and building components of the EBCI Lease Agreement meet the definition of a sales-type lease and, as the asset continues to meet the definition of a sales-type lease under ASC 842, the existing lease balance of Caesars Southern Indiana was transferred from Caesars to EBCI, as the new tenant, and the income is recognized using the revised rate implicit in the lease. In addition, as part of the transaction, EBCI and Caesars entered into a right of first refusal agreement pursuant to which we have the first right to enter into a sale leaseback transaction with respect to the real property associated with the development of a new casino resort in Danville, Virginia.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 Wolf Mezzanine Loan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16, 2021, we entered into a mezzanine loan agreement (the “Great Wolf Mezzanine Loan”) with an affiliate of Great Wolf Resorts, Inc. (“Great Wolf”) to provide up to $79.5 million in financing to partially fund the development of the Great Wolf Lodge Maryland, an expansive 48-acre indoor water park resort located in Perryville, MD. The Great Wolf Mezzanine Loan bears interest at a rate of 8.0% per annum and has an initial term of three years with two successive 12-month extension options, subject to certain conditions. Our commitment will be funded subject to customary terms and conditions in disbursements to the borrower based upon construction of the development and, as of September 30, 2021, approximately $19.2 million of the funds have been disbursed. We expect to fund our entire $79.5 million commitment by mid-2022.</w:t>
      </w:r>
    </w:p>
    <w:p>
      <w:pPr>
        <w:spacing w:after="0" w:line="12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pursuant to a non-binding letter agreement, we will have the opportunity for a period of up to five years to provide up to a total of $300.0 million of mezzanine financing, inclusive of the $79.5 million related to the Great Wolf Lodge Maryland, for the development and construction of Great Wolf’s extensive domestic and international indoor water park resort pipeline.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Venetian Acquisition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 2021, we entered into definitive agreements to acquire from Las Vegas Sands Corp. (“LVS”) all of the land and real estate assets associated with the Venetian Resort Las Vegas and the Venetian Expo, located in Las Vegas, Nevada (collectively, the “Venetian Resort”), for $4.0 billion in cash (the “Venetian PropCo Acquisition”), and an affiliate of certain funds managed by affiliates of Apollo Global Management, Inc. (the “OpCo Buyer”), agreed to acquire the operating assets of the Venetian Resort for $2.25 billion, subject to certain post-closing adjustments, of which $1.2 billion is in the form of a secured term loan from LVS and the remainder is payable in cash (together with the Venetian PropCo Acquisition, the “Venetian Acquisition”). Simultaneous with the closing of the Venetian Acquisition, we will enter into a triple-net lease agreement for the Venetian Resort (the “Venetian Lease”) with OpCo Buyer (in such capacity, the “Venetian Tenant”). The Venetian Lease will have an initial total annual rent of $250.0 million and an initial term of 30 years, with two ten-year tenant renewal options. The annual rent will be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The closing of the Venetian Acquisition is subject to customary closing conditions, including regulatory approvals. We expect the Venetian Acquisition to close during the first quarter of 2022. However, we can provide no assurances that the Venetian Acquisition will close in the anticipated timeframe, on the contemplated terms or at all.</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LVS has agreed with the Venetian Tenant pursuant to an agreement (the “Contingent Lease Support Agreement”) to be entered into simultaneous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will be a third-party beneficiary of the Contingent Lease Support Agreement and will have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will not be guaranteed by Apollo Global Management, Inc.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Bally’s Atlantic City</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November 18, 2020, we and Caesars closed on the previously announced transaction to sell Bally’s Atlantic City Hotel &amp; Casino for $25.0 million to Bally’s Corporation. Pursuant to the agreement, we received $19.0 million of the proceeds from the sale and Caesars received $6.0 million of the proceeds. We did not recognize any gain or loss on the sale of Bally’s Atlantic City as the asset was sold at its carrying amount. The annual rent payments under the Regional Master Lease Agreement remain unchanged following completion of the disposition.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September 30, 2020, we and Caesars closed on the previously announced transaction to sell Harrah’s Reno to a third party at a purchase price of $41.5 million. Pursuant to the agreement, we received $31.1 million of the proceeds of the sale and Caesars received $10.4 million of the proceeds. We did not recognize any gain or loss on the sale of Harrah’s Reno as the asset was sold at its carrying amount. The annual rent payments under the Regional Master Lease Agreement remain unchanged following completion of the disposition.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Mortgage Loan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September 18, 2020, we entered into a mortgage loan agreement with a subsidiary of Caesars (the “Forum Convention Center Borrower”) pursuant to which we loaned $400.0 million to the Forum Convention Center Borrower for a term of five years, with such loan secured by, among other things, a first priority fee mortgage on the Caesars Forum Convention Center (the “Forum Convention Center Mortgage Loan”).</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interest rate on the Forum Convention Center Mortgage Loan was initially 7.7% per annum, with annual interest payments subject to 2.0% annual escalation (resulting in year two annual interest of $31.4 million based on a year two interest rate of 7.854%), with interest paid monthly in cash in arrears. Except as provided below, no prepayments are permitted during the first two years of the term of the Forum Convention Center Mortgage Loan. During the third and fourth years of the term of the Forum Convention Center Mortgage Loan, the Forum Convention Center Borrower may prepay the Forum Convention Center Mortgage Loan, in each case in full but not in part, at 102% of par in year three and 101% of par in year four. During the fifth year of the term of the Forum Convention Center Mortgage Loan, the Forum Convention Center Borrower may prepay the Forum Convention Center Mortgage Loan in full but not in part at par. However, the Forum Convention Center Mortgage Loan may be prepaid at any time at par, without penalty or make-whole, in connection with our acquisition of the Caesars Forum Convention Center and an OpCo sale and conversion to an OpCo/PropCo structure, subject to our consent, which may be withheld in our sole discretion.</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Forum Convention Center Mortgage Loan is secured by a first priority mortgage on the Caesars Forum Convention Center, as well as a first priority lien on the equity interests in the Forum Convention Center Borrower, a first priority security interest in all of the Forum Convention Center Borrower’s interest in furniture, fixtures and equipment used, owned or related to the operation of the Caesars Forum Convention Center, and a first priority assignment of the Forum Convention Center Borrower’s interest in leases and rents, including a collateral assignment of the Forum Convention Center Borrower’s interest in the lease on the Caesars Forum Convention Center pursuant to which the Forum Convention Center Borrower leases the Caesars Forum Convention Center to another subsidiary of Caesars (the “Caesars Tenant”), which lease is fully subordinate to the Forum Convention Center Mortgage Loan. In addition, if the Forum Convention Center Borrower defaults on the Forum Convention Center Mortgage Loan and we take title to the Caesars Forum Convention Center, we may, at our option under certain circumstances, keep the lease with the Caesars Tenant in effect (which lease is guaranteed by Caesars and has an initial annual rent of $33.9 million, subject to annual increases equal to the greater of 2% and the annual CPI increase).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Convention Center Put-Call Agreement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18, 2020, concurrent with the entry into the Forum Convention Center Mortgage Loan, we and a subsidiary of Caesars amended and restated the Amended and Restated Put-Call Right Agreement entered into on July 20, 2020 in connection with the consummation of the Eldorado Transaction (as further amended, the “A&amp;R Convention Center Put-Call Agreement”) related to the Caesars Forum Convention Center. The A&amp;R Convention Center Put-Call Agreement provides for (i) 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 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Louisiana Downs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September 3, 2020, we and Caesars entered into definitive agreements to sell Harrah’s Louisiana Downs Casino for $22.0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remains subject to regulatory approval and customary closing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Chelsea Piers Mortgage Loan</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31, 2020, we entered into an $80.0 million mortgage loan agreement (the “Chelsea Piers Mortgage Loan”) with Chelsea Piers New York (“Chelsea Piers”) secured by the Chelsea Piers complex in New York City, pursuant to which we provided (i) an initial term loan of $65.0 million and (ii) a $15.0 million delayed draw term loan at the borrowers’ election (which remained undrawn as of September 30, 2021), subject to certain conditions. The Chelsea Piers Mortgage Loan bears interest at a rate of 7.0% per annum, with a term of 7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Consummation of the Eldorado Transaction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20, 2020, concurrent with the consummation of the Eldorado/Caesars Merger, we consummated the Eldorado Transaction contemplated by the Eldorado MTA and the Harrah’s Original Call Property Purchase Agreements (as defined below). We funded the Eldorado Transaction with a combination of cash on hand, the proceeds from the physical settlement, on June 2, 2020, of the forward sale agreements entered into in June 2019 and the proceeds from our February 2020 Senior Unsecured Notes offering. Any references to Caesars in the subsequent transaction discussion refer to the combined Eldorado/Caesars subsequent to the consummation of the Eldorado/Caesars Merger.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Eldorado Transaction includes the consummation of the transactions contemplated by the following agreements:</w:t>
      </w:r>
    </w:p>
    <w:p>
      <w:pPr>
        <w:spacing w:after="0" w:line="170" w:lineRule="exact"/>
        <w:rPr>
          <w:sz w:val="20"/>
          <w:szCs w:val="20"/>
          <w:color w:val="auto"/>
        </w:rPr>
      </w:pPr>
    </w:p>
    <w:p>
      <w:pPr>
        <w:ind w:left="740" w:hanging="369"/>
        <w:spacing w:after="0" w:line="276"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Acquisition of the Harrah’s Original Call Properties. </w:t>
      </w:r>
      <w:r>
        <w:rPr>
          <w:rFonts w:ascii="Arial" w:cs="Arial" w:eastAsia="Arial" w:hAnsi="Arial"/>
          <w:sz w:val="18"/>
          <w:szCs w:val="18"/>
          <w:color w:val="auto"/>
        </w:rPr>
        <w:t>We acquired all of the land and real estate assets associated with Harrah’s New Orleans,</w:t>
      </w:r>
      <w:r>
        <w:rPr>
          <w:rFonts w:ascii="Arial" w:cs="Arial" w:eastAsia="Arial" w:hAnsi="Arial"/>
          <w:sz w:val="18"/>
          <w:szCs w:val="18"/>
          <w:i w:val="1"/>
          <w:iCs w:val="1"/>
          <w:color w:val="auto"/>
        </w:rPr>
        <w:t xml:space="preserve"> </w:t>
      </w:r>
      <w:r>
        <w:rPr>
          <w:rFonts w:ascii="Arial" w:cs="Arial" w:eastAsia="Arial" w:hAnsi="Arial"/>
          <w:sz w:val="18"/>
          <w:szCs w:val="18"/>
          <w:color w:val="auto"/>
        </w:rPr>
        <w:t>Harrah’s Laughlin and Harrah’s Atlantic City (collectively, the “Harrah’s Original Call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740"/>
        <w:spacing w:after="0" w:line="285" w:lineRule="auto"/>
        <w:rPr>
          <w:sz w:val="20"/>
          <w:szCs w:val="20"/>
          <w:color w:val="auto"/>
        </w:rPr>
      </w:pPr>
      <w:r>
        <w:rPr>
          <w:rFonts w:ascii="Arial" w:cs="Arial" w:eastAsia="Arial" w:hAnsi="Arial"/>
          <w:sz w:val="16"/>
          <w:szCs w:val="16"/>
          <w:color w:val="auto"/>
        </w:rPr>
        <w:t>Properties”) for an aggregate purchase price of $1,823.5 million (the “Harrah’s Original Call Properties Acquisitions”). The Regional Master Lease Agreement was amended to, among other things, include each such property, with initial aggregate total annual rent payable to us increased by $154.0 million to $621.7 million, and to extend the initial term to July 2035 and to adjust certain minimum capital expenditure requirements and other related terms and conditions as a result of the Harrah’s Original Call Properties being included in the Regional Master Lease Agreement as further described in “—Lease Amendments and Terminations” below. We completed the Harrah’s Original Call Properties Acquisitions pursuant to the following agreements: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(“Harrah’s New Orleans”) for a cash purchase price of $789.5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$599.3 million; and (iii) a Purchase and Sale Agreement (the “Harrah’s Laughlin Purchase Agreement” and, collectively with the Harrah’s New Orleans Purchase Agreement and the Harrah’s Atlantic City Purchase Agreement, the “Harrah’s Original Call Property Purchase Agreements”) pursuant to which we agreed to acquire, and Eldorado agreed to cause to be sold, all of the equity interests in a newly formed entity that acquired the land and real property improvements associated with Harrah’s Laughlin Hotel &amp; Casino in Laughlin, Nevada for a cash purchase price of $434.8 million. Each of our call options on the Harrah’s Original Call Properties terminated upon the closing of the Harrah’s Original Call Properties Acquisitions.</w:t>
      </w:r>
    </w:p>
    <w:p>
      <w:pPr>
        <w:spacing w:after="0" w:line="114" w:lineRule="exact"/>
        <w:rPr>
          <w:sz w:val="20"/>
          <w:szCs w:val="20"/>
          <w:color w:val="auto"/>
        </w:rPr>
      </w:pPr>
    </w:p>
    <w:p>
      <w:pPr>
        <w:jc w:val="both"/>
        <w:ind w:left="740"/>
        <w:spacing w:after="0" w:line="293" w:lineRule="auto"/>
        <w:rPr>
          <w:sz w:val="20"/>
          <w:szCs w:val="20"/>
          <w:color w:val="auto"/>
        </w:rPr>
      </w:pPr>
      <w:r>
        <w:rPr>
          <w:rFonts w:ascii="Arial" w:cs="Arial" w:eastAsia="Arial" w:hAnsi="Arial"/>
          <w:sz w:val="16"/>
          <w:szCs w:val="16"/>
          <w:color w:val="auto"/>
        </w:rPr>
        <w:t>On July 20, 2020, in connection with the completion of the purchase of Harrah’s New Orleans, the tenant’s leasehold interest in that certain Second Amended and Restated Lease Agreement (the “HNO Ground Lease”) dated as of April 3, 2020, by and among Jazz Casino Company, L.L.C., a Louisiana limited liability company (“JCC”), New Orleans Building Corporation (“NOBC”) and the City of New Orleans, was assigned by JCC to us. The HNO Ground Lease sets forth the terms and conditions pursuant to which we lease from NOBC a portion of the land upon which Harrah’s New Orleans is located. Simultaneous with entering into the assignment of the HNO Ground Lease, we subleased our interest in the HNO Ground Lease to Caesars in accordance with the terms and conditions of the Regional Master Lease Agreement.</w:t>
      </w:r>
    </w:p>
    <w:p>
      <w:pPr>
        <w:spacing w:after="0" w:line="107" w:lineRule="exact"/>
        <w:rPr>
          <w:sz w:val="20"/>
          <w:szCs w:val="20"/>
          <w:color w:val="auto"/>
        </w:rPr>
      </w:pPr>
    </w:p>
    <w:p>
      <w:pPr>
        <w:jc w:val="both"/>
        <w:ind w:left="740"/>
        <w:spacing w:after="0" w:line="269" w:lineRule="auto"/>
        <w:rPr>
          <w:sz w:val="20"/>
          <w:szCs w:val="20"/>
          <w:color w:val="auto"/>
        </w:rPr>
      </w:pPr>
      <w:r>
        <w:rPr>
          <w:rFonts w:ascii="Arial" w:cs="Arial" w:eastAsia="Arial" w:hAnsi="Arial"/>
          <w:sz w:val="17"/>
          <w:szCs w:val="17"/>
          <w:color w:val="auto"/>
        </w:rPr>
        <w:t>Pursuant to the Regional Master Lease Agreement, Caesars is required to perform our obligations as tenant under the HNO Ground Lease, which include the obligation to construct a new hotel intended to be located on the ground-leased premises and to expend at least $325.0 million in connection with the construction of such hotel. The HNO Ground Lease contains certain rights in our favor should Caesars fail to perform our obligations thereunder, including providing us with additional cure periods to cure defaults. If we are unable to cure a Caesars default during any such additional cure period, then, subject to certain conditions more particularly set forth in the HNO Ground Lease, we will have a further additional period (up to 12-24 months) to seek to terminate Caesars as tenant and to enter into a replacement sublease with a new operator with respect to the leased premises. If we fail to cure such default at the end of such additional cure period, NOBC would have the right to exercise remedies, including termination of the HNO Ground Lease, in which case we would no longer have any right, title or interest to the leased premises or the improvements located thereon.</w:t>
      </w:r>
    </w:p>
    <w:p>
      <w:pPr>
        <w:spacing w:after="0" w:line="129" w:lineRule="exact"/>
        <w:rPr>
          <w:sz w:val="20"/>
          <w:szCs w:val="20"/>
          <w:color w:val="auto"/>
        </w:rPr>
      </w:pPr>
    </w:p>
    <w:p>
      <w:pPr>
        <w:jc w:val="both"/>
        <w:ind w:left="740" w:hanging="369"/>
        <w:spacing w:after="0" w:line="269" w:lineRule="auto"/>
        <w:tabs>
          <w:tab w:leader="none" w:pos="7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Creation of Las Vegas Master Lease. </w:t>
      </w:r>
      <w:r>
        <w:rPr>
          <w:rFonts w:ascii="Arial" w:cs="Arial" w:eastAsia="Arial" w:hAnsi="Arial"/>
          <w:sz w:val="17"/>
          <w:szCs w:val="17"/>
          <w:color w:val="auto"/>
        </w:rPr>
        <w:t>In consideration of a payment by us to (i) the tenant under the CPLV Lease Agreement of $1,189.9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“CPLV Lease Amendment Payment”) and (ii) the tenant under the HLV Lease Agreement of $213.8 million (the “HLV Lease Amendment Payment”), upon the consummation of the Eldorado Transaction, (a) the CPLV Lease Agreement was amended to (A) combine the CPLV Lease Agreement and the HLV Lease Agreement into a single Las Vegas Master Lease Agreement, (B) increase the annual rent payable to us thereunder associated with Caesars Palace Las Vegas by $83.5 million (the “CPLV Additional Rent Acquisition”), (C) increase the annual rent previously payable to us with respect to the Harrah’s Las Vegas property by $15.0 million (the “HLV Additional Rent Acquisition”) under the Las Vegas Master Lease Agreement and (D) to provide for the amended terms described below, and (b) the HLV Lease Agreement and the related lease guaranty were terminated. As a result of such amendments, the Harrah’s Las Vegas property is also now subject to the higher rent escalator under the Las Vegas Master Lease Agreement.</w:t>
      </w:r>
    </w:p>
    <w:p>
      <w:pPr>
        <w:spacing w:after="0" w:line="129" w:lineRule="exact"/>
        <w:rPr>
          <w:rFonts w:ascii="Arial" w:cs="Arial" w:eastAsia="Arial" w:hAnsi="Arial"/>
          <w:sz w:val="17"/>
          <w:szCs w:val="17"/>
          <w:color w:val="auto"/>
        </w:rPr>
      </w:pPr>
    </w:p>
    <w:p>
      <w:pPr>
        <w:ind w:left="740" w:hanging="369"/>
        <w:spacing w:after="0" w:line="276"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Lease Amendments and Terminations. </w:t>
      </w:r>
      <w:r>
        <w:rPr>
          <w:rFonts w:ascii="Arial" w:cs="Arial" w:eastAsia="Arial" w:hAnsi="Arial"/>
          <w:sz w:val="18"/>
          <w:szCs w:val="18"/>
          <w:color w:val="auto"/>
        </w:rPr>
        <w:t>Each of the Caesars Lease Agreements was amended to, among other things, (i) remove the rent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floors, which coverage floors served to reduce the rent escalators under such leases 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event that the “EBITDAR to Rent Ratio” (as defined in the applicable Caesars Lease Agreements) coverage was below the stated floor and</w:t>
      </w:r>
    </w:p>
    <w:p>
      <w:pPr>
        <w:spacing w:after="0" w:line="46" w:lineRule="exact"/>
        <w:rPr>
          <w:sz w:val="20"/>
          <w:szCs w:val="20"/>
          <w:color w:val="auto"/>
        </w:rPr>
      </w:pPr>
    </w:p>
    <w:p>
      <w:pPr>
        <w:jc w:val="both"/>
        <w:ind w:left="740" w:hanging="5"/>
        <w:spacing w:after="0" w:line="281" w:lineRule="auto"/>
        <w:tabs>
          <w:tab w:leader="none" w:pos="1006" w:val="left"/>
        </w:tabs>
        <w:numPr>
          <w:ilvl w:val="0"/>
          <w:numId w:val="9"/>
        </w:numPr>
        <w:rPr>
          <w:rFonts w:ascii="Arial" w:cs="Arial" w:eastAsia="Arial" w:hAnsi="Arial"/>
          <w:sz w:val="16"/>
          <w:szCs w:val="16"/>
          <w:color w:val="auto"/>
        </w:rPr>
      </w:pPr>
      <w:r>
        <w:rPr>
          <w:rFonts w:ascii="Arial" w:cs="Arial" w:eastAsia="Arial" w:hAnsi="Arial"/>
          <w:sz w:val="16"/>
          <w:szCs w:val="16"/>
          <w:color w:val="auto"/>
        </w:rPr>
        <w:t>extend the term of each such lease by such additional period of time as necessary to ensure that each lease will have a full 15-year initial lease term following the consummation of the Eldorado Transaction. The Regional Master Lease Agreement was also amended to, among other things:</w:t>
      </w:r>
    </w:p>
    <w:p>
      <w:pPr>
        <w:jc w:val="both"/>
        <w:ind w:left="740" w:right="20" w:hanging="5"/>
        <w:spacing w:after="0" w:line="281" w:lineRule="auto"/>
        <w:tabs>
          <w:tab w:leader="none" w:pos="992"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permit the tenant under the Regional Master Lease Agreement to cause facilities subject to the Regional Master Lease Agreement that in the aggregate represent up to five percent of the aggregate EBITDAR of (A) all of the facilities under such Regional Master Lease Agreement and</w:t>
      </w:r>
    </w:p>
    <w:p>
      <w:pPr>
        <w:jc w:val="both"/>
        <w:ind w:left="740"/>
        <w:spacing w:after="0" w:line="284" w:lineRule="auto"/>
        <w:rPr>
          <w:rFonts w:ascii="Arial" w:cs="Arial" w:eastAsia="Arial" w:hAnsi="Arial"/>
          <w:sz w:val="16"/>
          <w:szCs w:val="16"/>
          <w:color w:val="auto"/>
        </w:rPr>
      </w:pPr>
      <w:r>
        <w:rPr>
          <w:rFonts w:ascii="Arial" w:cs="Arial" w:eastAsia="Arial" w:hAnsi="Arial"/>
          <w:sz w:val="16"/>
          <w:szCs w:val="16"/>
          <w:color w:val="auto"/>
        </w:rPr>
        <w:t>(B) the Harrah’s Joliet facility, for the 2018 fiscal year (defined as the “2018 EBITDAR Pool” in the Regional Master Lease Agreement, without giving effect to any increase in the 2018 EBITDAR Pool as a result of a facility being added to the Regional Master Lease Agreement) to be sold (whereby the tenant and landlord under the Regional Master Lease Agreement would sell the operations and real estate, respectively, with respect to such facility), provided, among other things, that (1) we and Caesars mutually agree to the split of proceeds from such sales, (2) such sales do not result in any impairment(s)/asset write down(s) by us, (3) rent under the Regional Master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Regional Master Lease Agreement may only sell such properties if certain terms and conditions are met, including that replacement tenants meet certain criteria provided in the Regional Master Lease Agreement; and (c) require that the tenant under the Regional Master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16" w:lineRule="exact"/>
        <w:rPr>
          <w:sz w:val="20"/>
          <w:szCs w:val="20"/>
          <w:color w:val="auto"/>
        </w:rPr>
      </w:pPr>
    </w:p>
    <w:p>
      <w:pPr>
        <w:jc w:val="both"/>
        <w:ind w:left="740"/>
        <w:spacing w:after="0" w:line="291" w:lineRule="auto"/>
        <w:rPr>
          <w:sz w:val="20"/>
          <w:szCs w:val="20"/>
          <w:color w:val="auto"/>
        </w:rPr>
      </w:pPr>
      <w:r>
        <w:rPr>
          <w:rFonts w:ascii="Arial" w:cs="Arial" w:eastAsia="Arial" w:hAnsi="Arial"/>
          <w:sz w:val="16"/>
          <w:szCs w:val="16"/>
          <w:color w:val="auto"/>
        </w:rPr>
        <w:t>Caesars has executed new guaranties with respect to the Las Vegas Master Lease Agreement (the “Las Vegas Lease Guaranty”), the 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and (ii) the performance when due of all other covenants, agreements and requirements to be performed and satisfied by the tenants under the Caesars Lease Agreements.</w:t>
      </w:r>
    </w:p>
    <w:p>
      <w:pPr>
        <w:spacing w:after="0" w:line="108" w:lineRule="exact"/>
        <w:rPr>
          <w:sz w:val="20"/>
          <w:szCs w:val="20"/>
          <w:color w:val="auto"/>
        </w:rPr>
      </w:pPr>
    </w:p>
    <w:p>
      <w:pPr>
        <w:jc w:val="both"/>
        <w:ind w:left="740"/>
        <w:spacing w:after="0" w:line="275" w:lineRule="auto"/>
        <w:rPr>
          <w:sz w:val="20"/>
          <w:szCs w:val="20"/>
          <w:color w:val="auto"/>
        </w:rPr>
      </w:pPr>
      <w:r>
        <w:rPr>
          <w:rFonts w:ascii="Arial" w:cs="Arial" w:eastAsia="Arial" w:hAnsi="Arial"/>
          <w:sz w:val="17"/>
          <w:szCs w:val="17"/>
          <w:color w:val="auto"/>
        </w:rPr>
        <w:t>In connection with entering into the amendments to the Caesars Lease Agreements and the Caesars Guaranties described above, we and Caesars terminated the Management and Lease Support Agreements, dated as of October 6, 2017, with respect to each of the Caesars Lease Agreements, pursuant to which, among other things, Pre-Merger Caesars previously guaranteed the tenants’ monetary obligations under the Caesars Lease Agreements, and the Guaranty of Lease dated as of December 22, 2017 pursuant to which, among other things, a subsidiary of Pre-Merger Caesars guaranteed the tenant’s obligations under the HLV Lease Agreement.</w:t>
      </w:r>
    </w:p>
    <w:p>
      <w:pPr>
        <w:spacing w:after="0" w:line="119" w:lineRule="exact"/>
        <w:rPr>
          <w:sz w:val="20"/>
          <w:szCs w:val="20"/>
          <w:color w:val="auto"/>
        </w:rPr>
      </w:pPr>
    </w:p>
    <w:p>
      <w:pPr>
        <w:jc w:val="both"/>
        <w:ind w:left="740" w:hanging="369"/>
        <w:spacing w:after="0" w:line="268" w:lineRule="auto"/>
        <w:tabs>
          <w:tab w:leader="none" w:pos="735"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Centaur Properties Put-Call Agreement</w:t>
      </w:r>
      <w:r>
        <w:rPr>
          <w:rFonts w:ascii="Arial" w:cs="Arial" w:eastAsia="Arial" w:hAnsi="Arial"/>
          <w:sz w:val="17"/>
          <w:szCs w:val="17"/>
          <w:color w:val="auto"/>
        </w:rPr>
        <w:t>. Prior to the consummation of the Eldorado Transaction, we were party to a right of first refusal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affiliates of Pre-Merger Caesars with respect to two gaming facilities in Indiana - Harrah’s Hoosier Park and Indiana Grand (together, the “Centaur Properties”). Upon the consummation of the Eldorado Transaction, the Second Amended and Restated Right of First Refusal Agreement between us and Pre-Merger Caesars terminated in accordance with its terms, which included the right of first refusal that we had with respect to the Centaur Properties, and we entered into a Put-Call Right Agreement with Caesars (the “Centaur Put-Call Agreement”), whereby (i) we have the right to acquire all of the land and real estate assets associated with the Centaur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Centaur Properties at a price equal to 12.5x the initial annual rent of each facility, and to simultaneously lease back each such Centaur Property to a subsidiary of Caesars for initial annual rent equal to the property’s trailing four quarters EBITDA at the time of acquisition divided by 1.3 (i.e., the initial annual rent will be set at 1.3x rent coverage). Either party will be able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trigger its respective put or call, as applicable, beginning on January 1, 2022 and ending on December 31, 2024. The Centaur Put-Call Agreement provides that the leaseback of the Centaur Properties will be implemented through the addition of the Centaur Properties to the Regional Master Lease Agreement.</w:t>
      </w:r>
    </w:p>
    <w:p>
      <w:pPr>
        <w:spacing w:after="0" w:line="128" w:lineRule="exact"/>
        <w:rPr>
          <w:sz w:val="20"/>
          <w:szCs w:val="20"/>
          <w:color w:val="auto"/>
        </w:rPr>
      </w:pPr>
    </w:p>
    <w:p>
      <w:pPr>
        <w:jc w:val="both"/>
        <w:ind w:left="740" w:hanging="369"/>
        <w:spacing w:after="0" w:line="278" w:lineRule="auto"/>
        <w:tabs>
          <w:tab w:leader="none" w:pos="73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Amended and Restated Caesars Forum Convention Center Put-Call Agreement. </w:t>
      </w:r>
      <w:r>
        <w:rPr>
          <w:rFonts w:ascii="Arial" w:cs="Arial" w:eastAsia="Arial" w:hAnsi="Arial"/>
          <w:sz w:val="17"/>
          <w:szCs w:val="17"/>
          <w:color w:val="auto"/>
        </w:rPr>
        <w:t>Upon the consummation of the Eldorado Transaction, we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A&amp;R Put-Call Right Agreement with Caesars amending and restating that certain put-call agreement related to the Caesars Forum Convention Center. In connection with the consummation of the Forum Convention Center Mortgage Loan on September 18, 2020, we further amended the agreement as described above in “—Amended and Restated Convention Center Put-Call Agreement”.</w:t>
      </w:r>
    </w:p>
    <w:p>
      <w:pPr>
        <w:spacing w:after="0" w:line="117" w:lineRule="exact"/>
        <w:rPr>
          <w:rFonts w:ascii="Arial" w:cs="Arial" w:eastAsia="Arial" w:hAnsi="Arial"/>
          <w:sz w:val="17"/>
          <w:szCs w:val="17"/>
          <w:color w:val="auto"/>
        </w:rPr>
      </w:pPr>
    </w:p>
    <w:p>
      <w:pPr>
        <w:jc w:val="both"/>
        <w:ind w:left="740" w:hanging="369"/>
        <w:spacing w:after="0" w:line="269" w:lineRule="auto"/>
        <w:tabs>
          <w:tab w:leader="none" w:pos="73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Las Vegas Strip Assets ROFR</w:t>
      </w:r>
      <w:r>
        <w:rPr>
          <w:rFonts w:ascii="Arial" w:cs="Arial" w:eastAsia="Arial" w:hAnsi="Arial"/>
          <w:sz w:val="17"/>
          <w:szCs w:val="17"/>
          <w:color w:val="auto"/>
        </w:rPr>
        <w:t>. Upon the consummation of the Eldorado Transaction, we entered into a right of first refusal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Caesars (the “Las Vegas Strip ROFR Agreement”) pursuant to which we have the first right, with respect to the first two Las Vegas Strip assets described below that Caesars proposes to sell, whether pursuant to a sale leaseback or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asset subject to the Las Vegas Strip ROFR Agreement, the foregoing assets plus The LINQ gaming facility. If we enter into a sale leaseback transaction with Caesars on any of these facilities, the leaseback may be implemented through the addition of such properties to the Las Vegas Master Lease Agreement.</w:t>
      </w:r>
    </w:p>
    <w:p>
      <w:pPr>
        <w:spacing w:after="0" w:line="129" w:lineRule="exact"/>
        <w:rPr>
          <w:rFonts w:ascii="Arial" w:cs="Arial" w:eastAsia="Arial" w:hAnsi="Arial"/>
          <w:sz w:val="17"/>
          <w:szCs w:val="17"/>
          <w:color w:val="auto"/>
        </w:rPr>
      </w:pPr>
    </w:p>
    <w:p>
      <w:pPr>
        <w:jc w:val="both"/>
        <w:ind w:left="740" w:hanging="369"/>
        <w:spacing w:after="0" w:line="311" w:lineRule="auto"/>
        <w:tabs>
          <w:tab w:leader="none" w:pos="73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Upon the consummation of the Eldorado Transaction, we entered into a right of first refusal agreement with Caesars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Capex Amendment to Caesars Leases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 2020, we entered into an Omnibus Amendment to Leases (the “Omnibus Amendment”) with Pre-Merger Caesars. Pursuant to the Omnibus Amendment, Caesars has been granted certain relief with respect to a portion of their capital expenditure obligations under the Caesars Lease Agreements conditioned upon (i) funding by Caesars of certain minimum capital expenditures in fiscal year 2020 (which represent a reduction of the minimum capital expenditure amounts currently set forth in the Caesars Lease Agreements), (ii) timely payment of Caesars’ rent obligations under the Caesars Lease Agreements during the compliance period set forth in the Omnibus Amendment, and (iii) no tenant event of default occurring under any of the Caesars Lease Agreements during the compliance period set forth in the Omnibus Amendment. Caesars will receive credit for certain deemed capital expenditure amounts, which credit may be used to satisfy certain of their capital expenditure obligations in the 2020, 2021 and 2022 fiscal years, provided that the foregoing conditions are satisfied. If Caesars fails to satisfy any of the foregoing conditions, Caesars will be required to satisfy the capital expenditure obligations set forth in the Caesars Lease Agreements or, in certain cases, to deposit amounts in respect thereof into a capital expenditure reserve in accordance with the Omnibus Amendment.</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27, 2020, we and Caesars entered into an Amended and Restated Omnibus Amendment to Leases, which provides for a proportionate adjustment to certain relief previously granted under the Omnibus Amendment with respect to a portion of the capital expenditure obligations of Caesars under the Caesars Lease Agreements in order to account for the addition of the Harrah’s Original Call Properties to the Regional Master Lease Agreement pursuant to the Harrah’s Original Call Properties Acquisitions on July 20, 2020.</w:t>
      </w:r>
    </w:p>
    <w:p>
      <w:pPr>
        <w:spacing w:after="0" w:line="13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Closing of Purchase of JACK Cleveland/Thistledown, Subsequent Amendments to the JACK Cleveland/Thistledown Lease Agreement and Termination of the Amended and Restated ROV Loan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24, 2020, we completed the previously announced transaction to acquire the casino-entitled land and real estate and related assets of the JACK Cleveland Casino (“JACK Cleveland”), located in Cleveland, Ohio and the JACK Thistledown Racino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had an initial total annual rent of $65.9 million and an initial term of 15 years, with four five-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year tenant renewal options. The tenant’s obligations under the lease are guaranteed by Rock Ohio Ventures. Additionally, we made a $50.0 million loan (the “ROV Loan”) to affiliates of Rock Ohio Ventures secured by, among other things, certain non-gaming real estate assets owned by such affiliates and guaranteed by Rock Ohio Ventures. The terms of the JACK Cleveland/Thistledown Lease Agreement and the ROV Loan were subsequently amended on July 16, 2020 and, subsequent to September 30, 2021, on October 4, 2021, as described below.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16, 2020, we and JACK Entertainment entered into an amendment to the JACK Cleveland/Thistledown Lease Agreement (the “First JACK Lease Agreement Amendment”), pursuant to which, among other things, we agreed to fund $18.0 million for the construction of a new gaming patio amenity at JACK Thistledown Racino, which will be leased by JACK Entertainment pursuant to the First JACK Lease Agreement Amendment. In connection with the construction of the gaming patio, commencing on April 1, 2022, rent under the JACK Cleveland/Thistledown Lease Agreement (as amended by the First JACK Lease Agreement Amendment) will be increased by an incremental $1.8 million. The First JACK Lease Agreement Amendment also provides for relief with respect to certain existing covenants through March 31, 2022, adds an additional five years to the initial lease term, with the tenant under the JACK Cleveland/Thistledown Lease Agreement having three (rather than four) five-year renewal options as a result of such extension of the initial lease term, and provides for rent escalation to begin in 2022 rather than 2021.</w:t>
      </w:r>
    </w:p>
    <w:p>
      <w:pPr>
        <w:spacing w:after="0" w:line="12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Simultaneously with entry into the First JACK Lease Agreement Amendment, we and affiliates of Rock Ohio Ventures entered into an amendment and restatement of our existing $50.0 million term loan agreement with such affiliates of Rock Ohio Ventures (the “Amended and Restated ROV Loan”), pursuant to which, among other things, we increased our existing term loan to $70.0 million (the “ROV Term Loan”) which bears interest at a rate of 9.0% per annum (which interest, at the option of JACK Entertainment, may be paid-in-kind through April 30, 2021 with any paid-in-kind interest required to be paid in cash in eleven equal monthly installments ending March 31, 2022), and added a $25.0 million revolving credit facility (the “ROV Credit Facility”), which bears interest at a rate of LIBOR plus 2.75% per annum. A commitment fee of 0.50% per annum calculated on the unused portion of the ROV Credit Facility is payable quarterly. The Amended and Restated ROV Loan, which includes the ROV Term Loan and ROV Credit Facility, matures in January 2025 which maturity date may be extended at the borrower’s election for up to two additional years if certain conditions are satisfied. In connection with the amendment and restatement, we received additional collateral, including an additional land parcel in proximity to JACK Cleveland so that the loan was secured by a first priority lien on substantially all gaming and non-gaming real and personal property of JACK Entertainment, including the furniture, fixtures and equipment associated with the properties. The Amended and Restated ROV Loan also provides the obligors with relief with respect to certain existing financial covenants through March 31, 2022. During the nine months ended September 30, 2021, the borrower under the ROV Term Loan elected to make prepayments in an aggregate amount of $30.0 million, plus accrued and unpaid interest in the amount of $3.7 million, reducing the outstanding aggregate principal amount of the ROV Term Loan to $40.0 million as of September 30, 2021.</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Subsequent to September 30, 2021, on October 4, 2021, we and JACK Entertainment entered into an amendment to the JACK Cleveland/Thistledown Lease Agreement (the “Second JACK Lease Agreement Amendment”), pursuant to which, among other things, (i) the variable rent and the rent coverage floor provisions were removed and, accordingly, all of the rent in the JACK Cleveland/Thistledown Lease Agreement will escalate on an annual basis for the duration of its term, and (ii) the rent escalation in 2022 was increased to mitigate the effect of the forgone rent escalation in 2021 that was agreed to as part of the First JACK Lease Agreement Amendment. Concurrent with the Second JACK Lease Agreement Amendment, JACK Entertainment also repaid the ROV Term Loan in full and we terminated our commitment under the ROV Credit Facility and, accordingly, the Amended and Restated ROV Loan.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Real Estate Portfolio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our real estate portfolio consisted of the following:</w:t>
      </w:r>
    </w:p>
    <w:p>
      <w:pPr>
        <w:spacing w:after="0" w:line="170" w:lineRule="exact"/>
        <w:rPr>
          <w:sz w:val="20"/>
          <w:szCs w:val="20"/>
          <w:color w:val="auto"/>
        </w:rPr>
      </w:pPr>
    </w:p>
    <w:p>
      <w:pPr>
        <w:ind w:left="660" w:hanging="329"/>
        <w:spacing w:after="0" w:line="27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23 casino assets leased on a triple-net basis to our tenants, Caesars, Penn National, Hard Rock, Century Casinos and EBCI, under eight separate lease agreements;</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five casino assets leased on a triple-net basis to our tenants, Caesars and JACK Entertainment, under two separate lease agreements;</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Amended and Restated ROV Loan, Chelsea Piers Mortgage Loan, Forum Convention Center Mortgage Loan and Great Wolf Mezzanine Loan; and</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6"/>
                <w:szCs w:val="16"/>
                <w:color w:val="auto"/>
              </w:rPr>
            </w:pPr>
          </w:p>
        </w:tc>
        <w:tc>
          <w:tcPr>
            <w:tcW w:w="178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2"/>
        </w:trPr>
        <w:tc>
          <w:tcPr>
            <w:tcW w:w="7100" w:type="dxa"/>
            <w:vAlign w:val="bottom"/>
            <w:gridSpan w:val="3"/>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Minimum lease payments receivable under sales-type leases </w:t>
            </w:r>
            <w:r>
              <w:rPr>
                <w:rFonts w:ascii="Arial" w:cs="Arial" w:eastAsia="Arial" w:hAnsi="Arial"/>
                <w:sz w:val="23"/>
                <w:szCs w:val="23"/>
                <w:i w:val="1"/>
                <w:iCs w:val="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44,752,017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45,500,260</w:t>
            </w:r>
          </w:p>
        </w:tc>
      </w:tr>
      <w:tr>
        <w:trPr>
          <w:trHeight w:val="229"/>
        </w:trPr>
        <w:tc>
          <w:tcPr>
            <w:tcW w:w="7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Estimated residual values of leased property (not guaranteed)</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3,342,508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3,348,174</w:t>
            </w:r>
          </w:p>
        </w:tc>
      </w:tr>
      <w:tr>
        <w:trPr>
          <w:trHeight w:val="222"/>
        </w:trPr>
        <w:tc>
          <w:tcPr>
            <w:tcW w:w="7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investment in sales-type leases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48,094,525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48,848,434</w:t>
            </w:r>
          </w:p>
        </w:tc>
      </w:tr>
      <w:tr>
        <w:trPr>
          <w:trHeight w:val="229"/>
        </w:trPr>
        <w:tc>
          <w:tcPr>
            <w:tcW w:w="7100" w:type="dxa"/>
            <w:vAlign w:val="bottom"/>
            <w:gridSpan w:val="3"/>
          </w:tcPr>
          <w:p>
            <w:pPr>
              <w:ind w:left="20"/>
              <w:spacing w:after="0"/>
              <w:rPr>
                <w:sz w:val="20"/>
                <w:szCs w:val="20"/>
                <w:color w:val="auto"/>
              </w:rPr>
            </w:pPr>
            <w:r>
              <w:rPr>
                <w:rFonts w:ascii="Arial" w:cs="Arial" w:eastAsia="Arial" w:hAnsi="Arial"/>
                <w:sz w:val="18"/>
                <w:szCs w:val="18"/>
                <w:color w:val="auto"/>
              </w:rPr>
              <w:t>Unamortized initial direct costs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23,764</w:t>
            </w:r>
          </w:p>
        </w:tc>
      </w:tr>
      <w:tr>
        <w:trPr>
          <w:trHeight w:val="229"/>
        </w:trPr>
        <w:tc>
          <w:tcPr>
            <w:tcW w:w="7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Unearned income</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(34,561,227)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(35,390,353)</w:t>
            </w:r>
          </w:p>
        </w:tc>
      </w:tr>
      <w:tr>
        <w:trPr>
          <w:trHeight w:val="229"/>
        </w:trPr>
        <w:tc>
          <w:tcPr>
            <w:tcW w:w="7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(454,201)</w:t>
            </w:r>
          </w:p>
        </w:tc>
      </w:tr>
      <w:tr>
        <w:trPr>
          <w:trHeight w:val="222"/>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leases - sales-type,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r>
      <w:tr>
        <w:trPr>
          <w:trHeight w:val="229"/>
        </w:trPr>
        <w:tc>
          <w:tcPr>
            <w:tcW w:w="7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Investments in leases - financing receivables,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2,640,399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2,618,562</w:t>
            </w:r>
          </w:p>
        </w:tc>
      </w:tr>
      <w:tr>
        <w:trPr>
          <w:trHeight w:val="222"/>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investments in leases,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15,764,608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15,646,206</w:t>
            </w:r>
          </w:p>
        </w:tc>
      </w:tr>
      <w:tr>
        <w:trPr>
          <w:trHeight w:val="229"/>
        </w:trPr>
        <w:tc>
          <w:tcPr>
            <w:tcW w:w="7100" w:type="dxa"/>
            <w:vAlign w:val="bottom"/>
            <w:gridSpan w:val="3"/>
          </w:tcPr>
          <w:p>
            <w:pPr>
              <w:ind w:left="20"/>
              <w:spacing w:after="0"/>
              <w:rPr>
                <w:sz w:val="20"/>
                <w:szCs w:val="20"/>
                <w:color w:val="auto"/>
              </w:rPr>
            </w:pPr>
            <w:r>
              <w:rPr>
                <w:rFonts w:ascii="Arial" w:cs="Arial" w:eastAsia="Arial" w:hAnsi="Arial"/>
                <w:sz w:val="18"/>
                <w:szCs w:val="18"/>
                <w:color w:val="auto"/>
              </w:rPr>
              <w:t>Investments in loans,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523,897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536,721</w:t>
            </w:r>
          </w:p>
        </w:tc>
      </w:tr>
      <w:tr>
        <w:trPr>
          <w:trHeight w:val="229"/>
        </w:trPr>
        <w:tc>
          <w:tcPr>
            <w:tcW w:w="7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158,190</w:t>
            </w:r>
          </w:p>
        </w:tc>
      </w:tr>
      <w:tr>
        <w:trPr>
          <w:trHeight w:val="222"/>
        </w:trPr>
        <w:tc>
          <w:tcPr>
            <w:tcW w:w="2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Total real estate portfolio</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16,442,081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16,341,117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Portfolio</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components of our income from direct financing, sales-type and operating leases and lease financing receivables: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5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80" w:type="dxa"/>
            <w:vAlign w:val="bottom"/>
          </w:tcPr>
          <w:p>
            <w:pPr>
              <w:jc w:val="right"/>
              <w:ind w:right="453"/>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451"/>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3"/>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1"/>
              <w:spacing w:after="0" w:line="171" w:lineRule="exact"/>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36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7"/>
                <w:szCs w:val="17"/>
                <w:color w:val="auto"/>
                <w:w w:val="97"/>
              </w:rPr>
              <w:t>Income from sales-type and direct financing leases, excluding contingent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290,706</w:t>
            </w: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270,188</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870,417</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718,192</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rent </w:t>
            </w:r>
            <w:r>
              <w:rPr>
                <w:rFonts w:ascii="Arial" w:cs="Arial" w:eastAsia="Arial" w:hAnsi="Arial"/>
                <w:sz w:val="23"/>
                <w:szCs w:val="23"/>
                <w:i w:val="1"/>
                <w:iCs w:val="1"/>
                <w:color w:val="auto"/>
                <w:vertAlign w:val="superscript"/>
              </w:rPr>
              <w:t>(1)</w:t>
            </w: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(2)</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25,464</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(3)</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Total revenue, excluding contingent rent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350,884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323,625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1,050,556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821,399</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Total lease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352,237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323,711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1,053,476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821,628</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(4)</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Total contractual lease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321,095</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304,769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965,059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tabs>
          <w:tab w:leader="none" w:pos="20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minimum lease payments under ASC 842 (or ASC 840),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September 30, 2021, we have only recognized contingent rent on our Margaritaville Lease Agreement and Greektown Lease Agreement, in relation to the variable rent portion of the respective leases. Refer to the Lease Provisions section below for information regarding contingent rent on each lease.</w:t>
      </w:r>
    </w:p>
    <w:p>
      <w:pPr>
        <w:spacing w:after="0" w:line="3" w:lineRule="exact"/>
        <w:rPr>
          <w:rFonts w:ascii="Arial" w:cs="Arial" w:eastAsia="Arial" w:hAnsi="Arial"/>
          <w:sz w:val="14"/>
          <w:szCs w:val="14"/>
          <w:i w:val="1"/>
          <w:iCs w:val="1"/>
          <w:color w:val="auto"/>
        </w:rPr>
      </w:pPr>
    </w:p>
    <w:p>
      <w:pPr>
        <w:jc w:val="both"/>
        <w:ind w:firstLine="8"/>
        <w:spacing w:after="0"/>
        <w:tabs>
          <w:tab w:leader="none" w:pos="204"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certain operating land parcels were reassessed for lease classification and were determined to be a sales-type lease. Accordingly, subsequent to July 20, 2020, such income is recognized as Income from sales-type leases.</w:t>
      </w:r>
    </w:p>
    <w:p>
      <w:pPr>
        <w:spacing w:after="0" w:line="2" w:lineRule="exact"/>
        <w:rPr>
          <w:rFonts w:ascii="Arial" w:cs="Arial" w:eastAsia="Arial" w:hAnsi="Arial"/>
          <w:sz w:val="14"/>
          <w:szCs w:val="14"/>
          <w:i w:val="1"/>
          <w:iCs w:val="1"/>
          <w:color w:val="auto"/>
        </w:rPr>
      </w:pPr>
    </w:p>
    <w:p>
      <w:pPr>
        <w:jc w:val="both"/>
        <w:ind w:firstLine="8"/>
        <w:spacing w:after="0"/>
        <w:tabs>
          <w:tab w:leader="none" w:pos="207"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Harrah’s Original Call Properties and the JACK Cleveland/Thistledown Lease Agreement, both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4" w:lineRule="auto"/>
        <w:tabs>
          <w:tab w:leader="none" w:pos="20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direct financing leases, sales-type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At September 30, 2021, minimum lease payments owed to us for each of the five succeeding years under sales-type leases and our leases accounted for as financing receivables,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 xml:space="preserve">Minimum Lease Payments </w:t>
            </w:r>
            <w:r>
              <w:rPr>
                <w:rFonts w:ascii="Arial" w:cs="Arial" w:eastAsia="Arial" w:hAnsi="Arial"/>
                <w:sz w:val="21"/>
                <w:szCs w:val="21"/>
                <w:b w:val="1"/>
                <w:bCs w:val="1"/>
                <w:i w:val="1"/>
                <w:iCs w:val="1"/>
                <w:color w:val="auto"/>
                <w:w w:val="89"/>
                <w:vertAlign w:val="superscript"/>
              </w:rPr>
              <w:t>(1) (2)</w:t>
            </w:r>
          </w:p>
        </w:tc>
        <w:tc>
          <w:tcPr>
            <w:tcW w:w="5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4"/>
          </w:tcPr>
          <w:p>
            <w:pPr>
              <w:jc w:val="right"/>
              <w:ind w:right="1712"/>
              <w:spacing w:after="0"/>
              <w:rPr>
                <w:sz w:val="20"/>
                <w:szCs w:val="20"/>
                <w:color w:val="auto"/>
              </w:rPr>
            </w:pPr>
            <w:r>
              <w:rPr>
                <w:rFonts w:ascii="Arial" w:cs="Arial" w:eastAsia="Arial" w:hAnsi="Arial"/>
                <w:sz w:val="16"/>
                <w:szCs w:val="16"/>
                <w:b w:val="1"/>
                <w:bCs w:val="1"/>
                <w:color w:val="auto"/>
              </w:rPr>
              <w:t>Investments in Leases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2"/>
        </w:trPr>
        <w:tc>
          <w:tcPr>
            <w:tcW w:w="35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8"/>
                <w:szCs w:val="18"/>
                <w:color w:val="auto"/>
              </w:rPr>
            </w:pPr>
          </w:p>
        </w:tc>
        <w:tc>
          <w:tcPr>
            <w:tcW w:w="2100" w:type="dxa"/>
            <w:vAlign w:val="bottom"/>
            <w:gridSpan w:val="2"/>
          </w:tcPr>
          <w:p>
            <w:pPr>
              <w:ind w:left="380"/>
              <w:spacing w:after="0"/>
              <w:rPr>
                <w:sz w:val="20"/>
                <w:szCs w:val="20"/>
                <w:color w:val="auto"/>
              </w:rPr>
            </w:pPr>
            <w:r>
              <w:rPr>
                <w:rFonts w:ascii="Arial" w:cs="Arial" w:eastAsia="Arial" w:hAnsi="Arial"/>
                <w:sz w:val="16"/>
                <w:szCs w:val="16"/>
                <w:b w:val="1"/>
                <w:bCs w:val="1"/>
                <w:color w:val="auto"/>
              </w:rPr>
              <w:t>Sales-Type</w:t>
            </w:r>
          </w:p>
        </w:tc>
        <w:tc>
          <w:tcPr>
            <w:tcW w:w="1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Financing Receivables</w:t>
            </w:r>
          </w:p>
        </w:tc>
        <w:tc>
          <w:tcPr>
            <w:tcW w:w="580" w:type="dxa"/>
            <w:vAlign w:val="bottom"/>
          </w:tcPr>
          <w:p>
            <w:pPr>
              <w:spacing w:after="0"/>
              <w:rPr>
                <w:sz w:val="18"/>
                <w:szCs w:val="18"/>
                <w:color w:val="auto"/>
              </w:rPr>
            </w:pPr>
          </w:p>
        </w:tc>
        <w:tc>
          <w:tcPr>
            <w:tcW w:w="1920" w:type="dxa"/>
            <w:vAlign w:val="bottom"/>
          </w:tcPr>
          <w:p>
            <w:pPr>
              <w:jc w:val="right"/>
              <w:ind w:right="991"/>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2"/>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322,731</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1,075,509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227,017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1,302,526</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1,325,521</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1,111,961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235,421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1,347,382</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1,363,924</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1,140,571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240,191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1,380,762</w:t>
            </w: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38,936,896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7,999,428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46,936,324</w:t>
            </w:r>
          </w:p>
        </w:tc>
      </w:tr>
      <w:tr>
        <w:trPr>
          <w:trHeight w:val="222"/>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44,752,017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9,227,153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53,979,170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r>
      <w:tr>
        <w:trPr>
          <w:trHeight w:val="291"/>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Weighted Average Lease Term </w:t>
            </w:r>
            <w:r>
              <w:rPr>
                <w:rFonts w:ascii="Arial" w:cs="Arial" w:eastAsia="Arial" w:hAnsi="Arial"/>
                <w:sz w:val="23"/>
                <w:szCs w:val="23"/>
                <w:b w:val="1"/>
                <w:bCs w:val="1"/>
                <w:i w:val="1"/>
                <w:iCs w:val="1"/>
                <w:color w:val="auto"/>
                <w:vertAlign w:val="superscript"/>
              </w:rPr>
              <w:t>(2)</w:t>
            </w:r>
          </w:p>
        </w:tc>
        <w:tc>
          <w:tcPr>
            <w:tcW w:w="500" w:type="dxa"/>
            <w:vAlign w:val="bottom"/>
          </w:tcPr>
          <w:p>
            <w:pPr>
              <w:spacing w:after="0"/>
              <w:rPr>
                <w:sz w:val="24"/>
                <w:szCs w:val="24"/>
                <w:color w:val="auto"/>
              </w:rPr>
            </w:pP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33.0</w:t>
            </w:r>
          </w:p>
        </w:tc>
      </w:tr>
      <w:tr>
        <w:trPr>
          <w:trHeight w:val="174"/>
        </w:trPr>
        <w:tc>
          <w:tcPr>
            <w:tcW w:w="354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ind w:left="220" w:hanging="212"/>
        <w:spacing w:after="0"/>
        <w:tabs>
          <w:tab w:leader="none" w:pos="2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ind w:left="220" w:hanging="212"/>
        <w:spacing w:after="0"/>
        <w:tabs>
          <w:tab w:leader="none" w:pos="22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Caesars Lease Agreements: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0" w:type="dxa"/>
            <w:vAlign w:val="bottom"/>
          </w:tcPr>
          <w:p>
            <w:pPr>
              <w:spacing w:after="0"/>
              <w:rPr>
                <w:sz w:val="14"/>
                <w:szCs w:val="14"/>
                <w:color w:val="auto"/>
              </w:rPr>
            </w:pPr>
          </w:p>
        </w:tc>
        <w:tc>
          <w:tcPr>
            <w:tcW w:w="38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4"/>
              </w:rPr>
              <w:t>Regional Master Lease Agreement and Joliet Lease</w:t>
            </w:r>
          </w:p>
        </w:tc>
        <w:tc>
          <w:tcPr>
            <w:tcW w:w="2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gridSpan w:val="3"/>
            <w:vMerge w:val="continu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3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1"/>
                <w:szCs w:val="21"/>
                <w:b w:val="1"/>
                <w:bCs w:val="1"/>
                <w:i w:val="1"/>
                <w:iCs w:val="1"/>
                <w:color w:val="auto"/>
                <w:vertAlign w:val="superscript"/>
              </w:rPr>
              <w:t>(1)</w:t>
            </w:r>
          </w:p>
        </w:tc>
        <w:tc>
          <w:tcPr>
            <w:tcW w:w="100" w:type="dxa"/>
            <w:vAlign w:val="bottom"/>
          </w:tcPr>
          <w:p>
            <w:pPr>
              <w:spacing w:after="0"/>
              <w:rPr>
                <w:sz w:val="5"/>
                <w:szCs w:val="5"/>
                <w:color w:val="auto"/>
              </w:rPr>
            </w:pPr>
          </w:p>
        </w:tc>
        <w:tc>
          <w:tcPr>
            <w:tcW w:w="3820" w:type="dxa"/>
            <w:vAlign w:val="bottom"/>
            <w:gridSpan w:val="3"/>
            <w:vMerge w:val="continue"/>
          </w:tcPr>
          <w:p>
            <w:pPr>
              <w:spacing w:after="0"/>
              <w:rPr>
                <w:sz w:val="5"/>
                <w:szCs w:val="5"/>
                <w:color w:val="auto"/>
              </w:rPr>
            </w:pPr>
          </w:p>
        </w:tc>
        <w:tc>
          <w:tcPr>
            <w:tcW w:w="372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Las Vegas Master Lease Agreement</w:t>
            </w: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gridSpan w:val="3"/>
          </w:tcPr>
          <w:p>
            <w:pPr>
              <w:ind w:left="1480"/>
              <w:spacing w:after="0"/>
              <w:rPr>
                <w:sz w:val="20"/>
                <w:szCs w:val="20"/>
                <w:color w:val="auto"/>
              </w:rPr>
            </w:pPr>
            <w:r>
              <w:rPr>
                <w:rFonts w:ascii="Arial" w:cs="Arial" w:eastAsia="Arial" w:hAnsi="Arial"/>
                <w:sz w:val="16"/>
                <w:szCs w:val="16"/>
                <w:b w:val="1"/>
                <w:bCs w:val="1"/>
                <w:color w:val="auto"/>
              </w:rPr>
              <w:t>Agreement</w:t>
            </w:r>
          </w:p>
        </w:tc>
        <w:tc>
          <w:tcPr>
            <w:tcW w:w="3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tcBorders>
              <w:top w:val="single" w:sz="8" w:color="auto"/>
            </w:tcBorders>
            <w:gridSpan w:val="3"/>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Initial Term </w:t>
            </w:r>
            <w:r>
              <w:rPr>
                <w:rFonts w:ascii="Arial" w:cs="Arial" w:eastAsia="Arial" w:hAnsi="Arial"/>
                <w:sz w:val="23"/>
                <w:szCs w:val="23"/>
                <w:i w:val="1"/>
                <w:iCs w:val="1"/>
                <w:color w:val="auto"/>
                <w:vertAlign w:val="superscript"/>
              </w:rPr>
              <w:t>(2)</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 years</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 years</w:t>
            </w:r>
          </w:p>
        </w:tc>
        <w:tc>
          <w:tcPr>
            <w:tcW w:w="0" w:type="dxa"/>
            <w:vAlign w:val="bottom"/>
          </w:tcPr>
          <w:p>
            <w:pPr>
              <w:spacing w:after="0"/>
              <w:rPr>
                <w:sz w:val="1"/>
                <w:szCs w:val="1"/>
                <w:color w:val="auto"/>
              </w:rPr>
            </w:pPr>
          </w:p>
        </w:tc>
      </w:tr>
      <w:tr>
        <w:trPr>
          <w:trHeight w:val="229"/>
        </w:trPr>
        <w:tc>
          <w:tcPr>
            <w:tcW w:w="360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Initial Term maturity </w:t>
            </w:r>
            <w:r>
              <w:rPr>
                <w:rFonts w:ascii="Arial" w:cs="Arial" w:eastAsia="Arial" w:hAnsi="Arial"/>
                <w:sz w:val="23"/>
                <w:szCs w:val="23"/>
                <w:i w:val="1"/>
                <w:iCs w:val="1"/>
                <w:color w:val="auto"/>
                <w:vertAlign w:val="superscript"/>
              </w:rPr>
              <w:t>(2)</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7/31/2035</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7/31/2035</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Renewal Terms</w:t>
            </w:r>
          </w:p>
        </w:tc>
        <w:tc>
          <w:tcPr>
            <w:tcW w:w="100" w:type="dxa"/>
            <w:vAlign w:val="bottom"/>
            <w:tcBorders>
              <w:right w:val="single" w:sz="8" w:color="CCEEFF"/>
            </w:tcBorders>
            <w:shd w:val="clear" w:color="auto" w:fill="CCEEFF"/>
          </w:tcPr>
          <w:p>
            <w:pPr>
              <w:spacing w:after="0"/>
              <w:rPr>
                <w:sz w:val="19"/>
                <w:szCs w:val="19"/>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Four, five-year terms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360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(3)</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$639,972</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$402,609</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(4)</w:t>
            </w: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Lease years 2-5 - 1.5%</w:t>
            </w:r>
          </w:p>
        </w:tc>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&gt; 2% / change in CPI</w:t>
            </w:r>
          </w:p>
        </w:tc>
        <w:tc>
          <w:tcPr>
            <w:tcW w:w="0" w:type="dxa"/>
            <w:vAlign w:val="bottom"/>
          </w:tcPr>
          <w:p>
            <w:pPr>
              <w:spacing w:after="0"/>
              <w:rPr>
                <w:sz w:val="1"/>
                <w:szCs w:val="1"/>
                <w:color w:val="auto"/>
              </w:rPr>
            </w:pPr>
          </w:p>
        </w:tc>
      </w:tr>
      <w:tr>
        <w:trPr>
          <w:trHeight w:val="175"/>
        </w:trPr>
        <w:tc>
          <w:tcPr>
            <w:tcW w:w="3600" w:type="dxa"/>
            <w:vAlign w:val="bottom"/>
            <w:gridSpan w:val="3"/>
            <w:vMerge w:val="continue"/>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8"/>
              </w:rPr>
              <w:t>Lease years 6-end of term - CPI subject to 2.0%</w:t>
            </w:r>
          </w:p>
        </w:tc>
        <w:tc>
          <w:tcPr>
            <w:tcW w:w="3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floor</w:t>
            </w:r>
          </w:p>
        </w:tc>
        <w:tc>
          <w:tcPr>
            <w:tcW w:w="2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gridSpan w:val="3"/>
            <w:vMerge w:val="restart"/>
          </w:tcPr>
          <w:p>
            <w:pPr>
              <w:ind w:left="20"/>
              <w:spacing w:after="0"/>
              <w:rPr>
                <w:sz w:val="20"/>
                <w:szCs w:val="20"/>
                <w:color w:val="auto"/>
              </w:rPr>
            </w:pPr>
            <w:r>
              <w:rPr>
                <w:rFonts w:ascii="Arial" w:cs="Arial" w:eastAsia="Arial" w:hAnsi="Arial"/>
                <w:sz w:val="18"/>
                <w:szCs w:val="18"/>
                <w:color w:val="auto"/>
              </w:rPr>
              <w:t>Variable Rent adjustment</w:t>
            </w:r>
          </w:p>
        </w:tc>
        <w:tc>
          <w:tcPr>
            <w:tcW w:w="100" w:type="dxa"/>
            <w:vAlign w:val="bottom"/>
          </w:tcPr>
          <w:p>
            <w:pPr>
              <w:spacing w:after="0"/>
              <w:rPr>
                <w:sz w:val="15"/>
                <w:szCs w:val="15"/>
                <w:color w:val="auto"/>
              </w:rPr>
            </w:pPr>
          </w:p>
        </w:tc>
        <w:tc>
          <w:tcPr>
            <w:tcW w:w="38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 30% variable rent</w:t>
            </w:r>
          </w:p>
        </w:tc>
        <w:tc>
          <w:tcPr>
            <w:tcW w:w="3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96"/>
              </w:rPr>
              <w:t>Years 8, 11 &amp; 16</w:t>
            </w:r>
            <w:r>
              <w:rPr>
                <w:rFonts w:ascii="Arial" w:cs="Arial" w:eastAsia="Arial" w:hAnsi="Arial"/>
                <w:sz w:val="18"/>
                <w:szCs w:val="18"/>
                <w:color w:val="auto"/>
                <w:w w:val="96"/>
              </w:rPr>
              <w:t>: 80% base rent / 20% variable</w:t>
            </w:r>
          </w:p>
        </w:tc>
        <w:tc>
          <w:tcPr>
            <w:tcW w:w="0" w:type="dxa"/>
            <w:vAlign w:val="bottom"/>
          </w:tcPr>
          <w:p>
            <w:pPr>
              <w:spacing w:after="0"/>
              <w:rPr>
                <w:sz w:val="1"/>
                <w:szCs w:val="1"/>
                <w:color w:val="auto"/>
              </w:rPr>
            </w:pPr>
          </w:p>
        </w:tc>
      </w:tr>
      <w:tr>
        <w:trPr>
          <w:trHeight w:val="135"/>
        </w:trPr>
        <w:tc>
          <w:tcPr>
            <w:tcW w:w="36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Years 11 &amp; 16</w:t>
            </w:r>
            <w:r>
              <w:rPr>
                <w:rFonts w:ascii="Arial" w:cs="Arial" w:eastAsia="Arial" w:hAnsi="Arial"/>
                <w:sz w:val="18"/>
                <w:szCs w:val="18"/>
                <w:color w:val="auto"/>
                <w:w w:val="94"/>
              </w:rPr>
              <w:t>: 80% base rent / 20% variable rent</w:t>
            </w:r>
          </w:p>
        </w:tc>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rent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7"/>
              </w:rPr>
              <w:t>4% of revenue increase/decrease:</w:t>
            </w:r>
          </w:p>
        </w:tc>
        <w:tc>
          <w:tcPr>
            <w:tcW w:w="1420" w:type="dxa"/>
            <w:vAlign w:val="bottom"/>
            <w:tcBorders>
              <w:right w:val="single" w:sz="8" w:color="CCEEFF"/>
            </w:tcBorders>
            <w:gridSpan w:val="2"/>
            <w:shd w:val="clear" w:color="auto" w:fill="CCEEFF"/>
          </w:tcPr>
          <w:p>
            <w:pPr>
              <w:spacing w:after="0"/>
              <w:rPr>
                <w:sz w:val="16"/>
                <w:szCs w:val="16"/>
                <w:color w:val="auto"/>
              </w:rPr>
            </w:pPr>
          </w:p>
        </w:tc>
        <w:tc>
          <w:tcPr>
            <w:tcW w:w="3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4% of revenue increase/decrease:</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gridSpan w:val="2"/>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Variable Rent adjustment calculation </w:t>
            </w:r>
            <w:r>
              <w:rPr>
                <w:rFonts w:ascii="Arial" w:cs="Arial" w:eastAsia="Arial" w:hAnsi="Arial"/>
                <w:sz w:val="23"/>
                <w:szCs w:val="23"/>
                <w:i w:val="1"/>
                <w:iCs w:val="1"/>
                <w:color w:val="auto"/>
                <w:vertAlign w:val="superscript"/>
              </w:rPr>
              <w:t>(5)</w:t>
            </w:r>
          </w:p>
        </w:tc>
        <w:tc>
          <w:tcPr>
            <w:tcW w:w="100" w:type="dxa"/>
            <w:vAlign w:val="bottom"/>
            <w:tcBorders>
              <w:right w:val="single" w:sz="8" w:color="CCEEFF"/>
            </w:tcBorders>
            <w:shd w:val="clear" w:color="auto" w:fill="CCEEFF"/>
          </w:tcPr>
          <w:p>
            <w:pPr>
              <w:spacing w:after="0"/>
              <w:rPr>
                <w:sz w:val="12"/>
                <w:szCs w:val="12"/>
                <w:color w:val="auto"/>
              </w:rPr>
            </w:pPr>
          </w:p>
        </w:tc>
        <w:tc>
          <w:tcPr>
            <w:tcW w:w="3820" w:type="dxa"/>
            <w:vAlign w:val="bottom"/>
            <w:tcBorders>
              <w:right w:val="single" w:sz="8" w:color="CCEEFF"/>
            </w:tcBorders>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 less avg. of years 0-2</w:t>
            </w:r>
          </w:p>
        </w:tc>
        <w:tc>
          <w:tcPr>
            <w:tcW w:w="372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 less avg. of years 0-2</w:t>
            </w:r>
          </w:p>
        </w:tc>
        <w:tc>
          <w:tcPr>
            <w:tcW w:w="0" w:type="dxa"/>
            <w:vAlign w:val="bottom"/>
          </w:tcPr>
          <w:p>
            <w:pPr>
              <w:spacing w:after="0"/>
              <w:rPr>
                <w:sz w:val="1"/>
                <w:szCs w:val="1"/>
                <w:color w:val="auto"/>
              </w:rPr>
            </w:pPr>
          </w:p>
        </w:tc>
      </w:tr>
      <w:tr>
        <w:trPr>
          <w:trHeight w:val="175"/>
        </w:trPr>
        <w:tc>
          <w:tcPr>
            <w:tcW w:w="3600" w:type="dxa"/>
            <w:vAlign w:val="bottom"/>
            <w:gridSpan w:val="3"/>
            <w:vMerge w:val="continue"/>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Year 11</w:t>
            </w:r>
            <w:r>
              <w:rPr>
                <w:rFonts w:ascii="Arial" w:cs="Arial" w:eastAsia="Arial" w:hAnsi="Arial"/>
                <w:sz w:val="18"/>
                <w:szCs w:val="18"/>
                <w:color w:val="auto"/>
                <w:w w:val="95"/>
              </w:rPr>
              <w:t>: Avg. of years 8-10 less avg. of years 5-7</w:t>
            </w: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Year 11</w:t>
            </w:r>
            <w:r>
              <w:rPr>
                <w:rFonts w:ascii="Arial" w:cs="Arial" w:eastAsia="Arial" w:hAnsi="Arial"/>
                <w:sz w:val="18"/>
                <w:szCs w:val="18"/>
                <w:color w:val="auto"/>
                <w:w w:val="93"/>
              </w:rPr>
              <w:t>: Avg. of years 8-10 less avg. of years 5-7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Year 16</w:t>
            </w:r>
            <w:r>
              <w:rPr>
                <w:rFonts w:ascii="Arial" w:cs="Arial" w:eastAsia="Arial" w:hAnsi="Arial"/>
                <w:sz w:val="18"/>
                <w:szCs w:val="18"/>
                <w:color w:val="auto"/>
                <w:w w:val="95"/>
              </w:rPr>
              <w:t>: Avg. of years 13-15 less avg. of years 8-</w:t>
            </w: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Year 16</w:t>
            </w:r>
            <w:r>
              <w:rPr>
                <w:rFonts w:ascii="Arial" w:cs="Arial" w:eastAsia="Arial" w:hAnsi="Arial"/>
                <w:sz w:val="18"/>
                <w:szCs w:val="18"/>
                <w:color w:val="auto"/>
                <w:w w:val="93"/>
              </w:rPr>
              <w:t>: Avg. of years 13-15 less avg. of years 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0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Upon the consummation of the Eldorado Transaction, the Caesars Lease Agreements were extended such that each lease has a full 15-year initial term.</w:t>
      </w:r>
    </w:p>
    <w:p>
      <w:pPr>
        <w:ind w:right="160" w:firstLine="8"/>
        <w:spacing w:after="0" w:line="220" w:lineRule="auto"/>
        <w:tabs>
          <w:tab w:leader="none" w:pos="203"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amounts represent the current annual base rent payable for the current lease year, which is the period from November 1, 2020 through October 31, 2021. Annual rental payments under the Regional Master Lease Agreement were reduced by $32.5 million, which represents the annual rent for the EBCI Lease Agreement related to the Caesars Southern Indiana property, the operations of which were acquired by EBCI from Caesars on September 3, 2021, as further described in </w:t>
      </w:r>
      <w:hyperlink w:anchor="page17">
        <w:r>
          <w:rPr>
            <w:rFonts w:ascii="Arial" w:cs="Arial" w:eastAsia="Arial" w:hAnsi="Arial"/>
            <w:sz w:val="14"/>
            <w:szCs w:val="14"/>
            <w:i w:val="1"/>
            <w:iCs w:val="1"/>
            <w:color w:val="auto"/>
          </w:rPr>
          <w:t xml:space="preserve">Note 3 - Property Transactions. </w:t>
        </w:r>
      </w:hyperlink>
      <w:r>
        <w:rPr>
          <w:rFonts w:ascii="Arial" w:cs="Arial" w:eastAsia="Arial" w:hAnsi="Arial"/>
          <w:sz w:val="14"/>
          <w:szCs w:val="14"/>
          <w:i w:val="1"/>
          <w:iCs w:val="1"/>
          <w:color w:val="auto"/>
        </w:rPr>
        <w:t>Refer to the EBCI Lease Agreement summary below for details of the EBCI Lease Agreement.</w:t>
      </w:r>
    </w:p>
    <w:p>
      <w:pPr>
        <w:spacing w:after="0" w:line="2" w:lineRule="exact"/>
        <w:rPr>
          <w:rFonts w:ascii="Arial" w:cs="Arial" w:eastAsia="Arial" w:hAnsi="Arial"/>
          <w:sz w:val="14"/>
          <w:szCs w:val="14"/>
          <w:i w:val="1"/>
          <w:iCs w:val="1"/>
          <w:color w:val="auto"/>
        </w:rPr>
      </w:pPr>
    </w:p>
    <w:p>
      <w:pPr>
        <w:ind w:firstLine="8"/>
        <w:spacing w:after="0"/>
        <w:tabs>
          <w:tab w:leader="none" w:pos="208"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2021 and 2020.</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Penn National Lease Agreements: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2" w:lineRule="exact"/>
        <w:rPr>
          <w:sz w:val="20"/>
          <w:szCs w:val="20"/>
          <w:color w:val="auto"/>
        </w:rPr>
      </w:pPr>
    </w:p>
    <w:p>
      <w:pPr>
        <w:ind w:left="20"/>
        <w:spacing w:after="0"/>
        <w:tabs>
          <w:tab w:leader="none" w:pos="4380" w:val="left"/>
          <w:tab w:leader="none" w:pos="83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6"/>
          <w:szCs w:val="16"/>
          <w:b w:val="1"/>
          <w:bCs w:val="1"/>
          <w:color w:val="auto"/>
        </w:rPr>
        <w:t>Margaritaville Lease Agreement</w:t>
      </w:r>
      <w:r>
        <w:rPr>
          <w:sz w:val="20"/>
          <w:szCs w:val="20"/>
          <w:color w:val="auto"/>
        </w:rPr>
        <w:tab/>
      </w:r>
      <w:r>
        <w:rPr>
          <w:rFonts w:ascii="Arial" w:cs="Arial" w:eastAsia="Arial" w:hAnsi="Arial"/>
          <w:sz w:val="14"/>
          <w:szCs w:val="14"/>
          <w:b w:val="1"/>
          <w:bCs w:val="1"/>
          <w:color w:val="auto"/>
        </w:rPr>
        <w:t>Greektown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955" cy="153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ind w:left="20"/>
        <w:spacing w:after="0" w:line="231" w:lineRule="auto"/>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140"/>
        <w:spacing w:after="0"/>
        <w:rPr>
          <w:sz w:val="20"/>
          <w:szCs w:val="20"/>
          <w:color w:val="auto"/>
        </w:rPr>
      </w:pPr>
      <w:r>
        <w:rPr>
          <w:rFonts w:ascii="Arial" w:cs="Arial" w:eastAsia="Arial" w:hAnsi="Arial"/>
          <w:sz w:val="17"/>
          <w:szCs w:val="17"/>
          <w:color w:val="auto"/>
        </w:rPr>
        <w:t xml:space="preserve">Escalation commencement </w:t>
      </w:r>
      <w:r>
        <w:rPr>
          <w:rFonts w:ascii="Arial" w:cs="Arial" w:eastAsia="Arial" w:hAnsi="Arial"/>
          <w:sz w:val="22"/>
          <w:szCs w:val="22"/>
          <w:i w:val="1"/>
          <w:iCs w:val="1"/>
          <w:color w:val="auto"/>
          <w:vertAlign w:val="superscript"/>
        </w:rPr>
        <w:t>(2)</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Escalation</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Performance to rent ratio floor </w:t>
      </w:r>
      <w:r>
        <w:rPr>
          <w:rFonts w:ascii="Arial" w:cs="Arial" w:eastAsia="Arial" w:hAnsi="Arial"/>
          <w:sz w:val="21"/>
          <w:szCs w:val="21"/>
          <w:i w:val="1"/>
          <w:iCs w:val="1"/>
          <w:color w:val="auto"/>
          <w:vertAlign w:val="superscript"/>
        </w:rPr>
        <w:t>(2)</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3"/>
          <w:szCs w:val="23"/>
          <w:i w:val="1"/>
          <w:iCs w:val="1"/>
          <w:color w:val="auto"/>
          <w:vertAlign w:val="superscript"/>
        </w:rPr>
        <w:t>(3)</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Percentage rent multiplier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12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1/31/2034</w:t>
            </w:r>
          </w:p>
        </w:tc>
        <w:tc>
          <w:tcPr>
            <w:tcW w:w="1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5/23/2034</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3740" w:type="dxa"/>
            <w:vAlign w:val="bottom"/>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$23,462</w:t>
            </w:r>
          </w:p>
        </w:tc>
        <w:tc>
          <w:tcPr>
            <w:tcW w:w="1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$51,312</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3740" w:type="dxa"/>
            <w:vAlign w:val="bottom"/>
          </w:tcPr>
          <w:p>
            <w:pPr>
              <w:ind w:left="20"/>
              <w:spacing w:after="0"/>
              <w:rPr>
                <w:sz w:val="20"/>
                <w:szCs w:val="20"/>
                <w:color w:val="auto"/>
              </w:rPr>
            </w:pPr>
            <w:r>
              <w:rPr>
                <w:rFonts w:ascii="Arial" w:cs="Arial" w:eastAsia="Arial" w:hAnsi="Arial"/>
                <w:sz w:val="18"/>
                <w:szCs w:val="18"/>
                <w:color w:val="auto"/>
              </w:rPr>
              <w:t>Lease year four</w:t>
            </w:r>
          </w:p>
        </w:tc>
        <w:tc>
          <w:tcPr>
            <w:tcW w:w="0" w:type="dxa"/>
            <w:vAlign w:val="bottom"/>
          </w:tcPr>
          <w:p>
            <w:pPr>
              <w:spacing w:after="0"/>
              <w:rPr>
                <w:sz w:val="1"/>
                <w:szCs w:val="1"/>
                <w:color w:val="auto"/>
              </w:rPr>
            </w:pPr>
          </w:p>
        </w:tc>
      </w:tr>
      <w:tr>
        <w:trPr>
          <w:trHeight w:val="176"/>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0" w:type="dxa"/>
            <w:vAlign w:val="bottom"/>
          </w:tcPr>
          <w:p>
            <w:pPr>
              <w:spacing w:after="0"/>
              <w:rPr>
                <w:sz w:val="1"/>
                <w:szCs w:val="1"/>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revenue to rent ratio floor</w:t>
            </w:r>
          </w:p>
        </w:tc>
        <w:tc>
          <w:tcPr>
            <w:tcW w:w="3740" w:type="dxa"/>
            <w:vAlign w:val="bottom"/>
          </w:tcPr>
          <w:p>
            <w:pPr>
              <w:ind w:left="20"/>
              <w:spacing w:after="0"/>
              <w:rPr>
                <w:sz w:val="20"/>
                <w:szCs w:val="20"/>
                <w:color w:val="auto"/>
              </w:rPr>
            </w:pPr>
            <w:r>
              <w:rPr>
                <w:rFonts w:ascii="Arial" w:cs="Arial" w:eastAsia="Arial" w:hAnsi="Arial"/>
                <w:sz w:val="18"/>
                <w:szCs w:val="18"/>
                <w:color w:val="auto"/>
              </w:rPr>
              <w:t>revenue to rent ratio floor</w:t>
            </w:r>
          </w:p>
        </w:tc>
        <w:tc>
          <w:tcPr>
            <w:tcW w:w="0" w:type="dxa"/>
            <w:vAlign w:val="bottom"/>
          </w:tcPr>
          <w:p>
            <w:pPr>
              <w:spacing w:after="0"/>
              <w:rPr>
                <w:sz w:val="1"/>
                <w:szCs w:val="1"/>
                <w:color w:val="auto"/>
              </w:rPr>
            </w:pPr>
          </w:p>
        </w:tc>
      </w:tr>
      <w:tr>
        <w:trPr>
          <w:trHeight w:val="176"/>
        </w:trPr>
        <w:tc>
          <w:tcPr>
            <w:tcW w:w="3860" w:type="dxa"/>
            <w:vAlign w:val="bottom"/>
            <w:gridSpan w:val="2"/>
            <w:vMerge w:val="restart"/>
          </w:tcPr>
          <w:p>
            <w:pPr>
              <w:ind w:left="20"/>
              <w:spacing w:after="0"/>
              <w:rPr>
                <w:sz w:val="20"/>
                <w:szCs w:val="20"/>
                <w:color w:val="auto"/>
              </w:rPr>
            </w:pPr>
            <w:r>
              <w:rPr>
                <w:rFonts w:ascii="Arial" w:cs="Arial" w:eastAsia="Arial" w:hAnsi="Arial"/>
                <w:sz w:val="18"/>
                <w:szCs w:val="18"/>
                <w:color w:val="auto"/>
              </w:rPr>
              <w:t>6.1x net revenue commencing lease year two</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1"/>
              </w:rPr>
              <w:t>Net revenue ratio to be mutually agreed upon prior</w:t>
            </w:r>
          </w:p>
        </w:tc>
        <w:tc>
          <w:tcPr>
            <w:tcW w:w="0" w:type="dxa"/>
            <w:vAlign w:val="bottom"/>
          </w:tcPr>
          <w:p>
            <w:pPr>
              <w:spacing w:after="0"/>
              <w:rPr>
                <w:sz w:val="1"/>
                <w:szCs w:val="1"/>
                <w:color w:val="auto"/>
              </w:rPr>
            </w:pPr>
          </w:p>
        </w:tc>
      </w:tr>
      <w:tr>
        <w:trPr>
          <w:trHeight w:val="135"/>
        </w:trPr>
        <w:tc>
          <w:tcPr>
            <w:tcW w:w="3860" w:type="dxa"/>
            <w:vAlign w:val="bottom"/>
            <w:gridSpan w:val="2"/>
            <w:vMerge w:val="continue"/>
          </w:tcPr>
          <w:p>
            <w:pPr>
              <w:spacing w:after="0"/>
              <w:rPr>
                <w:sz w:val="11"/>
                <w:szCs w:val="11"/>
                <w:color w:val="auto"/>
              </w:rPr>
            </w:pPr>
          </w:p>
        </w:tc>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to the commencement of lease year four</w:t>
            </w:r>
          </w:p>
        </w:tc>
        <w:tc>
          <w:tcPr>
            <w:tcW w:w="0" w:type="dxa"/>
            <w:vAlign w:val="bottom"/>
          </w:tcPr>
          <w:p>
            <w:pPr>
              <w:spacing w:after="0"/>
              <w:rPr>
                <w:sz w:val="1"/>
                <w:szCs w:val="1"/>
                <w:color w:val="auto"/>
              </w:rPr>
            </w:pPr>
          </w:p>
        </w:tc>
      </w:tr>
      <w:tr>
        <w:trPr>
          <w:trHeight w:val="93"/>
        </w:trPr>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$3,000 (fixed for lease year one and two)</w:t>
            </w:r>
          </w:p>
        </w:tc>
        <w:tc>
          <w:tcPr>
            <w:tcW w:w="3740" w:type="dxa"/>
            <w:vAlign w:val="bottom"/>
          </w:tcPr>
          <w:p>
            <w:pPr>
              <w:ind w:left="20"/>
              <w:spacing w:after="0"/>
              <w:rPr>
                <w:sz w:val="20"/>
                <w:szCs w:val="20"/>
                <w:color w:val="auto"/>
              </w:rPr>
            </w:pPr>
            <w:r>
              <w:rPr>
                <w:rFonts w:ascii="Arial" w:cs="Arial" w:eastAsia="Arial" w:hAnsi="Arial"/>
                <w:sz w:val="18"/>
                <w:szCs w:val="18"/>
                <w:color w:val="auto"/>
              </w:rPr>
              <w:t>$6,384 (fixed for lease year one and two)</w:t>
            </w:r>
          </w:p>
        </w:tc>
        <w:tc>
          <w:tcPr>
            <w:tcW w:w="0" w:type="dxa"/>
            <w:vAlign w:val="bottom"/>
          </w:tcPr>
          <w:p>
            <w:pPr>
              <w:spacing w:after="0"/>
              <w:rPr>
                <w:sz w:val="1"/>
                <w:szCs w:val="1"/>
                <w:color w:val="auto"/>
              </w:rPr>
            </w:pPr>
          </w:p>
        </w:tc>
      </w:tr>
      <w:tr>
        <w:trPr>
          <w:trHeight w:val="176"/>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Lease year three and each and every other lease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4"/>
              </w:rPr>
              <w:t>Lease year three and each and every other lease</w:t>
            </w:r>
          </w:p>
        </w:tc>
        <w:tc>
          <w:tcPr>
            <w:tcW w:w="0" w:type="dxa"/>
            <w:vAlign w:val="bottom"/>
          </w:tcPr>
          <w:p>
            <w:pPr>
              <w:spacing w:after="0"/>
              <w:rPr>
                <w:sz w:val="1"/>
                <w:szCs w:val="1"/>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year thereafter</w:t>
            </w:r>
          </w:p>
        </w:tc>
        <w:tc>
          <w:tcPr>
            <w:tcW w:w="3740" w:type="dxa"/>
            <w:vAlign w:val="bottom"/>
          </w:tcPr>
          <w:p>
            <w:pPr>
              <w:ind w:left="20"/>
              <w:spacing w:after="0"/>
              <w:rPr>
                <w:sz w:val="20"/>
                <w:szCs w:val="20"/>
                <w:color w:val="auto"/>
              </w:rPr>
            </w:pPr>
            <w:r>
              <w:rPr>
                <w:rFonts w:ascii="Arial" w:cs="Arial" w:eastAsia="Arial" w:hAnsi="Arial"/>
                <w:sz w:val="18"/>
                <w:szCs w:val="18"/>
                <w:color w:val="auto"/>
              </w:rPr>
              <w:t>year thereafter</w:t>
            </w:r>
          </w:p>
        </w:tc>
        <w:tc>
          <w:tcPr>
            <w:tcW w:w="0" w:type="dxa"/>
            <w:vAlign w:val="bottom"/>
          </w:tcPr>
          <w:p>
            <w:pPr>
              <w:spacing w:after="0"/>
              <w:rPr>
                <w:sz w:val="1"/>
                <w:szCs w:val="1"/>
                <w:color w:val="auto"/>
              </w:rPr>
            </w:pPr>
          </w:p>
        </w:tc>
      </w:tr>
      <w:tr>
        <w:trPr>
          <w:trHeight w:val="176"/>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The product of (i) 4% and (ii) the excess (if any) of</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2"/>
              </w:rPr>
              <w:t>The product of (i) 4% and (ii) the excess (if any) of</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 the average annual net revenue of a trailing</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8"/>
              </w:rPr>
              <w:t>(a) the average annual net revenue of a trailing</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two-year period preceding such reset year over (b)</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1"/>
              </w:rPr>
              <w:t>two-year period preceding such reset year over (b)</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 threshold amount (defined as 50% of LTM net</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7"/>
              </w:rPr>
              <w:t>a threshold amount (defined as 50% of LTM net</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revenues prior to acquisition)</w:t>
            </w:r>
          </w:p>
        </w:tc>
        <w:tc>
          <w:tcPr>
            <w:tcW w:w="3740" w:type="dxa"/>
            <w:vAlign w:val="bottom"/>
          </w:tcPr>
          <w:p>
            <w:pPr>
              <w:ind w:left="20"/>
              <w:spacing w:after="0"/>
              <w:rPr>
                <w:sz w:val="20"/>
                <w:szCs w:val="20"/>
                <w:color w:val="auto"/>
              </w:rPr>
            </w:pPr>
            <w:r>
              <w:rPr>
                <w:rFonts w:ascii="Arial" w:cs="Arial" w:eastAsia="Arial" w:hAnsi="Arial"/>
                <w:sz w:val="18"/>
                <w:szCs w:val="18"/>
                <w:color w:val="auto"/>
              </w:rPr>
              <w:t>revenues prior to acquisition)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-1941195</wp:posOffset>
            </wp:positionV>
            <wp:extent cx="713295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-1650365</wp:posOffset>
            </wp:positionV>
            <wp:extent cx="713295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-1248410</wp:posOffset>
            </wp:positionV>
            <wp:extent cx="7132955" cy="256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955" cy="25654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-846455</wp:posOffset>
            </wp:positionV>
            <wp:extent cx="7132955" cy="256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2920" w:space="720"/>
            <w:col w:w="7600"/>
          </w:cols>
          <w:pgMar w:left="320" w:top="28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tabs>
          <w:tab w:leader="none" w:pos="218"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2021 through January 31, 2022. In relation to the Greektown Lease Agreement, the amount represents current annual base rent payable for the current lease year, which is the period from June 1, 2021 through May 31, 2022.</w:t>
      </w:r>
    </w:p>
    <w:p>
      <w:pPr>
        <w:spacing w:after="0" w:line="1" w:lineRule="exact"/>
        <w:rPr>
          <w:rFonts w:ascii="Arial" w:cs="Arial" w:eastAsia="Arial" w:hAnsi="Arial"/>
          <w:sz w:val="14"/>
          <w:szCs w:val="14"/>
          <w:i w:val="1"/>
          <w:iCs w:val="1"/>
          <w:color w:val="auto"/>
        </w:rPr>
      </w:pPr>
    </w:p>
    <w:p>
      <w:pPr>
        <w:jc w:val="both"/>
        <w:ind w:firstLine="8"/>
        <w:spacing w:after="0"/>
        <w:tabs>
          <w:tab w:leader="none" w:pos="212"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In relation to the Greektown Lease Agreement, in May 2020, the lease was adjusted to remove the escalation for lease years 2 and 3 and to provide for a net revenue to rent ratio coverage floor to be mutually agreed upon by both parties prior to the commencement of lease year four.</w:t>
      </w:r>
    </w:p>
    <w:p>
      <w:pPr>
        <w:spacing w:after="0" w:line="2" w:lineRule="exact"/>
        <w:rPr>
          <w:rFonts w:ascii="Arial" w:cs="Arial" w:eastAsia="Arial" w:hAnsi="Arial"/>
          <w:sz w:val="14"/>
          <w:szCs w:val="14"/>
          <w:i w:val="1"/>
          <w:iCs w:val="1"/>
          <w:color w:val="auto"/>
        </w:rPr>
      </w:pPr>
    </w:p>
    <w:p>
      <w:pPr>
        <w:jc w:val="both"/>
        <w:ind w:firstLine="8"/>
        <w:spacing w:after="0" w:line="244" w:lineRule="auto"/>
        <w:tabs>
          <w:tab w:leader="none" w:pos="221"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 After the percentage rent reset in lease year three, any amounts related to percentage rent are considered contingent rent in accordance with GAAP. In relation to the Margaritaville Lease Agreement, we recognized approximately $0.8 million and $2.2 million in contingent rent during the three and nine months ended September 30, 2021, respectively, and approximately $0.1 million and $0.2 million in contingent rent during the three and nine months ended September 30, 2020, respectively. In relation to the Greektown Lease Agreement during the three and nine months ended September 30, 2021 we recognized approximately $0.5 million and $0.7 million, respectively, in contingent rent. No such contingent rent was recognized for the three and nine months ended September 30, 2020 for the Greektown Lease Agreement.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Hard Rock Cincinnati Lease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9/30/2034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29" w:lineRule="exact"/>
              <w:rPr>
                <w:sz w:val="20"/>
                <w:szCs w:val="20"/>
                <w:color w:val="auto"/>
              </w:rPr>
            </w:pPr>
            <w:r>
              <w:rPr>
                <w:rFonts w:ascii="Arial" w:cs="Arial" w:eastAsia="Arial" w:hAnsi="Arial"/>
                <w:sz w:val="18"/>
                <w:szCs w:val="18"/>
                <w:color w:val="auto"/>
              </w:rPr>
              <w:t xml:space="preserve">Current base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$44,042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2-4 - 1.5%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w w:val="89"/>
              </w:rPr>
              <w:t>Lease years 5-15 - The greater of 2% or the change in CPI unless the change in CPI is less than 0.5%, 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which case there is no escalation in rent for such lease year</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29"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29"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3"/>
        </w:trPr>
        <w:tc>
          <w:tcPr>
            <w:tcW w:w="352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October 1, 2021 through September 30, 2022.</w:t>
      </w:r>
    </w:p>
    <w:p>
      <w:pPr>
        <w:ind w:firstLine="8"/>
        <w:spacing w:after="0"/>
        <w:tabs>
          <w:tab w:leader="none" w:pos="208"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2021 and 2020.</w:t>
      </w:r>
    </w:p>
    <w:p>
      <w:pPr>
        <w:spacing w:after="0" w:line="1" w:lineRule="exact"/>
        <w:rPr>
          <w:rFonts w:ascii="Arial" w:cs="Arial" w:eastAsia="Arial" w:hAnsi="Arial"/>
          <w:sz w:val="14"/>
          <w:szCs w:val="14"/>
          <w:i w:val="1"/>
          <w:iCs w:val="1"/>
          <w:color w:val="auto"/>
        </w:rPr>
      </w:pPr>
    </w:p>
    <w:p>
      <w:pPr>
        <w:ind w:right="20" w:firstLine="8"/>
        <w:spacing w:after="0" w:line="254" w:lineRule="auto"/>
        <w:tabs>
          <w:tab w:leader="none" w:pos="211"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Century Portfolio Lease Agreement:</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2" w:lineRule="exact"/>
        <w:rPr>
          <w:sz w:val="20"/>
          <w:szCs w:val="20"/>
          <w:color w:val="auto"/>
        </w:rPr>
      </w:pPr>
    </w:p>
    <w:p>
      <w:pPr>
        <w:ind w:left="20"/>
        <w:spacing w:after="0"/>
        <w:tabs>
          <w:tab w:leader="none" w:pos="72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955" cy="153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20"/>
        <w:spacing w:after="0"/>
        <w:rPr>
          <w:sz w:val="20"/>
          <w:szCs w:val="20"/>
          <w:color w:val="auto"/>
        </w:rPr>
      </w:pPr>
      <w:r>
        <w:rPr>
          <w:rFonts w:ascii="Arial" w:cs="Arial" w:eastAsia="Arial" w:hAnsi="Arial"/>
          <w:sz w:val="18"/>
          <w:szCs w:val="18"/>
          <w:color w:val="auto"/>
        </w:rPr>
        <w:t>Escalator commencement</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 to rent ratio floor</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Variable rent commencement/reset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24" w:hanging="224"/>
        <w:spacing w:after="0"/>
        <w:tabs>
          <w:tab w:leader="none" w:pos="2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years</w:t>
      </w:r>
    </w:p>
    <w:p>
      <w:pPr>
        <w:spacing w:after="0" w:line="22"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12/31/2034</w:t>
      </w:r>
    </w:p>
    <w:p>
      <w:pPr>
        <w:spacing w:after="0" w:line="21" w:lineRule="exact"/>
        <w:rPr>
          <w:rFonts w:ascii="Arial" w:cs="Arial" w:eastAsia="Arial" w:hAnsi="Arial"/>
          <w:sz w:val="18"/>
          <w:szCs w:val="18"/>
          <w:color w:val="auto"/>
        </w:rPr>
      </w:pPr>
    </w:p>
    <w:p>
      <w:pPr>
        <w:ind w:left="4" w:right="6060"/>
        <w:spacing w:after="0" w:line="265" w:lineRule="auto"/>
        <w:rPr>
          <w:rFonts w:ascii="Arial" w:cs="Arial" w:eastAsia="Arial" w:hAnsi="Arial"/>
          <w:sz w:val="18"/>
          <w:szCs w:val="18"/>
          <w:color w:val="auto"/>
        </w:rPr>
      </w:pPr>
      <w:r>
        <w:rPr>
          <w:rFonts w:ascii="Arial" w:cs="Arial" w:eastAsia="Arial" w:hAnsi="Arial"/>
          <w:sz w:val="18"/>
          <w:szCs w:val="18"/>
          <w:color w:val="auto"/>
        </w:rPr>
        <w:t>Four, five-year terms $25,250</w:t>
      </w:r>
    </w:p>
    <w:p>
      <w:pPr>
        <w:ind w:left="4"/>
        <w:spacing w:after="0"/>
        <w:rPr>
          <w:rFonts w:ascii="Arial" w:cs="Arial" w:eastAsia="Arial" w:hAnsi="Arial"/>
          <w:sz w:val="18"/>
          <w:szCs w:val="18"/>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-421640</wp:posOffset>
            </wp:positionV>
            <wp:extent cx="713295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-130810</wp:posOffset>
            </wp:positionV>
            <wp:extent cx="713295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Lease years 2-3 - 1.0%</w:t>
      </w:r>
    </w:p>
    <w:p>
      <w:pPr>
        <w:ind w:left="4"/>
        <w:spacing w:after="0"/>
        <w:rPr>
          <w:sz w:val="20"/>
          <w:szCs w:val="20"/>
          <w:color w:val="auto"/>
        </w:rPr>
      </w:pPr>
      <w:r>
        <w:rPr>
          <w:rFonts w:ascii="Arial" w:cs="Arial" w:eastAsia="Arial" w:hAnsi="Arial"/>
          <w:sz w:val="18"/>
          <w:szCs w:val="18"/>
          <w:color w:val="auto"/>
        </w:rPr>
        <w:t>Lease years 4-15 - The greater of 1.25% or the change in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4445</wp:posOffset>
            </wp:positionV>
            <wp:extent cx="7132955" cy="256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ind w:left="4" w:right="240"/>
        <w:spacing w:after="0" w:line="234"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ind w:left="4"/>
        <w:spacing w:after="0"/>
        <w:rPr>
          <w:sz w:val="20"/>
          <w:szCs w:val="20"/>
          <w:color w:val="auto"/>
        </w:rPr>
      </w:pPr>
      <w:r>
        <w:rPr>
          <w:rFonts w:ascii="Arial" w:cs="Arial" w:eastAsia="Arial" w:hAnsi="Arial"/>
          <w:sz w:val="18"/>
          <w:szCs w:val="18"/>
          <w:color w:val="auto"/>
        </w:rPr>
        <w:t>Lease year 8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13970</wp:posOffset>
            </wp:positionV>
            <wp:extent cx="713295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80% Base Rent and 20% Variable Rent</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4%</w:t>
      </w:r>
    </w:p>
    <w:p>
      <w:pPr>
        <w:spacing w:after="0" w:line="137" w:lineRule="exact"/>
        <w:rPr>
          <w:sz w:val="20"/>
          <w:szCs w:val="20"/>
          <w:color w:val="auto"/>
        </w:rPr>
      </w:pPr>
    </w:p>
    <w:p>
      <w:pPr>
        <w:sectPr>
          <w:pgSz w:w="11900" w:h="16838" w:orient="portrait"/>
          <w:cols w:equalWidth="0" w:num="2">
            <w:col w:w="2956" w:space="720"/>
            <w:col w:w="7564"/>
          </w:cols>
          <w:pgMar w:left="320" w:top="28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January 1, 2021 through December 31, 2021.</w:t>
      </w:r>
    </w:p>
    <w:p>
      <w:pPr>
        <w:ind w:firstLine="8"/>
        <w:spacing w:after="0"/>
        <w:tabs>
          <w:tab w:leader="none" w:pos="208"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2021 and 2020.</w:t>
      </w:r>
    </w:p>
    <w:p>
      <w:pPr>
        <w:spacing w:after="0" w:line="1" w:lineRule="exact"/>
        <w:rPr>
          <w:rFonts w:ascii="Arial" w:cs="Arial" w:eastAsia="Arial" w:hAnsi="Arial"/>
          <w:sz w:val="14"/>
          <w:szCs w:val="14"/>
          <w:i w:val="1"/>
          <w:iCs w:val="1"/>
          <w:color w:val="auto"/>
        </w:rPr>
      </w:pPr>
    </w:p>
    <w:p>
      <w:pPr>
        <w:jc w:val="both"/>
        <w:ind w:firstLine="8"/>
        <w:spacing w:after="0" w:line="247" w:lineRule="auto"/>
        <w:tabs>
          <w:tab w:leader="none" w:pos="204"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in each case multiplied by the Variable rent percentage.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is a summary of the material lease provisions of our JACK Cleveland/Thistledown Lease Agreement, as amended by the Second JACK Lease Agreement Amendment on October 4,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1/31/2040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29"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$65,880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three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 3 - 1.0%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4-6 - 1.5%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Lease years 7-20 - The greater of 1.5% or the change in CPI capped at 2.5%</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February 1, 2021 through January 31, 2022.</w:t>
      </w:r>
    </w:p>
    <w:p>
      <w:pPr>
        <w:ind w:firstLine="8"/>
        <w:spacing w:after="0" w:line="254" w:lineRule="auto"/>
        <w:tabs>
          <w:tab w:leader="none" w:pos="208"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2021 and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EBCI Lease Agreement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EBCI Lease Agreement, which was entered into on September 3,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8/31/2036</w:t>
            </w: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29"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$32,500</w:t>
            </w: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r>
      <w:tr>
        <w:trPr>
          <w:trHeight w:val="256"/>
        </w:trPr>
        <w:tc>
          <w:tcPr>
            <w:tcW w:w="20" w:type="dxa"/>
            <w:vAlign w:val="bottom"/>
          </w:tcPr>
          <w:p>
            <w:pPr>
              <w:spacing w:after="0"/>
              <w:rPr>
                <w:sz w:val="22"/>
                <w:szCs w:val="22"/>
                <w:color w:val="auto"/>
              </w:rPr>
            </w:pPr>
          </w:p>
        </w:tc>
        <w:tc>
          <w:tcPr>
            <w:tcW w:w="364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rPr>
                <w:sz w:val="20"/>
                <w:szCs w:val="20"/>
                <w:color w:val="auto"/>
              </w:rPr>
            </w:pPr>
            <w:r>
              <w:rPr>
                <w:rFonts w:ascii="Arial" w:cs="Arial" w:eastAsia="Arial" w:hAnsi="Arial"/>
                <w:sz w:val="18"/>
                <w:szCs w:val="18"/>
                <w:color w:val="auto"/>
              </w:rPr>
              <w:t>Lease years 2-5 - 1.5%</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580" w:type="dxa"/>
            <w:vAlign w:val="bottom"/>
          </w:tcPr>
          <w:p>
            <w:pPr>
              <w:ind w:left="20"/>
              <w:spacing w:after="0" w:line="148" w:lineRule="exact"/>
              <w:rPr>
                <w:sz w:val="20"/>
                <w:szCs w:val="20"/>
                <w:color w:val="auto"/>
              </w:rPr>
            </w:pPr>
            <w:r>
              <w:rPr>
                <w:rFonts w:ascii="Arial" w:cs="Arial" w:eastAsia="Arial" w:hAnsi="Arial"/>
                <w:sz w:val="17"/>
                <w:szCs w:val="17"/>
                <w:color w:val="auto"/>
              </w:rPr>
              <w:t>Lease years 6-15 - The greater of 2.0% or the change in CPI</w:t>
            </w: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8 and 11</w:t>
            </w: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29"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80% Base Rent and 20% Variable Rent</w:t>
            </w: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29"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r>
      <w:tr>
        <w:trPr>
          <w:trHeight w:val="290"/>
        </w:trPr>
        <w:tc>
          <w:tcPr>
            <w:tcW w:w="352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r>
    </w:tbl>
    <w:p>
      <w:pPr>
        <w:ind w:left="220" w:hanging="212"/>
        <w:spacing w:after="0"/>
        <w:tabs>
          <w:tab w:leader="none" w:pos="2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September 3, 2021 through August 31, 2022.</w:t>
      </w:r>
    </w:p>
    <w:p>
      <w:pPr>
        <w:ind w:firstLine="8"/>
        <w:spacing w:after="0"/>
        <w:tabs>
          <w:tab w:leader="none" w:pos="208"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2021 and 2020.</w:t>
      </w:r>
    </w:p>
    <w:p>
      <w:pPr>
        <w:spacing w:after="0" w:line="1" w:lineRule="exact"/>
        <w:rPr>
          <w:rFonts w:ascii="Arial" w:cs="Arial" w:eastAsia="Arial" w:hAnsi="Arial"/>
          <w:sz w:val="14"/>
          <w:szCs w:val="14"/>
          <w:i w:val="1"/>
          <w:iCs w:val="1"/>
          <w:color w:val="auto"/>
        </w:rPr>
      </w:pPr>
    </w:p>
    <w:p>
      <w:pPr>
        <w:jc w:val="both"/>
        <w:ind w:firstLine="8"/>
        <w:spacing w:after="0" w:line="247" w:lineRule="auto"/>
        <w:tabs>
          <w:tab w:leader="none" w:pos="204"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the year preceding lease commencement and lease years 1 through 2 and for lease year 11 as an increase or decrease of the average of net revenues for lease years 8 through 10 compared to the average net revenue for lease years 5 through 7, in each case multiplied by the variable rent percentage.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capital expenditure requirements of the respective tenants under the Caesars Lease Agreements:</w:t>
      </w:r>
    </w:p>
    <w:p>
      <w:pPr>
        <w:sectPr>
          <w:pgSz w:w="11900" w:h="16838" w:orient="portrait"/>
          <w:cols w:equalWidth="0" w:num="1">
            <w:col w:w="11240"/>
          </w:cols>
          <w:pgMar w:left="320" w:top="287" w:right="339" w:bottom="1440" w:gutter="0" w:footer="0" w:header="0"/>
        </w:sectPr>
      </w:pP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vMerge w:val="restart"/>
          </w:tcPr>
          <w:p>
            <w:pPr>
              <w:ind w:left="1260"/>
              <w:spacing w:after="0"/>
              <w:rPr>
                <w:sz w:val="20"/>
                <w:szCs w:val="20"/>
                <w:color w:val="auto"/>
              </w:rPr>
            </w:pPr>
            <w:r>
              <w:rPr>
                <w:rFonts w:ascii="Arial" w:cs="Arial" w:eastAsia="Arial" w:hAnsi="Arial"/>
                <w:sz w:val="18"/>
                <w:szCs w:val="18"/>
                <w:b w:val="1"/>
                <w:bCs w:val="1"/>
                <w:color w:val="auto"/>
              </w:rPr>
              <w:t>Provision</w:t>
            </w:r>
          </w:p>
        </w:tc>
        <w:tc>
          <w:tcPr>
            <w:tcW w:w="80" w:type="dxa"/>
            <w:vAlign w:val="bottom"/>
            <w:vMerge w:val="restart"/>
          </w:tcPr>
          <w:p>
            <w:pPr>
              <w:spacing w:after="0"/>
              <w:rPr>
                <w:sz w:val="17"/>
                <w:szCs w:val="17"/>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Regional Master Lease Agreement and Joliet</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Lease Agreement</w:t>
            </w:r>
          </w:p>
        </w:tc>
        <w:tc>
          <w:tcPr>
            <w:tcW w:w="0" w:type="dxa"/>
            <w:vAlign w:val="bottom"/>
          </w:tcPr>
          <w:p>
            <w:pPr>
              <w:spacing w:after="0"/>
              <w:rPr>
                <w:sz w:val="1"/>
                <w:szCs w:val="1"/>
                <w:color w:val="auto"/>
              </w:rPr>
            </w:pPr>
          </w:p>
        </w:tc>
      </w:tr>
      <w:tr>
        <w:trPr>
          <w:trHeight w:val="372"/>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Yearly minimum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0" w:type="dxa"/>
            <w:vAlign w:val="bottom"/>
          </w:tcPr>
          <w:p>
            <w:pPr>
              <w:spacing w:after="0"/>
              <w:rPr>
                <w:sz w:val="1"/>
                <w:szCs w:val="1"/>
                <w:color w:val="auto"/>
              </w:rPr>
            </w:pPr>
          </w:p>
        </w:tc>
      </w:tr>
      <w:tr>
        <w:trPr>
          <w:trHeight w:val="254"/>
        </w:trPr>
        <w:tc>
          <w:tcPr>
            <w:tcW w:w="3340" w:type="dxa"/>
            <w:vAlign w:val="bottom"/>
            <w:gridSpan w:val="2"/>
          </w:tcPr>
          <w:p>
            <w:pPr>
              <w:ind w:left="20"/>
              <w:spacing w:after="0" w:line="254"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3"/>
                <w:szCs w:val="23"/>
                <w:i w:val="1"/>
                <w:iCs w:val="1"/>
                <w:color w:val="auto"/>
                <w:vertAlign w:val="superscript"/>
              </w:rPr>
              <w:t>(2)</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$311 million</w:t>
            </w:r>
          </w:p>
        </w:tc>
        <w:tc>
          <w:tcPr>
            <w:tcW w:w="0" w:type="dxa"/>
            <w:vAlign w:val="bottom"/>
          </w:tcPr>
          <w:p>
            <w:pPr>
              <w:spacing w:after="0"/>
              <w:rPr>
                <w:sz w:val="1"/>
                <w:szCs w:val="1"/>
                <w:color w:val="auto"/>
              </w:rPr>
            </w:pP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Initial minimum capital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1"/>
        </w:trPr>
        <w:tc>
          <w:tcPr>
            <w:tcW w:w="3260" w:type="dxa"/>
            <w:vAlign w:val="bottom"/>
          </w:tcPr>
          <w:p>
            <w:pPr>
              <w:spacing w:after="0"/>
              <w:rPr>
                <w:sz w:val="20"/>
                <w:szCs w:val="20"/>
                <w:color w:val="auto"/>
              </w:rPr>
            </w:pPr>
            <w:r>
              <w:rPr>
                <w:rFonts w:ascii="Arial" w:cs="Arial" w:eastAsia="Arial" w:hAnsi="Arial"/>
                <w:sz w:val="14"/>
                <w:szCs w:val="14"/>
                <w:color w:val="auto"/>
              </w:rPr>
              <w:t>____________________</w:t>
            </w:r>
          </w:p>
        </w:tc>
        <w:tc>
          <w:tcPr>
            <w:tcW w:w="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95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-753110</wp:posOffset>
            </wp:positionV>
            <wp:extent cx="7132955"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95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Las Vegas Master Lease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 of net revenues for CPLV (commencing in 2022 with</w:t>
      </w:r>
    </w:p>
    <w:p>
      <w:pPr>
        <w:jc w:val="center"/>
        <w:ind w:right="20"/>
        <w:spacing w:after="0" w:line="218" w:lineRule="auto"/>
        <w:rPr>
          <w:sz w:val="20"/>
          <w:szCs w:val="20"/>
          <w:color w:val="auto"/>
        </w:rPr>
      </w:pPr>
      <w:r>
        <w:rPr>
          <w:rFonts w:ascii="Arial" w:cs="Arial" w:eastAsia="Arial" w:hAnsi="Arial"/>
          <w:sz w:val="18"/>
          <w:szCs w:val="18"/>
          <w:color w:val="auto"/>
        </w:rPr>
        <w:t xml:space="preserve">respect to HLV) </w:t>
      </w:r>
      <w:r>
        <w:rPr>
          <w:rFonts w:ascii="Arial" w:cs="Arial" w:eastAsia="Arial" w:hAnsi="Arial"/>
          <w:sz w:val="23"/>
          <w:szCs w:val="23"/>
          <w:i w:val="1"/>
          <w:iCs w:val="1"/>
          <w:color w:val="auto"/>
          <w:vertAlign w:val="superscript"/>
        </w:rPr>
        <w:t>(1)</w:t>
      </w:r>
    </w:p>
    <w:p>
      <w:pPr>
        <w:jc w:val="center"/>
        <w:ind w:right="20"/>
        <w:spacing w:after="0"/>
        <w:rPr>
          <w:sz w:val="20"/>
          <w:szCs w:val="20"/>
          <w:color w:val="auto"/>
        </w:rPr>
      </w:pPr>
      <w:r>
        <w:rPr>
          <w:rFonts w:ascii="Arial" w:cs="Arial" w:eastAsia="Arial" w:hAnsi="Arial"/>
          <w:sz w:val="18"/>
          <w:szCs w:val="18"/>
          <w:color w:val="auto"/>
        </w:rPr>
        <w:t>$84 million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$171 million (2017 - 2021) (with respect solely to HLV)</w:t>
      </w:r>
    </w:p>
    <w:p>
      <w:pPr>
        <w:spacing w:after="0" w:line="378" w:lineRule="exact"/>
        <w:rPr>
          <w:sz w:val="20"/>
          <w:szCs w:val="20"/>
          <w:color w:val="auto"/>
        </w:rPr>
      </w:pPr>
    </w:p>
    <w:p>
      <w:pPr>
        <w:sectPr>
          <w:pgSz w:w="11900" w:h="16838" w:orient="portrait"/>
          <w:cols w:equalWidth="0" w:num="2">
            <w:col w:w="6980" w:space="120"/>
            <w:col w:w="4140"/>
          </w:cols>
          <w:pgMar w:left="320" w:top="287" w:right="339" w:bottom="1440" w:gutter="0" w:footer="0" w:header="0"/>
          <w:type w:val="continuous"/>
        </w:sectPr>
      </w:pPr>
    </w:p>
    <w:p>
      <w:pPr>
        <w:ind w:firstLine="8"/>
        <w:spacing w:after="0" w:line="249" w:lineRule="auto"/>
        <w:tabs>
          <w:tab w:leader="none" w:pos="227"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agreements require a $114.5 million floor on annual capital expenditures for Caesars Palace Las Vegas, Joliet and the Regional Master Lease Agreement properties in the aggregate. Additionally, annual building &amp; improvement capital improvements must be equal to or greater than 1% of prior year net revenues.</w:t>
      </w:r>
    </w:p>
    <w:p>
      <w:pPr>
        <w:spacing w:after="0" w:line="1" w:lineRule="exact"/>
        <w:rPr>
          <w:rFonts w:ascii="Arial" w:cs="Arial" w:eastAsia="Arial" w:hAnsi="Arial"/>
          <w:sz w:val="14"/>
          <w:szCs w:val="14"/>
          <w:i w:val="1"/>
          <w:iCs w:val="1"/>
          <w:color w:val="auto"/>
        </w:rPr>
      </w:pPr>
    </w:p>
    <w:p>
      <w:pPr>
        <w:jc w:val="both"/>
        <w:ind w:firstLine="8"/>
        <w:spacing w:after="0" w:line="244" w:lineRule="auto"/>
        <w:tabs>
          <w:tab w:leader="none" w:pos="217"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Certain tenants under the Caesars Lease Agreements, as applicable, are required to spend $384.3 million on capital expenditures (excluding gaming equipment) over a rolling three-year period, with $290.0 million allocated to the regional assets, $84.0 million allocated to Caesars Palace Las Vegas and the remaining balance of $10.3 million to facilities (other than the Harrah’s Las Vegas Facility) covered by any Caesars Lease Agreement in such proportion as such tenants may elect. Additionally, the tenants under the Regional Master Lease Agreement and Joliet Lease Agreement are required to expend a minimum of $537.5 million on capital expenditures (including gaming equipment) across certain of its affiliates and other assets, together with the $384.3 million requirement.</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ongoing COVID-19 pandemic and its impact on operations and financial performance, we agreed with Caesars to provide limited relief with respect to a portion of their capital expenditure obligations under the Las Vegas Master Lease Agreement, the Regional Master Lease Agreement and the Joliet Lease Agreement (which relief was subsequently adjusted on October 27, 2020 to provide for a proportionate adjustment to account for the addition of the Harrah’s Original Call Properties to the Regional Master Lease Agreement). This relief is conditioned upon (i) expenditures by Caesars of certain minimum capital expenditures, (ii) timely payment of Caesars’ rent obligations under the Caesars Lease Agreements and (iii) no event of default occurring under any of the Caesars Lease Agreements during the applicable compliance period. If Caesars fails to satisfy any of the foregoing conditions, Caesars will be required to satisfy the capital expenditure obligations currently set forth in the Las Vegas Master Lease Agreement, the Regional Master Lease Agreement and the Joliet Lease Agreement.</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following table summarizes the capital expenditure requirements of the respective tenants under the Penn National Lease Agreements, Hard Rock Cincinnati Lease Agreement, Century Portfolio Lease Agreement, JACK Cleveland/Thistledown Lease Agreement and EBCI Lease Agreement: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Penn National Lease</w:t>
            </w: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Hard Rock Cincinnati</w:t>
            </w:r>
          </w:p>
        </w:tc>
        <w:tc>
          <w:tcPr>
            <w:tcW w:w="194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2"/>
              </w:rPr>
              <w:t>Century Portfolio</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JACK</w:t>
            </w:r>
          </w:p>
        </w:tc>
        <w:tc>
          <w:tcPr>
            <w:tcW w:w="1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EBCI Lease</w:t>
            </w:r>
          </w:p>
        </w:tc>
        <w:tc>
          <w:tcPr>
            <w:tcW w:w="0" w:type="dxa"/>
            <w:vAlign w:val="bottom"/>
          </w:tcPr>
          <w:p>
            <w:pPr>
              <w:spacing w:after="0"/>
              <w:rPr>
                <w:sz w:val="1"/>
                <w:szCs w:val="1"/>
                <w:color w:val="auto"/>
              </w:rPr>
            </w:pPr>
          </w:p>
        </w:tc>
      </w:tr>
      <w:tr>
        <w:trPr>
          <w:trHeight w:val="175"/>
        </w:trPr>
        <w:tc>
          <w:tcPr>
            <w:tcW w:w="1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9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Cleveland/Thistledown</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Agreements</w:t>
            </w:r>
          </w:p>
        </w:tc>
        <w:tc>
          <w:tcPr>
            <w:tcW w:w="80" w:type="dxa"/>
            <w:vAlign w:val="bottom"/>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80" w:type="dxa"/>
            <w:vAlign w:val="bottom"/>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Lease Agreement</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Agreement</w:t>
            </w:r>
          </w:p>
        </w:tc>
        <w:tc>
          <w:tcPr>
            <w:tcW w:w="0" w:type="dxa"/>
            <w:vAlign w:val="bottom"/>
          </w:tcPr>
          <w:p>
            <w:pPr>
              <w:spacing w:after="0"/>
              <w:rPr>
                <w:sz w:val="1"/>
                <w:szCs w:val="1"/>
                <w:color w:val="auto"/>
              </w:rPr>
            </w:pPr>
          </w:p>
        </w:tc>
      </w:tr>
      <w:tr>
        <w:trPr>
          <w:trHeight w:val="169"/>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center"/>
              <w:spacing w:after="0" w:line="169" w:lineRule="exact"/>
              <w:rPr>
                <w:sz w:val="20"/>
                <w:szCs w:val="20"/>
                <w:color w:val="auto"/>
              </w:rPr>
            </w:pPr>
            <w:r>
              <w:rPr>
                <w:rFonts w:ascii="Arial" w:cs="Arial" w:eastAsia="Arial" w:hAnsi="Arial"/>
                <w:sz w:val="18"/>
                <w:szCs w:val="18"/>
                <w:color w:val="auto"/>
                <w:w w:val="95"/>
              </w:rPr>
              <w:t>Initial minimum of $30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20" w:type="dxa"/>
            <w:vAlign w:val="bottom"/>
            <w:gridSpan w:val="2"/>
            <w:vMerge w:val="restart"/>
          </w:tcPr>
          <w:p>
            <w:pPr>
              <w:ind w:left="20"/>
              <w:spacing w:after="0"/>
              <w:rPr>
                <w:sz w:val="20"/>
                <w:szCs w:val="20"/>
                <w:color w:val="auto"/>
              </w:rPr>
            </w:pPr>
            <w:r>
              <w:rPr>
                <w:rFonts w:ascii="Arial" w:cs="Arial" w:eastAsia="Arial" w:hAnsi="Arial"/>
                <w:sz w:val="18"/>
                <w:szCs w:val="18"/>
                <w:color w:val="auto"/>
              </w:rPr>
              <w:t>Yearly minimum</w:t>
            </w:r>
          </w:p>
        </w:tc>
        <w:tc>
          <w:tcPr>
            <w:tcW w:w="192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1"/>
              </w:rPr>
              <w:t>1% of net gaming</w:t>
            </w:r>
          </w:p>
        </w:tc>
        <w:tc>
          <w:tcPr>
            <w:tcW w:w="1980" w:type="dxa"/>
            <w:vAlign w:val="bottom"/>
            <w:gridSpan w:val="2"/>
          </w:tcPr>
          <w:p>
            <w:pPr>
              <w:jc w:val="center"/>
              <w:ind w:right="80"/>
              <w:spacing w:after="0" w:line="175" w:lineRule="exact"/>
              <w:rPr>
                <w:sz w:val="20"/>
                <w:szCs w:val="20"/>
                <w:color w:val="auto"/>
              </w:rPr>
            </w:pPr>
            <w:r>
              <w:rPr>
                <w:rFonts w:ascii="Arial" w:cs="Arial" w:eastAsia="Arial" w:hAnsi="Arial"/>
                <w:sz w:val="16"/>
                <w:szCs w:val="16"/>
                <w:color w:val="auto"/>
              </w:rPr>
              <w:t xml:space="preserve">million </w:t>
            </w:r>
            <w:r>
              <w:rPr>
                <w:rFonts w:ascii="Arial" w:cs="Arial" w:eastAsia="Arial" w:hAnsi="Arial"/>
                <w:sz w:val="20"/>
                <w:szCs w:val="20"/>
                <w:i w:val="1"/>
                <w:iCs w:val="1"/>
                <w:color w:val="auto"/>
                <w:vertAlign w:val="superscript"/>
              </w:rPr>
              <w:t>(2)</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620" w:type="dxa"/>
            <w:vAlign w:val="bottom"/>
            <w:gridSpan w:val="2"/>
            <w:vMerge w:val="continue"/>
          </w:tcPr>
          <w:p>
            <w:pPr>
              <w:spacing w:after="0"/>
              <w:rPr>
                <w:sz w:val="7"/>
                <w:szCs w:val="7"/>
                <w:color w:val="auto"/>
              </w:rPr>
            </w:pPr>
          </w:p>
        </w:tc>
        <w:tc>
          <w:tcPr>
            <w:tcW w:w="19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2"/>
              </w:rPr>
              <w:t>based on rolling four-</w:t>
            </w: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1% of net revenues</w:t>
            </w:r>
          </w:p>
        </w:tc>
        <w:tc>
          <w:tcPr>
            <w:tcW w:w="1940" w:type="dxa"/>
            <w:vAlign w:val="bottom"/>
            <w:gridSpan w:val="2"/>
            <w:vMerge w:val="continue"/>
          </w:tcPr>
          <w:p>
            <w:pPr>
              <w:spacing w:after="0"/>
              <w:rPr>
                <w:sz w:val="7"/>
                <w:szCs w:val="7"/>
                <w:color w:val="auto"/>
              </w:rPr>
            </w:pP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Thereafter - 1% of net</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88"/>
              </w:rPr>
              <w:t>1% of net revenues</w:t>
            </w:r>
          </w:p>
        </w:tc>
        <w:tc>
          <w:tcPr>
            <w:tcW w:w="0" w:type="dxa"/>
            <w:vAlign w:val="bottom"/>
          </w:tcPr>
          <w:p>
            <w:pPr>
              <w:spacing w:after="0"/>
              <w:rPr>
                <w:sz w:val="1"/>
                <w:szCs w:val="1"/>
                <w:color w:val="auto"/>
              </w:rPr>
            </w:pPr>
          </w:p>
        </w:tc>
      </w:tr>
      <w:tr>
        <w:trPr>
          <w:trHeight w:val="175"/>
        </w:trPr>
        <w:tc>
          <w:tcPr>
            <w:tcW w:w="1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expenditure</w:t>
            </w:r>
          </w:p>
        </w:tc>
        <w:tc>
          <w:tcPr>
            <w:tcW w:w="19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940" w:type="dxa"/>
            <w:vAlign w:val="bottom"/>
            <w:gridSpan w:val="2"/>
          </w:tcPr>
          <w:p>
            <w:pPr>
              <w:jc w:val="center"/>
              <w:ind w:right="80"/>
              <w:spacing w:after="0" w:line="175" w:lineRule="exact"/>
              <w:rPr>
                <w:sz w:val="20"/>
                <w:szCs w:val="20"/>
                <w:color w:val="auto"/>
              </w:rPr>
            </w:pPr>
            <w:r>
              <w:rPr>
                <w:rFonts w:ascii="Arial" w:cs="Arial" w:eastAsia="Arial" w:hAnsi="Arial"/>
                <w:sz w:val="16"/>
                <w:szCs w:val="16"/>
                <w:color w:val="auto"/>
                <w:w w:val="94"/>
              </w:rPr>
              <w:t xml:space="preserve">revenues </w:t>
            </w:r>
            <w:r>
              <w:rPr>
                <w:rFonts w:ascii="Arial" w:cs="Arial" w:eastAsia="Arial" w:hAnsi="Arial"/>
                <w:sz w:val="20"/>
                <w:szCs w:val="20"/>
                <w:i w:val="1"/>
                <w:iCs w:val="1"/>
                <w:color w:val="auto"/>
                <w:w w:val="94"/>
                <w:vertAlign w:val="superscript"/>
              </w:rPr>
              <w:t>(1)</w:t>
            </w:r>
          </w:p>
        </w:tc>
        <w:tc>
          <w:tcPr>
            <w:tcW w:w="1980" w:type="dxa"/>
            <w:vAlign w:val="bottom"/>
            <w:gridSpan w:val="2"/>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gridSpan w:val="2"/>
          </w:tcPr>
          <w:p>
            <w:pPr>
              <w:jc w:val="center"/>
              <w:ind w:right="100"/>
              <w:spacing w:after="0" w:line="110" w:lineRule="exact"/>
              <w:rPr>
                <w:sz w:val="20"/>
                <w:szCs w:val="20"/>
                <w:color w:val="auto"/>
              </w:rPr>
            </w:pPr>
            <w:r>
              <w:rPr>
                <w:rFonts w:ascii="Arial" w:cs="Arial" w:eastAsia="Arial" w:hAnsi="Arial"/>
                <w:sz w:val="12"/>
                <w:szCs w:val="12"/>
                <w:color w:val="auto"/>
              </w:rPr>
              <w:t>year basis</w:t>
            </w: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80" w:type="dxa"/>
            <w:vAlign w:val="bottom"/>
            <w:gridSpan w:val="2"/>
          </w:tcPr>
          <w:p>
            <w:pPr>
              <w:jc w:val="center"/>
              <w:ind w:right="100"/>
              <w:spacing w:after="0" w:line="110" w:lineRule="exact"/>
              <w:rPr>
                <w:sz w:val="20"/>
                <w:szCs w:val="20"/>
                <w:color w:val="auto"/>
              </w:rPr>
            </w:pPr>
            <w:r>
              <w:rPr>
                <w:rFonts w:ascii="Arial" w:cs="Arial" w:eastAsia="Arial" w:hAnsi="Arial"/>
                <w:sz w:val="12"/>
                <w:szCs w:val="12"/>
                <w:color w:val="auto"/>
              </w:rPr>
              <w:t>revenues on a rolling</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955" cy="598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955" cy="598805"/>
                    </a:xfrm>
                    <a:prstGeom prst="rect">
                      <a:avLst/>
                    </a:prstGeom>
                    <a:noFill/>
                  </pic:spPr>
                </pic:pic>
              </a:graphicData>
            </a:graphic>
          </wp:anchor>
        </w:drawing>
      </w:r>
    </w:p>
    <w:p>
      <w:pPr>
        <w:ind w:left="7800"/>
        <w:spacing w:after="0"/>
        <w:rPr>
          <w:sz w:val="20"/>
          <w:szCs w:val="20"/>
          <w:color w:val="auto"/>
        </w:rPr>
      </w:pPr>
      <w:r>
        <w:rPr>
          <w:rFonts w:ascii="Arial" w:cs="Arial" w:eastAsia="Arial" w:hAnsi="Arial"/>
          <w:sz w:val="18"/>
          <w:szCs w:val="18"/>
          <w:color w:val="auto"/>
        </w:rPr>
        <w:t>three-year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jc w:val="both"/>
        <w:ind w:firstLine="8"/>
        <w:spacing w:after="0"/>
        <w:tabs>
          <w:tab w:leader="none" w:pos="21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 In May 2020, in connection with the ongoing COVID-19 pandemic and its impact on operations and financial performance, we agreed to waive Century’s capital expenditure requirements for 2020 and defer to not later than December 31, 2021 certain other expenditures contemplated in connection with the underwriting of the acquired casino properties, conditioned upon (i) Century’s timely payment of rent obligations under the Century Portfolio Lease Agreement during the compliance period set forth in the amendment and (ii) no tenant event of default occurring under the Century Portfolio Lease Agreement during the compliance period set forth in the amendment. If Century fails to satisfy any of the foregoing conditions, Century will be required to satisfy the capital expenditure obligations set forth in the Century Portfolio Lease Agreement or, in certain cases, to deposit amounts in respect thereof into a capital expenditure reserve for expenditure in accordance with the amendment.</w:t>
      </w:r>
    </w:p>
    <w:p>
      <w:pPr>
        <w:spacing w:after="0" w:line="4" w:lineRule="exact"/>
        <w:rPr>
          <w:rFonts w:ascii="Arial" w:cs="Arial" w:eastAsia="Arial" w:hAnsi="Arial"/>
          <w:sz w:val="14"/>
          <w:szCs w:val="14"/>
          <w:i w:val="1"/>
          <w:iCs w:val="1"/>
          <w:color w:val="auto"/>
        </w:rPr>
      </w:pPr>
    </w:p>
    <w:p>
      <w:pPr>
        <w:ind w:firstLine="8"/>
        <w:spacing w:after="0" w:line="254" w:lineRule="auto"/>
        <w:tabs>
          <w:tab w:leader="none" w:pos="231"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 which includes $18.0 million advanced by us and expended by JACK Entertainment for the construction of the new gaming patio amenity at JACK Thistledown Racino (which construction was completed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gridSpan w:val="4"/>
          </w:tcPr>
          <w:p>
            <w:pPr>
              <w:ind w:left="2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ind w:left="400"/>
              <w:spacing w:after="0"/>
              <w:rPr>
                <w:sz w:val="20"/>
                <w:szCs w:val="20"/>
                <w:color w:val="auto"/>
              </w:rPr>
            </w:pPr>
            <w:r>
              <w:rPr>
                <w:rFonts w:ascii="Arial" w:cs="Arial" w:eastAsia="Arial" w:hAnsi="Arial"/>
                <w:sz w:val="16"/>
                <w:szCs w:val="16"/>
                <w:b w:val="1"/>
                <w:bCs w:val="1"/>
                <w:color w:val="auto"/>
              </w:rPr>
              <w:t>September 30, 2021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3"/>
                <w:szCs w:val="13"/>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gridSpan w:val="2"/>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060" w:type="dxa"/>
            <w:vAlign w:val="bottom"/>
            <w:gridSpan w:val="3"/>
          </w:tcPr>
          <w:p>
            <w:pPr>
              <w:jc w:val="center"/>
              <w:ind w:right="260"/>
              <w:spacing w:after="0" w:line="155" w:lineRule="exact"/>
              <w:rPr>
                <w:sz w:val="20"/>
                <w:szCs w:val="20"/>
                <w:color w:val="auto"/>
              </w:rPr>
            </w:pPr>
            <w:r>
              <w:rPr>
                <w:rFonts w:ascii="Arial" w:cs="Arial" w:eastAsia="Arial" w:hAnsi="Arial"/>
                <w:sz w:val="16"/>
                <w:szCs w:val="16"/>
                <w:b w:val="1"/>
                <w:bCs w:val="1"/>
                <w:color w:val="auto"/>
                <w:w w:val="94"/>
              </w:rPr>
              <w:t>Principal</w:t>
            </w:r>
          </w:p>
        </w:tc>
        <w:tc>
          <w:tcPr>
            <w:tcW w:w="180" w:type="dxa"/>
            <w:vAlign w:val="bottom"/>
          </w:tcPr>
          <w:p>
            <w:pPr>
              <w:spacing w:after="0"/>
              <w:rPr>
                <w:sz w:val="13"/>
                <w:szCs w:val="13"/>
                <w:color w:val="auto"/>
              </w:rPr>
            </w:pPr>
          </w:p>
        </w:tc>
        <w:tc>
          <w:tcPr>
            <w:tcW w:w="1060" w:type="dxa"/>
            <w:vAlign w:val="bottom"/>
            <w:gridSpan w:val="3"/>
          </w:tcPr>
          <w:p>
            <w:pPr>
              <w:jc w:val="center"/>
              <w:ind w:right="260"/>
              <w:spacing w:after="0" w:line="155"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480" w:type="dxa"/>
            <w:vAlign w:val="bottom"/>
            <w:gridSpan w:val="2"/>
          </w:tcPr>
          <w:p>
            <w:pPr>
              <w:jc w:val="right"/>
              <w:ind w:right="320"/>
              <w:spacing w:after="0" w:line="155" w:lineRule="exact"/>
              <w:rPr>
                <w:sz w:val="20"/>
                <w:szCs w:val="20"/>
                <w:color w:val="auto"/>
              </w:rPr>
            </w:pPr>
            <w:r>
              <w:rPr>
                <w:rFonts w:ascii="Arial" w:cs="Arial" w:eastAsia="Arial" w:hAnsi="Arial"/>
                <w:sz w:val="16"/>
                <w:szCs w:val="16"/>
                <w:b w:val="1"/>
                <w:bCs w:val="1"/>
                <w:color w:val="auto"/>
                <w:w w:val="97"/>
              </w:rPr>
              <w:t>Future Funding</w:t>
            </w: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Final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1"/>
              </w:rPr>
              <w:t>Balance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80"/>
              <w:spacing w:after="0" w:line="216" w:lineRule="exact"/>
              <w:rPr>
                <w:sz w:val="20"/>
                <w:szCs w:val="20"/>
                <w:color w:val="auto"/>
              </w:rPr>
            </w:pPr>
            <w:r>
              <w:rPr>
                <w:rFonts w:ascii="Arial" w:cs="Arial" w:eastAsia="Arial" w:hAnsi="Arial"/>
                <w:sz w:val="16"/>
                <w:szCs w:val="16"/>
                <w:b w:val="1"/>
                <w:bCs w:val="1"/>
                <w:color w:val="auto"/>
                <w:w w:val="86"/>
              </w:rPr>
              <w:t>Value</w:t>
            </w:r>
            <w:r>
              <w:rPr>
                <w:rFonts w:ascii="Arial" w:cs="Arial" w:eastAsia="Arial" w:hAnsi="Arial"/>
                <w:sz w:val="21"/>
                <w:szCs w:val="21"/>
                <w:b w:val="1"/>
                <w:bCs w:val="1"/>
                <w:i w:val="1"/>
                <w:iCs w:val="1"/>
                <w:color w:val="auto"/>
                <w:w w:val="86"/>
                <w:vertAlign w:val="superscript"/>
              </w:rPr>
              <w:t>(1)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3"/>
              <w:spacing w:after="0" w:line="216" w:lineRule="exact"/>
              <w:rPr>
                <w:sz w:val="20"/>
                <w:szCs w:val="20"/>
                <w:color w:val="auto"/>
              </w:rPr>
            </w:pPr>
            <w:r>
              <w:rPr>
                <w:rFonts w:ascii="Arial" w:cs="Arial" w:eastAsia="Arial" w:hAnsi="Arial"/>
                <w:sz w:val="16"/>
                <w:szCs w:val="16"/>
                <w:b w:val="1"/>
                <w:bCs w:val="1"/>
                <w:color w:val="auto"/>
                <w:w w:val="92"/>
              </w:rPr>
              <w:t>Commitments</w:t>
            </w:r>
            <w:r>
              <w:rPr>
                <w:rFonts w:ascii="Arial" w:cs="Arial" w:eastAsia="Arial" w:hAnsi="Arial"/>
                <w:sz w:val="21"/>
                <w:szCs w:val="21"/>
                <w:b w:val="1"/>
                <w:bCs w:val="1"/>
                <w:i w:val="1"/>
                <w:iCs w:val="1"/>
                <w:color w:val="auto"/>
                <w:w w:val="92"/>
                <w:vertAlign w:val="superscript"/>
              </w:rPr>
              <w:t>(2)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Maturity</w:t>
            </w:r>
            <w:r>
              <w:rPr>
                <w:rFonts w:ascii="Arial" w:cs="Arial" w:eastAsia="Arial" w:hAnsi="Arial"/>
                <w:sz w:val="21"/>
                <w:szCs w:val="21"/>
                <w:b w:val="1"/>
                <w:bCs w:val="1"/>
                <w:i w:val="1"/>
                <w:iCs w:val="1"/>
                <w:color w:val="auto"/>
                <w:w w:val="95"/>
                <w:vertAlign w:val="superscript"/>
              </w:rPr>
              <w:t>(4)</w:t>
            </w:r>
          </w:p>
        </w:tc>
        <w:tc>
          <w:tcPr>
            <w:tcW w:w="0" w:type="dxa"/>
            <w:vAlign w:val="bottom"/>
          </w:tcPr>
          <w:p>
            <w:pPr>
              <w:spacing w:after="0"/>
              <w:rPr>
                <w:sz w:val="1"/>
                <w:szCs w:val="1"/>
                <w:color w:val="auto"/>
              </w:rPr>
            </w:pPr>
          </w:p>
        </w:tc>
      </w:tr>
      <w:tr>
        <w:trPr>
          <w:trHeight w:val="169"/>
        </w:trPr>
        <w:tc>
          <w:tcPr>
            <w:tcW w:w="306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Senior Secured</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7.854 %</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9/18/2025</w:t>
            </w:r>
          </w:p>
        </w:tc>
        <w:tc>
          <w:tcPr>
            <w:tcW w:w="0" w:type="dxa"/>
            <w:vAlign w:val="bottom"/>
          </w:tcPr>
          <w:p>
            <w:pPr>
              <w:spacing w:after="0"/>
              <w:rPr>
                <w:sz w:val="1"/>
                <w:szCs w:val="1"/>
                <w:color w:val="auto"/>
              </w:rPr>
            </w:pPr>
          </w:p>
        </w:tc>
      </w:tr>
      <w:tr>
        <w:trPr>
          <w:trHeight w:val="229"/>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Loan</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Chelsea Piers Mortgage Loan</w:t>
            </w:r>
          </w:p>
        </w:tc>
        <w:tc>
          <w:tcPr>
            <w:tcW w:w="1720" w:type="dxa"/>
            <w:vAlign w:val="bottom"/>
            <w:gridSpan w:val="5"/>
          </w:tcPr>
          <w:p>
            <w:pPr>
              <w:jc w:val="center"/>
              <w:ind w:right="17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8/31/2027</w:t>
            </w:r>
          </w:p>
        </w:tc>
        <w:tc>
          <w:tcPr>
            <w:tcW w:w="0" w:type="dxa"/>
            <w:vAlign w:val="bottom"/>
          </w:tcPr>
          <w:p>
            <w:pPr>
              <w:spacing w:after="0"/>
              <w:rPr>
                <w:sz w:val="1"/>
                <w:szCs w:val="1"/>
                <w:color w:val="auto"/>
              </w:rPr>
            </w:pPr>
          </w:p>
        </w:tc>
      </w:tr>
      <w:tr>
        <w:trPr>
          <w:trHeight w:val="229"/>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Amended and Restated ROV Loan</w:t>
            </w: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3"/>
          </w:tcPr>
          <w:p>
            <w:pPr>
              <w:ind w:left="220"/>
              <w:spacing w:after="0" w:line="229" w:lineRule="exact"/>
              <w:rPr>
                <w:sz w:val="20"/>
                <w:szCs w:val="20"/>
                <w:color w:val="auto"/>
              </w:rPr>
            </w:pPr>
            <w:r>
              <w:rPr>
                <w:rFonts w:ascii="Arial" w:cs="Arial" w:eastAsia="Arial" w:hAnsi="Arial"/>
                <w:sz w:val="18"/>
                <w:szCs w:val="18"/>
                <w:color w:val="auto"/>
              </w:rPr>
              <w:t xml:space="preserve">ROV Term Loan </w:t>
            </w:r>
            <w:r>
              <w:rPr>
                <w:rFonts w:ascii="Arial" w:cs="Arial" w:eastAsia="Arial" w:hAnsi="Arial"/>
                <w:sz w:val="23"/>
                <w:szCs w:val="23"/>
                <w:color w:val="auto"/>
                <w:vertAlign w:val="superscript"/>
              </w:rPr>
              <w:t>(5)</w:t>
            </w:r>
          </w:p>
        </w:tc>
        <w:tc>
          <w:tcPr>
            <w:tcW w:w="1720" w:type="dxa"/>
            <w:vAlign w:val="bottom"/>
            <w:gridSpan w:val="5"/>
          </w:tcPr>
          <w:p>
            <w:pPr>
              <w:jc w:val="center"/>
              <w:ind w:right="17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20"/>
              <w:spacing w:after="0" w:line="229" w:lineRule="exact"/>
              <w:rPr>
                <w:sz w:val="20"/>
                <w:szCs w:val="20"/>
                <w:color w:val="auto"/>
              </w:rPr>
            </w:pPr>
            <w:r>
              <w:rPr>
                <w:rFonts w:ascii="Arial" w:cs="Arial" w:eastAsia="Arial" w:hAnsi="Arial"/>
                <w:sz w:val="18"/>
                <w:szCs w:val="18"/>
                <w:color w:val="auto"/>
              </w:rPr>
              <w:t xml:space="preserve">ROV Credit Facility </w:t>
            </w:r>
            <w:r>
              <w:rPr>
                <w:rFonts w:ascii="Arial" w:cs="Arial" w:eastAsia="Arial" w:hAnsi="Arial"/>
                <w:sz w:val="23"/>
                <w:szCs w:val="23"/>
                <w:color w:val="auto"/>
                <w:vertAlign w:val="superscript"/>
              </w:rPr>
              <w:t>(5)</w:t>
            </w:r>
          </w:p>
        </w:tc>
        <w:tc>
          <w:tcPr>
            <w:tcW w:w="1720" w:type="dxa"/>
            <w:vAlign w:val="bottom"/>
            <w:gridSpan w:val="5"/>
            <w:shd w:val="clear" w:color="auto" w:fill="CCEEFF"/>
          </w:tcPr>
          <w:p>
            <w:pPr>
              <w:jc w:val="center"/>
              <w:ind w:right="170"/>
              <w:spacing w:after="0"/>
              <w:rPr>
                <w:sz w:val="20"/>
                <w:szCs w:val="20"/>
                <w:color w:val="auto"/>
              </w:rPr>
            </w:pPr>
            <w:r>
              <w:rPr>
                <w:rFonts w:ascii="Arial" w:cs="Arial" w:eastAsia="Arial" w:hAnsi="Arial"/>
                <w:sz w:val="18"/>
                <w:szCs w:val="18"/>
                <w:color w:val="auto"/>
                <w:w w:val="88"/>
              </w:rPr>
              <w:t>Senior Secured</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1/24/2027</w:t>
            </w:r>
          </w:p>
        </w:tc>
        <w:tc>
          <w:tcPr>
            <w:tcW w:w="0" w:type="dxa"/>
            <w:vAlign w:val="bottom"/>
          </w:tcPr>
          <w:p>
            <w:pPr>
              <w:spacing w:after="0"/>
              <w:rPr>
                <w:sz w:val="1"/>
                <w:szCs w:val="1"/>
                <w:color w:val="auto"/>
              </w:rPr>
            </w:pPr>
          </w:p>
        </w:tc>
      </w:tr>
      <w:tr>
        <w:trPr>
          <w:trHeight w:val="229"/>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Great Wolf Mezzanine Loan</w:t>
            </w:r>
          </w:p>
        </w:tc>
        <w:tc>
          <w:tcPr>
            <w:tcW w:w="1720" w:type="dxa"/>
            <w:vAlign w:val="bottom"/>
            <w:gridSpan w:val="5"/>
          </w:tcPr>
          <w:p>
            <w:pPr>
              <w:jc w:val="center"/>
              <w:ind w:right="170"/>
              <w:spacing w:after="0"/>
              <w:rPr>
                <w:sz w:val="20"/>
                <w:szCs w:val="20"/>
                <w:color w:val="auto"/>
              </w:rPr>
            </w:pPr>
            <w:r>
              <w:rPr>
                <w:rFonts w:ascii="Arial" w:cs="Arial" w:eastAsia="Arial" w:hAnsi="Arial"/>
                <w:sz w:val="18"/>
                <w:szCs w:val="18"/>
                <w:color w:val="auto"/>
                <w:w w:val="89"/>
              </w:rPr>
              <w:t>Mezzanine</w:t>
            </w:r>
          </w:p>
        </w:tc>
        <w:tc>
          <w:tcPr>
            <w:tcW w:w="960" w:type="dxa"/>
            <w:vAlign w:val="bottom"/>
          </w:tcPr>
          <w:p>
            <w:pPr>
              <w:jc w:val="right"/>
              <w:spacing w:after="0"/>
              <w:rPr>
                <w:sz w:val="20"/>
                <w:szCs w:val="20"/>
                <w:color w:val="auto"/>
              </w:rPr>
            </w:pPr>
            <w:r>
              <w:rPr>
                <w:rFonts w:ascii="Arial" w:cs="Arial" w:eastAsia="Arial" w:hAnsi="Arial"/>
                <w:sz w:val="18"/>
                <w:szCs w:val="18"/>
                <w:color w:val="auto"/>
              </w:rPr>
              <w:t>19,161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60,339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7/9/2026</w:t>
            </w:r>
          </w:p>
        </w:tc>
        <w:tc>
          <w:tcPr>
            <w:tcW w:w="0" w:type="dxa"/>
            <w:vAlign w:val="bottom"/>
          </w:tcPr>
          <w:p>
            <w:pPr>
              <w:spacing w:after="0"/>
              <w:rPr>
                <w:sz w:val="1"/>
                <w:szCs w:val="1"/>
                <w:color w:val="auto"/>
              </w:rPr>
            </w:pPr>
          </w:p>
        </w:tc>
      </w:tr>
      <w:tr>
        <w:trPr>
          <w:trHeight w:val="247"/>
        </w:trPr>
        <w:tc>
          <w:tcPr>
            <w:tcW w:w="31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524,161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523,897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160" w:type="dxa"/>
            <w:vAlign w:val="bottom"/>
            <w:gridSpan w:val="4"/>
          </w:tcPr>
          <w:p>
            <w:pPr>
              <w:ind w:left="2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ind w:left="420"/>
              <w:spacing w:after="0"/>
              <w:rPr>
                <w:sz w:val="20"/>
                <w:szCs w:val="20"/>
                <w:color w:val="auto"/>
              </w:rPr>
            </w:pPr>
            <w:r>
              <w:rPr>
                <w:rFonts w:ascii="Arial" w:cs="Arial" w:eastAsia="Arial" w:hAnsi="Arial"/>
                <w:sz w:val="16"/>
                <w:szCs w:val="16"/>
                <w:b w:val="1"/>
                <w:bCs w:val="1"/>
                <w:color w:val="auto"/>
              </w:rPr>
              <w:t>December 31, 2020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Loan Type</w:t>
            </w:r>
          </w:p>
        </w:tc>
        <w:tc>
          <w:tcPr>
            <w:tcW w:w="100" w:type="dxa"/>
            <w:vAlign w:val="bottom"/>
            <w:gridSpan w:val="2"/>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1060" w:type="dxa"/>
            <w:vAlign w:val="bottom"/>
            <w:gridSpan w:val="3"/>
          </w:tcPr>
          <w:p>
            <w:pPr>
              <w:jc w:val="center"/>
              <w:ind w:right="300"/>
              <w:spacing w:after="0" w:line="155" w:lineRule="exact"/>
              <w:rPr>
                <w:sz w:val="20"/>
                <w:szCs w:val="20"/>
                <w:color w:val="auto"/>
              </w:rPr>
            </w:pPr>
            <w:r>
              <w:rPr>
                <w:rFonts w:ascii="Arial" w:cs="Arial" w:eastAsia="Arial" w:hAnsi="Arial"/>
                <w:sz w:val="16"/>
                <w:szCs w:val="16"/>
                <w:b w:val="1"/>
                <w:bCs w:val="1"/>
                <w:color w:val="auto"/>
                <w:w w:val="94"/>
              </w:rPr>
              <w:t>Principal</w:t>
            </w:r>
          </w:p>
        </w:tc>
        <w:tc>
          <w:tcPr>
            <w:tcW w:w="180" w:type="dxa"/>
            <w:vAlign w:val="bottom"/>
          </w:tcPr>
          <w:p>
            <w:pPr>
              <w:spacing w:after="0"/>
              <w:rPr>
                <w:sz w:val="13"/>
                <w:szCs w:val="13"/>
                <w:color w:val="auto"/>
              </w:rPr>
            </w:pPr>
          </w:p>
        </w:tc>
        <w:tc>
          <w:tcPr>
            <w:tcW w:w="1060" w:type="dxa"/>
            <w:vAlign w:val="bottom"/>
            <w:gridSpan w:val="3"/>
          </w:tcPr>
          <w:p>
            <w:pPr>
              <w:jc w:val="center"/>
              <w:ind w:right="300"/>
              <w:spacing w:after="0" w:line="155"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480" w:type="dxa"/>
            <w:vAlign w:val="bottom"/>
            <w:gridSpan w:val="2"/>
          </w:tcPr>
          <w:p>
            <w:pPr>
              <w:jc w:val="right"/>
              <w:ind w:right="320"/>
              <w:spacing w:after="0" w:line="155" w:lineRule="exact"/>
              <w:rPr>
                <w:sz w:val="20"/>
                <w:szCs w:val="20"/>
                <w:color w:val="auto"/>
              </w:rPr>
            </w:pPr>
            <w:r>
              <w:rPr>
                <w:rFonts w:ascii="Arial" w:cs="Arial" w:eastAsia="Arial" w:hAnsi="Arial"/>
                <w:sz w:val="16"/>
                <w:szCs w:val="16"/>
                <w:b w:val="1"/>
                <w:bCs w:val="1"/>
                <w:color w:val="auto"/>
                <w:w w:val="97"/>
              </w:rPr>
              <w:t>Future Funding</w:t>
            </w: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Final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3"/>
              <w:spacing w:after="0" w:line="216" w:lineRule="exact"/>
              <w:rPr>
                <w:sz w:val="20"/>
                <w:szCs w:val="20"/>
                <w:color w:val="auto"/>
              </w:rPr>
            </w:pPr>
            <w:r>
              <w:rPr>
                <w:rFonts w:ascii="Arial" w:cs="Arial" w:eastAsia="Arial" w:hAnsi="Arial"/>
                <w:sz w:val="16"/>
                <w:szCs w:val="16"/>
                <w:b w:val="1"/>
                <w:bCs w:val="1"/>
                <w:color w:val="auto"/>
                <w:w w:val="83"/>
              </w:rPr>
              <w:t>Value</w:t>
            </w:r>
            <w:r>
              <w:rPr>
                <w:rFonts w:ascii="Arial" w:cs="Arial" w:eastAsia="Arial" w:hAnsi="Arial"/>
                <w:sz w:val="21"/>
                <w:szCs w:val="21"/>
                <w:b w:val="1"/>
                <w:bCs w:val="1"/>
                <w:i w:val="1"/>
                <w:iCs w:val="1"/>
                <w:color w:val="auto"/>
                <w:w w:val="83"/>
                <w:vertAlign w:val="superscript"/>
              </w:rPr>
              <w:t>(1)</w:t>
            </w:r>
          </w:p>
        </w:tc>
        <w:tc>
          <w:tcPr>
            <w:tcW w:w="100" w:type="dxa"/>
            <w:vAlign w:val="bottom"/>
            <w:tcBorders>
              <w:bottom w:val="single" w:sz="8" w:color="CCEEFF"/>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3"/>
              <w:spacing w:after="0" w:line="216" w:lineRule="exact"/>
              <w:rPr>
                <w:sz w:val="20"/>
                <w:szCs w:val="20"/>
                <w:color w:val="auto"/>
              </w:rPr>
            </w:pPr>
            <w:r>
              <w:rPr>
                <w:rFonts w:ascii="Arial" w:cs="Arial" w:eastAsia="Arial" w:hAnsi="Arial"/>
                <w:sz w:val="16"/>
                <w:szCs w:val="16"/>
                <w:b w:val="1"/>
                <w:bCs w:val="1"/>
                <w:color w:val="auto"/>
                <w:w w:val="92"/>
              </w:rPr>
              <w:t>Commitments</w:t>
            </w:r>
            <w:r>
              <w:rPr>
                <w:rFonts w:ascii="Arial" w:cs="Arial" w:eastAsia="Arial" w:hAnsi="Arial"/>
                <w:sz w:val="21"/>
                <w:szCs w:val="21"/>
                <w:b w:val="1"/>
                <w:bCs w:val="1"/>
                <w:i w:val="1"/>
                <w:iCs w:val="1"/>
                <w:color w:val="auto"/>
                <w:w w:val="92"/>
                <w:vertAlign w:val="superscript"/>
              </w:rPr>
              <w:t>(2)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Maturity</w:t>
            </w:r>
            <w:r>
              <w:rPr>
                <w:rFonts w:ascii="Arial" w:cs="Arial" w:eastAsia="Arial" w:hAnsi="Arial"/>
                <w:sz w:val="21"/>
                <w:szCs w:val="21"/>
                <w:b w:val="1"/>
                <w:bCs w:val="1"/>
                <w:i w:val="1"/>
                <w:iCs w:val="1"/>
                <w:color w:val="auto"/>
                <w:w w:val="95"/>
                <w:vertAlign w:val="superscript"/>
              </w:rPr>
              <w:t>(4)</w:t>
            </w:r>
          </w:p>
        </w:tc>
        <w:tc>
          <w:tcPr>
            <w:tcW w:w="0" w:type="dxa"/>
            <w:vAlign w:val="bottom"/>
          </w:tcPr>
          <w:p>
            <w:pPr>
              <w:spacing w:after="0"/>
              <w:rPr>
                <w:sz w:val="1"/>
                <w:szCs w:val="1"/>
                <w:color w:val="auto"/>
              </w:rPr>
            </w:pPr>
          </w:p>
        </w:tc>
      </w:tr>
      <w:tr>
        <w:trPr>
          <w:trHeight w:val="169"/>
        </w:trPr>
        <w:tc>
          <w:tcPr>
            <w:tcW w:w="306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7"/>
              </w:rPr>
              <w:t>Senior Secured</w:t>
            </w:r>
          </w:p>
        </w:tc>
        <w:tc>
          <w:tcPr>
            <w:tcW w:w="100" w:type="dxa"/>
            <w:vAlign w:val="bottom"/>
            <w:gridSpan w:val="2"/>
            <w:shd w:val="clear" w:color="auto" w:fill="CCEEFF"/>
          </w:tcPr>
          <w:p>
            <w:pPr>
              <w:spacing w:after="0"/>
              <w:rPr>
                <w:sz w:val="14"/>
                <w:szCs w:val="14"/>
                <w:color w:val="auto"/>
              </w:rPr>
            </w:pPr>
          </w:p>
        </w:tc>
        <w:tc>
          <w:tcPr>
            <w:tcW w:w="180" w:type="dxa"/>
            <w:vAlign w:val="bottom"/>
            <w:gridSpan w:val="2"/>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9/18/2025</w:t>
            </w:r>
          </w:p>
        </w:tc>
        <w:tc>
          <w:tcPr>
            <w:tcW w:w="0" w:type="dxa"/>
            <w:vAlign w:val="bottom"/>
          </w:tcPr>
          <w:p>
            <w:pPr>
              <w:spacing w:after="0"/>
              <w:rPr>
                <w:sz w:val="1"/>
                <w:szCs w:val="1"/>
                <w:color w:val="auto"/>
              </w:rPr>
            </w:pPr>
          </w:p>
        </w:tc>
      </w:tr>
      <w:tr>
        <w:trPr>
          <w:trHeight w:val="229"/>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Loan</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Chelsea Piers Mortgage Loan</w:t>
            </w:r>
          </w:p>
        </w:tc>
        <w:tc>
          <w:tcPr>
            <w:tcW w:w="1720" w:type="dxa"/>
            <w:vAlign w:val="bottom"/>
            <w:gridSpan w:val="5"/>
          </w:tcPr>
          <w:p>
            <w:pPr>
              <w:jc w:val="center"/>
              <w:ind w:right="190"/>
              <w:spacing w:after="0"/>
              <w:rPr>
                <w:sz w:val="20"/>
                <w:szCs w:val="20"/>
                <w:color w:val="auto"/>
              </w:rPr>
            </w:pPr>
            <w:r>
              <w:rPr>
                <w:rFonts w:ascii="Arial" w:cs="Arial" w:eastAsia="Arial" w:hAnsi="Arial"/>
                <w:sz w:val="18"/>
                <w:szCs w:val="18"/>
                <w:color w:val="auto"/>
                <w:w w:val="87"/>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8/31/2027</w:t>
            </w:r>
          </w:p>
        </w:tc>
        <w:tc>
          <w:tcPr>
            <w:tcW w:w="0" w:type="dxa"/>
            <w:vAlign w:val="bottom"/>
          </w:tcPr>
          <w:p>
            <w:pPr>
              <w:spacing w:after="0"/>
              <w:rPr>
                <w:sz w:val="1"/>
                <w:szCs w:val="1"/>
                <w:color w:val="auto"/>
              </w:rPr>
            </w:pPr>
          </w:p>
        </w:tc>
      </w:tr>
      <w:tr>
        <w:trPr>
          <w:trHeight w:val="229"/>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Amended and Restated ROV Loan</w:t>
            </w: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ROV Term Loan</w:t>
            </w:r>
          </w:p>
        </w:tc>
        <w:tc>
          <w:tcPr>
            <w:tcW w:w="1720" w:type="dxa"/>
            <w:vAlign w:val="bottom"/>
            <w:gridSpan w:val="5"/>
          </w:tcPr>
          <w:p>
            <w:pPr>
              <w:jc w:val="center"/>
              <w:ind w:right="190"/>
              <w:spacing w:after="0"/>
              <w:rPr>
                <w:sz w:val="20"/>
                <w:szCs w:val="20"/>
                <w:color w:val="auto"/>
              </w:rPr>
            </w:pPr>
            <w:r>
              <w:rPr>
                <w:rFonts w:ascii="Arial" w:cs="Arial" w:eastAsia="Arial" w:hAnsi="Arial"/>
                <w:sz w:val="18"/>
                <w:szCs w:val="18"/>
                <w:color w:val="auto"/>
                <w:w w:val="87"/>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71,796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ROV Credit Facility</w:t>
            </w:r>
          </w:p>
        </w:tc>
        <w:tc>
          <w:tcPr>
            <w:tcW w:w="1720" w:type="dxa"/>
            <w:vAlign w:val="bottom"/>
            <w:gridSpan w:val="5"/>
            <w:shd w:val="clear" w:color="auto" w:fill="CCEEFF"/>
          </w:tcPr>
          <w:p>
            <w:pPr>
              <w:jc w:val="center"/>
              <w:ind w:right="190"/>
              <w:spacing w:after="0"/>
              <w:rPr>
                <w:sz w:val="20"/>
                <w:szCs w:val="20"/>
                <w:color w:val="auto"/>
              </w:rPr>
            </w:pPr>
            <w:r>
              <w:rPr>
                <w:rFonts w:ascii="Arial" w:cs="Arial" w:eastAsia="Arial" w:hAnsi="Arial"/>
                <w:sz w:val="18"/>
                <w:szCs w:val="18"/>
                <w:color w:val="auto"/>
                <w:w w:val="87"/>
              </w:rPr>
              <w:t>Senior Secured</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1/24/2027</w:t>
            </w:r>
          </w:p>
        </w:tc>
        <w:tc>
          <w:tcPr>
            <w:tcW w:w="0" w:type="dxa"/>
            <w:vAlign w:val="bottom"/>
          </w:tcPr>
          <w:p>
            <w:pPr>
              <w:spacing w:after="0"/>
              <w:rPr>
                <w:sz w:val="1"/>
                <w:szCs w:val="1"/>
                <w:color w:val="auto"/>
              </w:rPr>
            </w:pPr>
          </w:p>
        </w:tc>
      </w:tr>
      <w:tr>
        <w:trPr>
          <w:trHeight w:val="222"/>
        </w:trPr>
        <w:tc>
          <w:tcPr>
            <w:tcW w:w="316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loan origination costs and allowance for credit losses.</w:t>
      </w:r>
    </w:p>
    <w:p>
      <w:pPr>
        <w:ind w:left="220" w:hanging="212"/>
        <w:spacing w:after="0"/>
        <w:tabs>
          <w:tab w:leader="none" w:pos="2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ind w:left="220" w:hanging="212"/>
        <w:spacing w:after="0"/>
        <w:tabs>
          <w:tab w:leader="none" w:pos="2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current interest rate per annum. The interest rate of the Forum Convention Center Mortgage Loan is subject to 2.0% annual escalation.</w:t>
      </w:r>
    </w:p>
    <w:p>
      <w:pPr>
        <w:ind w:left="220" w:hanging="212"/>
        <w:spacing w:after="0"/>
        <w:tabs>
          <w:tab w:leader="none" w:pos="2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assumes all extension options are exercised; however, our loans may be repaid, subject to certain conditions, prior to such date.</w:t>
      </w:r>
    </w:p>
    <w:p>
      <w:pPr>
        <w:ind w:left="220" w:hanging="212"/>
        <w:spacing w:after="0"/>
        <w:tabs>
          <w:tab w:leader="none" w:pos="22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Subsequent to September 30, 2021, on October 4, 2021, the ROV Term Loan was repaid in full and the Amended and Restated ROV Loan, including the ROV Credit Facility, was terminated.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Allowance for Credit Losses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326</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1, 2020, we adopted ASC 326 and, as a result, we are required to estimate and record non-cash credit losses related to our historical and any future investments in sales-type leases, lease financing receivables and loans. Upon adoption, we recorded a $309.4 million cumulative adjustment, representing a 2.88% CECL allowance. Such amount was recorded as a cumulative-effect adjustment to our opening balance sheet with a reduction in our Investments in leases - sales-type and a corresponding charge to retained (deficit)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September 30, 2021, we recognized a $9.0 million increase in our allowance for credit losses primarily driven by (i) the increase in the Long-Term Period probability of default, or PD, for one of our tenants during the third quarter of 2021 and (ii) an increase in the existing amortized cost balances subject to the CECL allowance. During the nine months ended September 30, 2021, we recognized a $24.5 million decrease in our allowance for credit losses primarily driven by (i) the decrease in the reasonable and supportable period, or R&amp;S Period PD, of our tenants and their parent guarantors as a result of an improvement in their economic outlook due to the reopening of all of their gaming operations and relative performance of such operations during the first and second quarters of 2021, (ii) the decrease in the Long-Term Period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PD due to an upgrade of the credit rating of the senior secured debt used to determine the Long-Term Period PD for two of our tenants during the second quarter of 2021 and (iii) the decrease in the R&amp;S Period PD and loss given default, or LGD, as a result of standard annual updates that were made to the inputs and assumptions in the model that we utilize to estimate our CECL allowance. This decrease was partially offset by the increase for the three months ended September 30, 2021 described above.</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three months ended September 30, 2020, we recognized a $177.1 million increase in our allowance for credit losses primarily driven by the increase in investment balances subject to CECL. Specifically, the increase was primarily attributable to (i) the increase in investment balances resulting from the Eldorado Transaction, which includes (A) an initial CECL allowance on our $1.8 billion investment in the Harrah’s Original Call Properties, (B) an additional CECL allowance on our aggregate $1.4 billion increased investment in the Las Vegas Master Lease Agreement as a result of the CPLV Additional Rent Acquisition and the HLV Additional Rent Acquisition, and (C) an additional CECL allowance on the $333.4 million increased balance of our existing Caesars Lease Agreements as a result of the mark to fair value in connection with the reassessment of lease classification, and (ii) an increase in the R&amp;S Period PD of Caesars as a result of the Eldorado/Caesars Merger. This increase was partially offset by a decrease in the R&amp;S Period PD of our other tenants and their parent guarantors as a result of an improvement in their economic outlook due to the reopening of a majority of their gaming operations and relative performance of such operations during the third quarter of 2020. During the nine months ended September 30, 2020, we recognized a $261.1 million increase in our allowance for credit losses primarily driven by the increase in investment balances subject to CECL. Specifically, the increase was primarily attributable to (i) the Eldorado Transaction, Eldorado/Caesars Merger and Forum Convention Center Mortgage Loan as described above, (ii) an increase related to our initial investment in JACK Cleveland/Thistledown and the ROV Loan in January 2020, and (iii) an increase in the Long-Term Period PD of our tenants due to downgrades on certain of the credit ratings of our tenants’ senior secured debt in connection with the impact of the COVID-19 pandemic.</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September 30, 2021 and December 31, 2020, and since our formation date on October 6, 2017, all of our Lease Agreements and loan investments are current in payment of their obligations to us and no investments are on non-accrual status.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the allowance for credit losses as of September 30, 2021 and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0"/>
              </w:rPr>
              <w:t>September 30, 2021</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3"/>
                <w:szCs w:val="13"/>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7"/>
              </w:rPr>
              <w:t xml:space="preserve">Allowance </w:t>
            </w:r>
            <w:r>
              <w:rPr>
                <w:rFonts w:ascii="Arial" w:cs="Arial" w:eastAsia="Arial" w:hAnsi="Arial"/>
                <w:sz w:val="21"/>
                <w:szCs w:val="21"/>
                <w:b w:val="1"/>
                <w:bCs w:val="1"/>
                <w:color w:val="auto"/>
                <w:w w:val="87"/>
                <w:vertAlign w:val="superscript"/>
              </w:rPr>
              <w:t>(1)</w:t>
            </w:r>
          </w:p>
        </w:tc>
        <w:tc>
          <w:tcPr>
            <w:tcW w:w="20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Allowance as a % of</w:t>
            </w:r>
          </w:p>
        </w:tc>
        <w:tc>
          <w:tcPr>
            <w:tcW w:w="0" w:type="dxa"/>
            <w:vAlign w:val="bottom"/>
          </w:tcPr>
          <w:p>
            <w:pPr>
              <w:spacing w:after="0"/>
              <w:rPr>
                <w:sz w:val="1"/>
                <w:szCs w:val="1"/>
                <w:color w:val="auto"/>
              </w:rPr>
            </w:pPr>
          </w:p>
        </w:tc>
      </w:tr>
      <w:tr>
        <w:trPr>
          <w:trHeight w:val="175"/>
        </w:trPr>
        <w:tc>
          <w:tcPr>
            <w:tcW w:w="41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13,124,209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29"/>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2,729,021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2,640,399</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29"/>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274,260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17,090,882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16,562,765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90"/>
              </w:rPr>
              <w:t>December 31, 2020</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3"/>
                <w:szCs w:val="13"/>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0"/>
              </w:rPr>
              <w:t>Allowance</w:t>
            </w:r>
          </w:p>
        </w:tc>
        <w:tc>
          <w:tcPr>
            <w:tcW w:w="20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Allowance as a % of</w:t>
            </w:r>
          </w:p>
        </w:tc>
        <w:tc>
          <w:tcPr>
            <w:tcW w:w="0" w:type="dxa"/>
            <w:vAlign w:val="bottom"/>
          </w:tcPr>
          <w:p>
            <w:pPr>
              <w:spacing w:after="0"/>
              <w:rPr>
                <w:sz w:val="1"/>
                <w:szCs w:val="1"/>
                <w:color w:val="auto"/>
              </w:rPr>
            </w:pPr>
          </w:p>
        </w:tc>
      </w:tr>
      <w:tr>
        <w:trPr>
          <w:trHeight w:val="175"/>
        </w:trPr>
        <w:tc>
          <w:tcPr>
            <w:tcW w:w="41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9"/>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2,709,520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29"/>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277,482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16,460,409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firstLine="8"/>
        <w:spacing w:after="0" w:line="254" w:lineRule="auto"/>
        <w:tabs>
          <w:tab w:leader="none" w:pos="221"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allowance excludes the CECL allowance for unfunded loan commitments. As of September 30, 2021, such allowance is $1.3 million and is recorded in Other liabilities. As of December 31, 2020, there was no CECL allowance related to unfunded loan commitments.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following chart reflects the roll-forward of the allowance for credit losses on our real estate portfolio for the nine months ended September 30, 2021 and 2020:</w:t>
      </w:r>
    </w:p>
    <w:p>
      <w:pPr>
        <w:spacing w:after="0" w:line="265"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2"/>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December 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gridSpan w:val="3"/>
          </w:tcPr>
          <w:p>
            <w:pPr>
              <w:ind w:left="20"/>
              <w:spacing w:after="0"/>
              <w:rPr>
                <w:sz w:val="20"/>
                <w:szCs w:val="20"/>
                <w:color w:val="auto"/>
              </w:rPr>
            </w:pPr>
            <w:r>
              <w:rPr>
                <w:rFonts w:ascii="Arial" w:cs="Arial" w:eastAsia="Arial" w:hAnsi="Arial"/>
                <w:sz w:val="18"/>
                <w:szCs w:val="18"/>
                <w:color w:val="auto"/>
              </w:rPr>
              <w:t>Initial allowance upon adoption</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309,362</w:t>
            </w:r>
          </w:p>
        </w:tc>
      </w:tr>
      <w:tr>
        <w:trPr>
          <w:trHeight w:val="229"/>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Initial allowance from current period investments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228,919</w:t>
            </w:r>
          </w:p>
        </w:tc>
      </w:tr>
      <w:tr>
        <w:trPr>
          <w:trHeight w:val="229"/>
        </w:trPr>
        <w:tc>
          <w:tcPr>
            <w:tcW w:w="7040" w:type="dxa"/>
            <w:vAlign w:val="bottom"/>
            <w:gridSpan w:val="3"/>
          </w:tcPr>
          <w:p>
            <w:pPr>
              <w:ind w:left="20"/>
              <w:spacing w:after="0"/>
              <w:rPr>
                <w:sz w:val="20"/>
                <w:szCs w:val="20"/>
                <w:color w:val="auto"/>
              </w:rPr>
            </w:pPr>
            <w:r>
              <w:rPr>
                <w:rFonts w:ascii="Arial" w:cs="Arial" w:eastAsia="Arial" w:hAnsi="Arial"/>
                <w:sz w:val="18"/>
                <w:szCs w:val="18"/>
                <w:color w:val="auto"/>
              </w:rPr>
              <w:t>Current period change in credit allowance</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32,161</w:t>
            </w:r>
          </w:p>
        </w:tc>
      </w:tr>
      <w:tr>
        <w:trPr>
          <w:trHeight w:val="229"/>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gridSpan w:val="3"/>
          </w:tcPr>
          <w:p>
            <w:pPr>
              <w:ind w:left="20"/>
              <w:spacing w:after="0"/>
              <w:rPr>
                <w:sz w:val="20"/>
                <w:szCs w:val="20"/>
                <w:color w:val="auto"/>
              </w:rPr>
            </w:pPr>
            <w:r>
              <w:rPr>
                <w:rFonts w:ascii="Arial" w:cs="Arial" w:eastAsia="Arial" w:hAnsi="Arial"/>
                <w:sz w:val="18"/>
                <w:szCs w:val="18"/>
                <w:color w:val="auto"/>
              </w:rPr>
              <w:t>Recoveries</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0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September 30,</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September 30, 2021</w:t>
            </w: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71"/>
        </w:trPr>
        <w:tc>
          <w:tcPr>
            <w:tcW w:w="3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gridSpan w:val="2"/>
          </w:tcPr>
          <w:p>
            <w:pPr>
              <w:ind w:left="480"/>
              <w:spacing w:after="0" w:line="171" w:lineRule="exact"/>
              <w:rPr>
                <w:sz w:val="20"/>
                <w:szCs w:val="20"/>
                <w:color w:val="auto"/>
              </w:rPr>
            </w:pPr>
            <w:r>
              <w:rPr>
                <w:rFonts w:ascii="Arial" w:cs="Arial" w:eastAsia="Arial" w:hAnsi="Arial"/>
                <w:sz w:val="16"/>
                <w:szCs w:val="16"/>
                <w:b w:val="1"/>
                <w:bCs w:val="1"/>
                <w:color w:val="auto"/>
              </w:rPr>
              <w:t>Ba3</w:t>
            </w:r>
          </w:p>
        </w:tc>
        <w:tc>
          <w:tcPr>
            <w:tcW w:w="1360" w:type="dxa"/>
            <w:vAlign w:val="bottom"/>
            <w:gridSpan w:val="2"/>
          </w:tcPr>
          <w:p>
            <w:pPr>
              <w:ind w:left="540"/>
              <w:spacing w:after="0" w:line="171" w:lineRule="exact"/>
              <w:rPr>
                <w:sz w:val="20"/>
                <w:szCs w:val="20"/>
                <w:color w:val="auto"/>
              </w:rPr>
            </w:pPr>
            <w:r>
              <w:rPr>
                <w:rFonts w:ascii="Arial" w:cs="Arial" w:eastAsia="Arial" w:hAnsi="Arial"/>
                <w:sz w:val="16"/>
                <w:szCs w:val="16"/>
                <w:b w:val="1"/>
                <w:bCs w:val="1"/>
                <w:color w:val="auto"/>
              </w:rPr>
              <w:t>B1</w:t>
            </w:r>
          </w:p>
        </w:tc>
        <w:tc>
          <w:tcPr>
            <w:tcW w:w="1300" w:type="dxa"/>
            <w:vAlign w:val="bottom"/>
            <w:gridSpan w:val="2"/>
          </w:tcPr>
          <w:p>
            <w:pPr>
              <w:ind w:left="500"/>
              <w:spacing w:after="0" w:line="171" w:lineRule="exact"/>
              <w:rPr>
                <w:sz w:val="20"/>
                <w:szCs w:val="20"/>
                <w:color w:val="auto"/>
              </w:rPr>
            </w:pPr>
            <w:r>
              <w:rPr>
                <w:rFonts w:ascii="Arial" w:cs="Arial" w:eastAsia="Arial" w:hAnsi="Arial"/>
                <w:sz w:val="16"/>
                <w:szCs w:val="16"/>
                <w:b w:val="1"/>
                <w:bCs w:val="1"/>
                <w:color w:val="auto"/>
              </w:rPr>
              <w:t>B2</w:t>
            </w:r>
          </w:p>
        </w:tc>
        <w:tc>
          <w:tcPr>
            <w:tcW w:w="1300" w:type="dxa"/>
            <w:vAlign w:val="bottom"/>
            <w:gridSpan w:val="2"/>
          </w:tcPr>
          <w:p>
            <w:pPr>
              <w:ind w:left="520"/>
              <w:spacing w:after="0" w:line="171" w:lineRule="exact"/>
              <w:rPr>
                <w:sz w:val="20"/>
                <w:szCs w:val="20"/>
                <w:color w:val="auto"/>
              </w:rPr>
            </w:pPr>
            <w:r>
              <w:rPr>
                <w:rFonts w:ascii="Arial" w:cs="Arial" w:eastAsia="Arial" w:hAnsi="Arial"/>
                <w:sz w:val="16"/>
                <w:szCs w:val="16"/>
                <w:b w:val="1"/>
                <w:bCs w:val="1"/>
                <w:color w:val="auto"/>
              </w:rPr>
              <w:t>B3</w:t>
            </w:r>
          </w:p>
        </w:tc>
        <w:tc>
          <w:tcPr>
            <w:tcW w:w="1320" w:type="dxa"/>
            <w:vAlign w:val="bottom"/>
            <w:gridSpan w:val="2"/>
          </w:tcPr>
          <w:p>
            <w:pPr>
              <w:ind w:left="42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(1)</w:t>
            </w:r>
          </w:p>
        </w:tc>
        <w:tc>
          <w:tcPr>
            <w:tcW w:w="1260" w:type="dxa"/>
            <w:vAlign w:val="bottom"/>
          </w:tcPr>
          <w:p>
            <w:pPr>
              <w:ind w:left="460"/>
              <w:spacing w:after="0" w:line="171" w:lineRule="exact"/>
              <w:rPr>
                <w:sz w:val="20"/>
                <w:szCs w:val="20"/>
                <w:color w:val="auto"/>
              </w:rPr>
            </w:pPr>
            <w:r>
              <w:rPr>
                <w:rFonts w:ascii="Arial" w:cs="Arial" w:eastAsia="Arial" w:hAnsi="Arial"/>
                <w:sz w:val="16"/>
                <w:szCs w:val="16"/>
                <w:b w:val="1"/>
                <w:bCs w:val="1"/>
                <w:color w:val="auto"/>
              </w:rPr>
              <w:t>Total</w:t>
            </w: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955" cy="3676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955" cy="3676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400" w:type="dxa"/>
            <w:vAlign w:val="bottom"/>
            <w:gridSpan w:val="3"/>
          </w:tcPr>
          <w:p>
            <w:pPr>
              <w:ind w:left="20"/>
              <w:spacing w:after="0" w:line="162" w:lineRule="exact"/>
              <w:rPr>
                <w:sz w:val="20"/>
                <w:szCs w:val="20"/>
                <w:color w:val="auto"/>
              </w:rPr>
            </w:pPr>
            <w:r>
              <w:rPr>
                <w:rFonts w:ascii="Arial" w:cs="Arial" w:eastAsia="Arial" w:hAnsi="Arial"/>
                <w:sz w:val="18"/>
                <w:szCs w:val="18"/>
                <w:color w:val="auto"/>
              </w:rPr>
              <w:t>Investments in leases - sales-type and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9"/>
              </w:rPr>
              <w:t>financing receivable, Investments in loans,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952,620</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14,905,789</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ind w:left="260"/>
              <w:spacing w:after="0"/>
              <w:rPr>
                <w:sz w:val="20"/>
                <w:szCs w:val="20"/>
                <w:color w:val="auto"/>
              </w:rPr>
            </w:pPr>
            <w:r>
              <w:rPr>
                <w:rFonts w:ascii="Arial" w:cs="Arial" w:eastAsia="Arial" w:hAnsi="Arial"/>
                <w:sz w:val="18"/>
                <w:szCs w:val="18"/>
                <w:color w:val="auto"/>
                <w:w w:val="95"/>
              </w:rPr>
              <w:t>866,312</w:t>
            </w:r>
          </w:p>
        </w:tc>
        <w:tc>
          <w:tcPr>
            <w:tcW w:w="8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281,869</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84,292</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17,090,882</w:t>
            </w:r>
          </w:p>
        </w:tc>
        <w:tc>
          <w:tcPr>
            <w:tcW w:w="0" w:type="dxa"/>
            <w:vAlign w:val="bottom"/>
          </w:tcPr>
          <w:p>
            <w:pPr>
              <w:spacing w:after="0"/>
              <w:rPr>
                <w:sz w:val="1"/>
                <w:szCs w:val="1"/>
                <w:color w:val="auto"/>
              </w:rPr>
            </w:pPr>
          </w:p>
        </w:tc>
      </w:tr>
      <w:tr>
        <w:trPr>
          <w:trHeight w:val="230"/>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Other assets and Other liabilities</w:t>
            </w:r>
          </w:p>
        </w:tc>
        <w:tc>
          <w:tcPr>
            <w:tcW w:w="2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September 30, 2020</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4"/>
                <w:szCs w:val="14"/>
                <w:color w:val="auto"/>
              </w:rPr>
            </w:pPr>
          </w:p>
        </w:tc>
        <w:tc>
          <w:tcPr>
            <w:tcW w:w="1020" w:type="dxa"/>
            <w:vAlign w:val="bottom"/>
            <w:gridSpan w:val="2"/>
          </w:tcPr>
          <w:p>
            <w:pPr>
              <w:ind w:left="180"/>
              <w:spacing w:after="0" w:line="171" w:lineRule="exact"/>
              <w:rPr>
                <w:sz w:val="20"/>
                <w:szCs w:val="20"/>
                <w:color w:val="auto"/>
              </w:rPr>
            </w:pPr>
            <w:r>
              <w:rPr>
                <w:rFonts w:ascii="Arial" w:cs="Arial" w:eastAsia="Arial" w:hAnsi="Arial"/>
                <w:sz w:val="16"/>
                <w:szCs w:val="16"/>
                <w:b w:val="1"/>
                <w:bCs w:val="1"/>
                <w:color w:val="auto"/>
              </w:rPr>
              <w:t>Ba3</w:t>
            </w:r>
          </w:p>
        </w:tc>
        <w:tc>
          <w:tcPr>
            <w:tcW w:w="240" w:type="dxa"/>
            <w:vAlign w:val="bottom"/>
          </w:tcPr>
          <w:p>
            <w:pPr>
              <w:spacing w:after="0"/>
              <w:rPr>
                <w:sz w:val="14"/>
                <w:szCs w:val="14"/>
                <w:color w:val="auto"/>
              </w:rPr>
            </w:pPr>
          </w:p>
        </w:tc>
        <w:tc>
          <w:tcPr>
            <w:tcW w:w="1100" w:type="dxa"/>
            <w:vAlign w:val="bottom"/>
            <w:gridSpan w:val="2"/>
          </w:tcPr>
          <w:p>
            <w:pPr>
              <w:ind w:left="280"/>
              <w:spacing w:after="0" w:line="171" w:lineRule="exact"/>
              <w:rPr>
                <w:sz w:val="20"/>
                <w:szCs w:val="20"/>
                <w:color w:val="auto"/>
              </w:rPr>
            </w:pPr>
            <w:r>
              <w:rPr>
                <w:rFonts w:ascii="Arial" w:cs="Arial" w:eastAsia="Arial" w:hAnsi="Arial"/>
                <w:sz w:val="16"/>
                <w:szCs w:val="16"/>
                <w:b w:val="1"/>
                <w:bCs w:val="1"/>
                <w:color w:val="auto"/>
              </w:rPr>
              <w:t>B1</w:t>
            </w:r>
          </w:p>
        </w:tc>
        <w:tc>
          <w:tcPr>
            <w:tcW w:w="320" w:type="dxa"/>
            <w:vAlign w:val="bottom"/>
          </w:tcPr>
          <w:p>
            <w:pPr>
              <w:spacing w:after="0"/>
              <w:rPr>
                <w:sz w:val="14"/>
                <w:szCs w:val="14"/>
                <w:color w:val="auto"/>
              </w:rPr>
            </w:pPr>
          </w:p>
        </w:tc>
        <w:tc>
          <w:tcPr>
            <w:tcW w:w="980" w:type="dxa"/>
            <w:vAlign w:val="bottom"/>
            <w:gridSpan w:val="2"/>
          </w:tcPr>
          <w:p>
            <w:pPr>
              <w:ind w:left="200"/>
              <w:spacing w:after="0" w:line="171" w:lineRule="exact"/>
              <w:rPr>
                <w:sz w:val="20"/>
                <w:szCs w:val="20"/>
                <w:color w:val="auto"/>
              </w:rPr>
            </w:pPr>
            <w:r>
              <w:rPr>
                <w:rFonts w:ascii="Arial" w:cs="Arial" w:eastAsia="Arial" w:hAnsi="Arial"/>
                <w:sz w:val="16"/>
                <w:szCs w:val="16"/>
                <w:b w:val="1"/>
                <w:bCs w:val="1"/>
                <w:color w:val="auto"/>
              </w:rPr>
              <w:t>B2</w:t>
            </w:r>
          </w:p>
        </w:tc>
        <w:tc>
          <w:tcPr>
            <w:tcW w:w="320" w:type="dxa"/>
            <w:vAlign w:val="bottom"/>
          </w:tcPr>
          <w:p>
            <w:pPr>
              <w:spacing w:after="0"/>
              <w:rPr>
                <w:sz w:val="14"/>
                <w:szCs w:val="14"/>
                <w:color w:val="auto"/>
              </w:rPr>
            </w:pPr>
          </w:p>
        </w:tc>
        <w:tc>
          <w:tcPr>
            <w:tcW w:w="1000" w:type="dxa"/>
            <w:vAlign w:val="bottom"/>
            <w:gridSpan w:val="2"/>
          </w:tcPr>
          <w:p>
            <w:pPr>
              <w:ind w:left="200"/>
              <w:spacing w:after="0" w:line="171" w:lineRule="exact"/>
              <w:rPr>
                <w:sz w:val="20"/>
                <w:szCs w:val="20"/>
                <w:color w:val="auto"/>
              </w:rPr>
            </w:pPr>
            <w:r>
              <w:rPr>
                <w:rFonts w:ascii="Arial" w:cs="Arial" w:eastAsia="Arial" w:hAnsi="Arial"/>
                <w:sz w:val="16"/>
                <w:szCs w:val="16"/>
                <w:b w:val="1"/>
                <w:bCs w:val="1"/>
                <w:color w:val="auto"/>
              </w:rPr>
              <w:t>B3</w:t>
            </w:r>
          </w:p>
        </w:tc>
        <w:tc>
          <w:tcPr>
            <w:tcW w:w="260" w:type="dxa"/>
            <w:vAlign w:val="bottom"/>
          </w:tcPr>
          <w:p>
            <w:pPr>
              <w:spacing w:after="0"/>
              <w:rPr>
                <w:sz w:val="14"/>
                <w:szCs w:val="14"/>
                <w:color w:val="auto"/>
              </w:rPr>
            </w:pPr>
          </w:p>
        </w:tc>
        <w:tc>
          <w:tcPr>
            <w:tcW w:w="1040" w:type="dxa"/>
            <w:vAlign w:val="bottom"/>
            <w:gridSpan w:val="2"/>
          </w:tcPr>
          <w:p>
            <w:pPr>
              <w:ind w:left="140"/>
              <w:spacing w:after="0" w:line="172" w:lineRule="exact"/>
              <w:rPr>
                <w:sz w:val="20"/>
                <w:szCs w:val="20"/>
                <w:color w:val="auto"/>
              </w:rPr>
            </w:pPr>
            <w:r>
              <w:rPr>
                <w:rFonts w:ascii="Arial" w:cs="Arial" w:eastAsia="Arial" w:hAnsi="Arial"/>
                <w:sz w:val="19"/>
                <w:szCs w:val="19"/>
                <w:b w:val="1"/>
                <w:bCs w:val="1"/>
                <w:color w:val="auto"/>
                <w:vertAlign w:val="subscript"/>
              </w:rPr>
              <w:t>N/A</w:t>
            </w:r>
            <w:r>
              <w:rPr>
                <w:rFonts w:ascii="Arial" w:cs="Arial" w:eastAsia="Arial" w:hAnsi="Arial"/>
                <w:sz w:val="8"/>
                <w:szCs w:val="8"/>
                <w:b w:val="1"/>
                <w:bCs w:val="1"/>
                <w:i w:val="1"/>
                <w:iCs w:val="1"/>
                <w:color w:val="auto"/>
              </w:rPr>
              <w:t>(1)</w:t>
            </w:r>
          </w:p>
        </w:tc>
        <w:tc>
          <w:tcPr>
            <w:tcW w:w="260" w:type="dxa"/>
            <w:vAlign w:val="bottom"/>
          </w:tcPr>
          <w:p>
            <w:pPr>
              <w:spacing w:after="0"/>
              <w:rPr>
                <w:sz w:val="14"/>
                <w:szCs w:val="14"/>
                <w:color w:val="auto"/>
              </w:rPr>
            </w:pPr>
          </w:p>
        </w:tc>
        <w:tc>
          <w:tcPr>
            <w:tcW w:w="1020" w:type="dxa"/>
            <w:vAlign w:val="bottom"/>
          </w:tcPr>
          <w:p>
            <w:pPr>
              <w:jc w:val="right"/>
              <w:ind w:right="373"/>
              <w:spacing w:after="0" w:line="17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7"/>
                <w:szCs w:val="17"/>
                <w:color w:val="auto"/>
              </w:rPr>
              <w:t>Investments in leases - sales-type and</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financing receivable, Investments in loans,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15,724,024</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w w:val="98"/>
              </w:rPr>
              <w:t>921,511</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281,123</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16,991,658</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 and Other liabilities</w:t>
            </w:r>
          </w:p>
        </w:tc>
        <w:tc>
          <w:tcPr>
            <w:tcW w:w="28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340" w:hanging="332"/>
        <w:spacing w:after="0" w:line="254" w:lineRule="auto"/>
        <w:tabs>
          <w:tab w:leader="none" w:pos="332"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We estimate the CECL allowance for the Chelsea Piers Mortgage Loan and Great Wolf Mezzanine Loan using a traditional commercial real estate model based on standardized credit metrics to estimate potential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2"/>
        </w:trPr>
        <w:tc>
          <w:tcPr>
            <w:tcW w:w="6980" w:type="dxa"/>
            <w:vAlign w:val="bottom"/>
            <w:gridSpan w:val="3"/>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Sales-type sub-leases, net </w:t>
            </w:r>
            <w:r>
              <w:rPr>
                <w:rFonts w:ascii="Arial" w:cs="Arial" w:eastAsia="Arial" w:hAnsi="Arial"/>
                <w:sz w:val="23"/>
                <w:szCs w:val="23"/>
                <w:i w:val="1"/>
                <w:iCs w:val="1"/>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Property and equipment used in operations, net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68,434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69,204</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Debt financing costs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Deferred acquisition costs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21,641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Tenant receivables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3,384</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29"/>
        </w:trPr>
        <w:tc>
          <w:tcPr>
            <w:tcW w:w="6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ind w:firstLine="8"/>
        <w:spacing w:after="0" w:line="272" w:lineRule="auto"/>
        <w:tabs>
          <w:tab w:leader="none" w:pos="210" w:val="left"/>
        </w:tabs>
        <w:numPr>
          <w:ilvl w:val="0"/>
          <w:numId w:val="28"/>
        </w:numPr>
        <w:rPr>
          <w:rFonts w:ascii="Arial" w:cs="Arial" w:eastAsia="Arial" w:hAnsi="Arial"/>
          <w:sz w:val="14"/>
          <w:szCs w:val="14"/>
          <w:i w:val="1"/>
          <w:iCs w:val="1"/>
          <w:color w:val="0000FF"/>
        </w:rPr>
      </w:pPr>
      <w:hyperlink w:anchor="page34">
        <w:r>
          <w:rPr>
            <w:rFonts w:ascii="Arial" w:cs="Arial" w:eastAsia="Arial" w:hAnsi="Arial"/>
            <w:sz w:val="14"/>
            <w:szCs w:val="14"/>
            <w:i w:val="1"/>
            <w:iCs w:val="1"/>
            <w:color w:val="auto"/>
          </w:rPr>
          <w:t xml:space="preserve">As of September 30, 2021 and December 31, 2020, sales-type sub-leases are net of $6.5 million and $6.9 million of Allowance for credit losses, respectively. Refer to </w:t>
        </w:r>
        <w:r>
          <w:rPr>
            <w:rFonts w:ascii="Arial" w:cs="Arial" w:eastAsia="Arial" w:hAnsi="Arial"/>
            <w:sz w:val="14"/>
            <w:szCs w:val="14"/>
            <w:i w:val="1"/>
            <w:iCs w:val="1"/>
            <w:u w:val="single" w:color="auto"/>
            <w:color w:val="0000FF"/>
          </w:rPr>
          <w:t>Note 5 - Allowance for</w:t>
        </w:r>
      </w:hyperlink>
      <w:r>
        <w:rPr>
          <w:rFonts w:ascii="Arial" w:cs="Arial" w:eastAsia="Arial" w:hAnsi="Arial"/>
          <w:sz w:val="14"/>
          <w:szCs w:val="14"/>
          <w:i w:val="1"/>
          <w:iCs w:val="1"/>
          <w:color w:val="auto"/>
        </w:rPr>
        <w:t xml:space="preserve"> </w:t>
      </w:r>
      <w:hyperlink w:anchor="page34">
        <w:r>
          <w:rPr>
            <w:rFonts w:ascii="Arial" w:cs="Arial" w:eastAsia="Arial" w:hAnsi="Arial"/>
            <w:sz w:val="14"/>
            <w:szCs w:val="14"/>
            <w:i w:val="1"/>
            <w:iCs w:val="1"/>
            <w:u w:val="single" w:color="auto"/>
            <w:color w:val="0000FF"/>
          </w:rPr>
          <w:t>Credit Losses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for further details.</w:t>
        </w:r>
      </w:hyperlink>
    </w:p>
    <w:p>
      <w:pPr>
        <w:spacing w:after="0" w:line="124" w:lineRule="exact"/>
        <w:rPr>
          <w:rFonts w:ascii="Arial" w:cs="Arial" w:eastAsia="Arial" w:hAnsi="Arial"/>
          <w:sz w:val="14"/>
          <w:szCs w:val="14"/>
          <w:i w:val="1"/>
          <w:iCs w:val="1"/>
          <w:color w:val="auto"/>
        </w:rPr>
      </w:pPr>
    </w:p>
    <w:p>
      <w:pPr>
        <w:ind w:right="20"/>
        <w:spacing w:after="0" w:line="276"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September 30, 2021 and December 31, 2020:</w:t>
      </w:r>
    </w:p>
    <w:p>
      <w:pPr>
        <w:spacing w:after="0" w:line="257" w:lineRule="exact"/>
        <w:rPr>
          <w:rFonts w:ascii="Arial" w:cs="Arial" w:eastAsia="Arial" w:hAnsi="Arial"/>
          <w:sz w:val="14"/>
          <w:szCs w:val="14"/>
          <w:i w:val="1"/>
          <w:iCs w:val="1"/>
          <w:color w:val="auto"/>
        </w:rPr>
      </w:pPr>
    </w:p>
    <w:tbl>
      <w:tblPr>
        <w:tblLayout w:type="fixed"/>
        <w:tblInd w:w="0" w:type="dxa"/>
        <w:tblCellMar>
          <w:top w:w="0" w:type="dxa"/>
          <w:left w:w="0" w:type="dxa"/>
          <w:bottom w:w="0" w:type="dxa"/>
          <w:right w:w="0" w:type="dxa"/>
        </w:tblCellMar>
      </w:tblPr>
      <w:tr>
        <w:trPr>
          <w:trHeight w:val="184"/>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right="231"/>
              <w:spacing w:after="0"/>
              <w:rPr>
                <w:sz w:val="20"/>
                <w:szCs w:val="20"/>
                <w:color w:val="auto"/>
              </w:rPr>
            </w:pPr>
            <w:r>
              <w:rPr>
                <w:rFonts w:ascii="Arial" w:cs="Arial" w:eastAsia="Arial" w:hAnsi="Arial"/>
                <w:sz w:val="16"/>
                <w:szCs w:val="16"/>
                <w:b w:val="1"/>
                <w:bCs w:val="1"/>
                <w:color w:val="auto"/>
                <w:w w:val="90"/>
              </w:rPr>
              <w:t>September 30, 2021</w:t>
            </w:r>
          </w:p>
        </w:tc>
        <w:tc>
          <w:tcPr>
            <w:tcW w:w="120" w:type="dxa"/>
            <w:vAlign w:val="bottom"/>
          </w:tcPr>
          <w:p>
            <w:pPr>
              <w:spacing w:after="0"/>
              <w:rPr>
                <w:sz w:val="16"/>
                <w:szCs w:val="16"/>
                <w:color w:val="auto"/>
              </w:rPr>
            </w:pPr>
          </w:p>
        </w:tc>
        <w:tc>
          <w:tcPr>
            <w:tcW w:w="206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rPr>
              <w:t>December 31, 2020</w:t>
            </w:r>
          </w:p>
        </w:tc>
        <w:tc>
          <w:tcPr>
            <w:tcW w:w="2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20" w:type="dxa"/>
            <w:vAlign w:val="bottom"/>
          </w:tcPr>
          <w:p>
            <w:pPr>
              <w:spacing w:after="0"/>
              <w:rPr>
                <w:sz w:val="19"/>
                <w:szCs w:val="19"/>
                <w:color w:val="auto"/>
              </w:rPr>
            </w:pP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14,879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14,697</w:t>
            </w:r>
          </w:p>
        </w:tc>
        <w:tc>
          <w:tcPr>
            <w:tcW w:w="20" w:type="dxa"/>
            <w:vAlign w:val="bottom"/>
          </w:tcPr>
          <w:p>
            <w:pPr>
              <w:spacing w:after="0"/>
              <w:rPr>
                <w:sz w:val="19"/>
                <w:szCs w:val="19"/>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80,832</w:t>
            </w:r>
          </w:p>
        </w:tc>
        <w:tc>
          <w:tcPr>
            <w:tcW w:w="20" w:type="dxa"/>
            <w:vAlign w:val="bottom"/>
          </w:tcPr>
          <w:p>
            <w:pPr>
              <w:spacing w:after="0"/>
              <w:rPr>
                <w:sz w:val="19"/>
                <w:szCs w:val="19"/>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(13,858)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68,434</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24"/>
                <w:szCs w:val="24"/>
                <w:color w:val="auto"/>
              </w:rPr>
            </w:pPr>
          </w:p>
        </w:tc>
        <w:tc>
          <w:tcPr>
            <w:tcW w:w="2180" w:type="dxa"/>
            <w:vAlign w:val="bottom"/>
            <w:gridSpan w:val="5"/>
          </w:tcPr>
          <w:p>
            <w:pPr>
              <w:jc w:val="center"/>
              <w:ind w:right="631"/>
              <w:spacing w:after="0"/>
              <w:rPr>
                <w:sz w:val="20"/>
                <w:szCs w:val="20"/>
                <w:color w:val="auto"/>
              </w:rPr>
            </w:pPr>
            <w:r>
              <w:rPr>
                <w:rFonts w:ascii="Arial" w:cs="Arial" w:eastAsia="Arial" w:hAnsi="Arial"/>
                <w:sz w:val="16"/>
                <w:szCs w:val="16"/>
                <w:b w:val="1"/>
                <w:bCs w:val="1"/>
                <w:color w:val="auto"/>
                <w:w w:val="92"/>
              </w:rPr>
              <w:t>Nine Months Ended</w:t>
            </w: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80" w:type="dxa"/>
            <w:vAlign w:val="bottom"/>
          </w:tcPr>
          <w:p>
            <w:pPr>
              <w:jc w:val="right"/>
              <w:ind w:right="457"/>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56"/>
              <w:spacing w:after="0" w:line="17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0" w:type="dxa"/>
            <w:vAlign w:val="bottom"/>
            <w:gridSpan w:val="3"/>
          </w:tcPr>
          <w:p>
            <w:pPr>
              <w:jc w:val="right"/>
              <w:ind w:right="455"/>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31"/>
              <w:spacing w:after="0" w:line="171"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0" w:type="dxa"/>
            <w:vAlign w:val="bottom"/>
            <w:shd w:val="clear" w:color="auto" w:fill="CCEEFF"/>
          </w:tcPr>
          <w:p>
            <w:pPr>
              <w:spacing w:after="0"/>
              <w:rPr>
                <w:sz w:val="19"/>
                <w:szCs w:val="19"/>
                <w:color w:val="auto"/>
              </w:rPr>
            </w:pPr>
          </w:p>
        </w:tc>
      </w:tr>
    </w:tbl>
    <w:p>
      <w:pPr>
        <w:spacing w:after="0" w:line="200" w:lineRule="exact"/>
        <w:rPr>
          <w:rFonts w:ascii="Arial" w:cs="Arial" w:eastAsia="Arial" w:hAnsi="Arial"/>
          <w:sz w:val="14"/>
          <w:szCs w:val="14"/>
          <w:i w:val="1"/>
          <w:iCs w:val="1"/>
          <w:color w:val="auto"/>
        </w:rPr>
      </w:pPr>
    </w:p>
    <w:p>
      <w:pPr>
        <w:spacing w:after="0" w:line="200" w:lineRule="exact"/>
        <w:rPr>
          <w:rFonts w:ascii="Arial" w:cs="Arial" w:eastAsia="Arial" w:hAnsi="Arial"/>
          <w:sz w:val="14"/>
          <w:szCs w:val="14"/>
          <w:i w:val="1"/>
          <w:iCs w:val="1"/>
          <w:color w:val="auto"/>
        </w:rPr>
      </w:pPr>
    </w:p>
    <w:p>
      <w:pPr>
        <w:spacing w:after="0" w:line="380" w:lineRule="exact"/>
        <w:rPr>
          <w:rFonts w:ascii="Arial" w:cs="Arial" w:eastAsia="Arial" w:hAnsi="Arial"/>
          <w:sz w:val="14"/>
          <w:szCs w:val="14"/>
          <w:i w:val="1"/>
          <w:iCs w:val="1"/>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2"/>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sub-lease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284,376</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72,980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6,518</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Accrued payroll and other compensation</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8,474</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CECL allowance for unfunded loan commitments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Derivative liability</w:t>
            </w:r>
          </w:p>
        </w:tc>
        <w:tc>
          <w:tcPr>
            <w:tcW w:w="24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92,521</w:t>
            </w:r>
          </w:p>
        </w:tc>
      </w:tr>
      <w:tr>
        <w:trPr>
          <w:trHeight w:val="247"/>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8"/>
          </w:tcPr>
          <w:p>
            <w:pPr>
              <w:jc w:val="center"/>
              <w:ind w:left="132"/>
              <w:spacing w:after="0"/>
              <w:rPr>
                <w:sz w:val="20"/>
                <w:szCs w:val="20"/>
                <w:color w:val="auto"/>
              </w:rPr>
            </w:pPr>
            <w:r>
              <w:rPr>
                <w:rFonts w:ascii="Arial" w:cs="Arial" w:eastAsia="Arial" w:hAnsi="Arial"/>
                <w:sz w:val="16"/>
                <w:szCs w:val="16"/>
                <w:b w:val="1"/>
                <w:bCs w:val="1"/>
                <w:color w:val="auto"/>
                <w:w w:val="89"/>
              </w:rPr>
              <w:t>September 30, 2021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0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9"/>
              </w:rPr>
              <w:t>Maturity</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Face Value</w:t>
            </w:r>
          </w:p>
        </w:tc>
        <w:tc>
          <w:tcPr>
            <w:tcW w:w="20" w:type="dxa"/>
            <w:vAlign w:val="bottom"/>
          </w:tcPr>
          <w:p>
            <w:pPr>
              <w:spacing w:after="0"/>
              <w:rPr>
                <w:sz w:val="18"/>
                <w:szCs w:val="18"/>
                <w:color w:val="auto"/>
              </w:rPr>
            </w:pPr>
          </w:p>
        </w:tc>
        <w:tc>
          <w:tcPr>
            <w:tcW w:w="1300" w:type="dxa"/>
            <w:vAlign w:val="bottom"/>
            <w:gridSpan w:val="2"/>
          </w:tcPr>
          <w:p>
            <w:pPr>
              <w:jc w:val="right"/>
              <w:spacing w:after="0" w:line="209" w:lineRule="exact"/>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Borders>
              <w:top w:val="single" w:sz="8" w:color="auto"/>
            </w:tcBorders>
            <w:gridSpan w:val="3"/>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1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 + 2.00%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(3)</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2720" w:type="dxa"/>
            <w:vAlign w:val="bottom"/>
            <w:gridSpan w:val="5"/>
            <w:shd w:val="clear" w:color="auto" w:fill="CCEEFF"/>
          </w:tcPr>
          <w:p>
            <w:pPr>
              <w:jc w:val="center"/>
              <w:ind w:left="1670"/>
              <w:spacing w:after="0"/>
              <w:rPr>
                <w:sz w:val="20"/>
                <w:szCs w:val="20"/>
                <w:color w:val="auto"/>
              </w:rPr>
            </w:pPr>
            <w:r>
              <w:rPr>
                <w:rFonts w:ascii="Arial" w:cs="Arial" w:eastAsia="Arial" w:hAnsi="Arial"/>
                <w:sz w:val="18"/>
                <w:szCs w:val="18"/>
                <w:color w:val="auto"/>
                <w:w w:val="89"/>
              </w:rPr>
              <w:t>2025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2026 Notes</w:t>
            </w:r>
          </w:p>
        </w:tc>
        <w:tc>
          <w:tcPr>
            <w:tcW w:w="2720" w:type="dxa"/>
            <w:vAlign w:val="bottom"/>
            <w:gridSpan w:val="5"/>
          </w:tcPr>
          <w:p>
            <w:pPr>
              <w:jc w:val="center"/>
              <w:ind w:left="1670"/>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2720" w:type="dxa"/>
            <w:vAlign w:val="bottom"/>
            <w:gridSpan w:val="5"/>
            <w:shd w:val="clear" w:color="auto" w:fill="CCEEFF"/>
          </w:tcPr>
          <w:p>
            <w:pPr>
              <w:jc w:val="center"/>
              <w:ind w:left="1670"/>
              <w:spacing w:after="0"/>
              <w:rPr>
                <w:sz w:val="20"/>
                <w:szCs w:val="20"/>
                <w:color w:val="auto"/>
              </w:rPr>
            </w:pPr>
            <w:r>
              <w:rPr>
                <w:rFonts w:ascii="Arial" w:cs="Arial" w:eastAsia="Arial" w:hAnsi="Arial"/>
                <w:sz w:val="18"/>
                <w:szCs w:val="18"/>
                <w:color w:val="auto"/>
                <w:w w:val="89"/>
              </w:rPr>
              <w:t>2027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2029 Notes</w:t>
            </w:r>
          </w:p>
        </w:tc>
        <w:tc>
          <w:tcPr>
            <w:tcW w:w="2720" w:type="dxa"/>
            <w:vAlign w:val="bottom"/>
            <w:gridSpan w:val="5"/>
          </w:tcPr>
          <w:p>
            <w:pPr>
              <w:jc w:val="center"/>
              <w:ind w:left="1670"/>
              <w:spacing w:after="0"/>
              <w:rPr>
                <w:sz w:val="20"/>
                <w:szCs w:val="20"/>
                <w:color w:val="auto"/>
              </w:rPr>
            </w:pPr>
            <w:r>
              <w:rPr>
                <w:rFonts w:ascii="Arial" w:cs="Arial" w:eastAsia="Arial" w:hAnsi="Arial"/>
                <w:sz w:val="18"/>
                <w:szCs w:val="18"/>
                <w:color w:val="auto"/>
                <w:w w:val="89"/>
              </w:rPr>
              <w:t>2029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2720" w:type="dxa"/>
            <w:vAlign w:val="bottom"/>
            <w:gridSpan w:val="5"/>
            <w:shd w:val="clear" w:color="auto" w:fill="CCEEFF"/>
          </w:tcPr>
          <w:p>
            <w:pPr>
              <w:jc w:val="center"/>
              <w:ind w:left="1670"/>
              <w:spacing w:after="0"/>
              <w:rPr>
                <w:sz w:val="20"/>
                <w:szCs w:val="20"/>
                <w:color w:val="auto"/>
              </w:rPr>
            </w:pPr>
            <w:r>
              <w:rPr>
                <w:rFonts w:ascii="Arial" w:cs="Arial" w:eastAsia="Arial" w:hAnsi="Arial"/>
                <w:sz w:val="18"/>
                <w:szCs w:val="18"/>
                <w:color w:val="auto"/>
                <w:w w:val="89"/>
              </w:rPr>
              <w:t>2030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8"/>
          </w:tcPr>
          <w:p>
            <w:pPr>
              <w:jc w:val="center"/>
              <w:ind w:left="132"/>
              <w:spacing w:after="0"/>
              <w:rPr>
                <w:sz w:val="20"/>
                <w:szCs w:val="20"/>
                <w:color w:val="auto"/>
              </w:rPr>
            </w:pPr>
            <w:r>
              <w:rPr>
                <w:rFonts w:ascii="Arial" w:cs="Arial" w:eastAsia="Arial" w:hAnsi="Arial"/>
                <w:sz w:val="16"/>
                <w:szCs w:val="16"/>
                <w:b w:val="1"/>
                <w:bCs w:val="1"/>
                <w:color w:val="auto"/>
                <w:w w:val="90"/>
              </w:rPr>
              <w:t>December 31, 2020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420" w:type="dxa"/>
            <w:vAlign w:val="bottom"/>
            <w:gridSpan w:val="3"/>
          </w:tcPr>
          <w:p>
            <w:pPr>
              <w:ind w:left="20"/>
              <w:spacing w:after="0"/>
              <w:rPr>
                <w:sz w:val="20"/>
                <w:szCs w:val="20"/>
                <w:color w:val="auto"/>
              </w:rPr>
            </w:pPr>
            <w:r>
              <w:rPr>
                <w:rFonts w:ascii="Arial" w:cs="Arial" w:eastAsia="Arial" w:hAnsi="Arial"/>
                <w:sz w:val="16"/>
                <w:szCs w:val="16"/>
                <w:b w:val="1"/>
                <w:bCs w:val="1"/>
                <w:color w:val="auto"/>
              </w:rPr>
              <w:t>Description of Debt</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Face Value</w:t>
            </w:r>
          </w:p>
        </w:tc>
        <w:tc>
          <w:tcPr>
            <w:tcW w:w="20" w:type="dxa"/>
            <w:vAlign w:val="bottom"/>
          </w:tcPr>
          <w:p>
            <w:pPr>
              <w:spacing w:after="0"/>
              <w:rPr>
                <w:sz w:val="24"/>
                <w:szCs w:val="24"/>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0" w:type="dxa"/>
            <w:vAlign w:val="bottom"/>
          </w:tcPr>
          <w:p>
            <w:pPr>
              <w:spacing w:after="0"/>
              <w:rPr>
                <w:sz w:val="1"/>
                <w:szCs w:val="1"/>
                <w:color w:val="auto"/>
              </w:rPr>
            </w:pPr>
          </w:p>
        </w:tc>
      </w:tr>
      <w:tr>
        <w:trPr>
          <w:trHeight w:val="222"/>
        </w:trPr>
        <w:tc>
          <w:tcPr>
            <w:tcW w:w="44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VICI PropCo Senior Secured Credit Facilities</w:t>
            </w:r>
          </w:p>
        </w:tc>
        <w:tc>
          <w:tcPr>
            <w:tcW w:w="1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200"/>
              <w:spacing w:after="0" w:line="229"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2720" w:type="dxa"/>
            <w:vAlign w:val="bottom"/>
            <w:gridSpan w:val="5"/>
          </w:tcPr>
          <w:p>
            <w:pPr>
              <w:jc w:val="center"/>
              <w:ind w:left="1670"/>
              <w:spacing w:after="0"/>
              <w:rPr>
                <w:sz w:val="20"/>
                <w:szCs w:val="20"/>
                <w:color w:val="auto"/>
              </w:rPr>
            </w:pPr>
            <w:r>
              <w:rPr>
                <w:rFonts w:ascii="Arial" w:cs="Arial" w:eastAsia="Arial" w:hAnsi="Arial"/>
                <w:sz w:val="18"/>
                <w:szCs w:val="18"/>
                <w:color w:val="auto"/>
                <w:w w:val="89"/>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L + 2.00%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00"/>
              <w:spacing w:after="0" w:line="229"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(4)</w:t>
            </w:r>
          </w:p>
        </w:tc>
        <w:tc>
          <w:tcPr>
            <w:tcW w:w="2720" w:type="dxa"/>
            <w:vAlign w:val="bottom"/>
            <w:gridSpan w:val="5"/>
            <w:shd w:val="clear" w:color="auto" w:fill="CCEEFF"/>
          </w:tcPr>
          <w:p>
            <w:pPr>
              <w:jc w:val="center"/>
              <w:ind w:left="1670"/>
              <w:spacing w:after="0"/>
              <w:rPr>
                <w:sz w:val="20"/>
                <w:szCs w:val="20"/>
                <w:color w:val="auto"/>
              </w:rPr>
            </w:pPr>
            <w:r>
              <w:rPr>
                <w:rFonts w:ascii="Arial" w:cs="Arial" w:eastAsia="Arial" w:hAnsi="Arial"/>
                <w:sz w:val="18"/>
                <w:szCs w:val="18"/>
                <w:color w:val="auto"/>
                <w:w w:val="89"/>
              </w:rPr>
              <w:t>2024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3"/>
              </w:rPr>
              <w:t>L + 1.75%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(3)</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2720" w:type="dxa"/>
            <w:vAlign w:val="bottom"/>
            <w:gridSpan w:val="5"/>
            <w:shd w:val="clear" w:color="auto" w:fill="CCEEFF"/>
          </w:tcPr>
          <w:p>
            <w:pPr>
              <w:jc w:val="center"/>
              <w:ind w:left="1670"/>
              <w:spacing w:after="0"/>
              <w:rPr>
                <w:sz w:val="20"/>
                <w:szCs w:val="20"/>
                <w:color w:val="auto"/>
              </w:rPr>
            </w:pPr>
            <w:r>
              <w:rPr>
                <w:rFonts w:ascii="Arial" w:cs="Arial" w:eastAsia="Arial" w:hAnsi="Arial"/>
                <w:sz w:val="18"/>
                <w:szCs w:val="18"/>
                <w:color w:val="auto"/>
                <w:w w:val="89"/>
              </w:rPr>
              <w:t>2025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2026 Notes</w:t>
            </w:r>
          </w:p>
        </w:tc>
        <w:tc>
          <w:tcPr>
            <w:tcW w:w="2720" w:type="dxa"/>
            <w:vAlign w:val="bottom"/>
            <w:gridSpan w:val="5"/>
          </w:tcPr>
          <w:p>
            <w:pPr>
              <w:jc w:val="center"/>
              <w:ind w:left="1670"/>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2720" w:type="dxa"/>
            <w:vAlign w:val="bottom"/>
            <w:gridSpan w:val="5"/>
            <w:shd w:val="clear" w:color="auto" w:fill="CCEEFF"/>
          </w:tcPr>
          <w:p>
            <w:pPr>
              <w:jc w:val="center"/>
              <w:ind w:left="1670"/>
              <w:spacing w:after="0"/>
              <w:rPr>
                <w:sz w:val="20"/>
                <w:szCs w:val="20"/>
                <w:color w:val="auto"/>
              </w:rPr>
            </w:pPr>
            <w:r>
              <w:rPr>
                <w:rFonts w:ascii="Arial" w:cs="Arial" w:eastAsia="Arial" w:hAnsi="Arial"/>
                <w:sz w:val="18"/>
                <w:szCs w:val="18"/>
                <w:color w:val="auto"/>
                <w:w w:val="89"/>
              </w:rPr>
              <w:t>2027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2029 Notes</w:t>
            </w:r>
          </w:p>
        </w:tc>
        <w:tc>
          <w:tcPr>
            <w:tcW w:w="2720" w:type="dxa"/>
            <w:vAlign w:val="bottom"/>
            <w:gridSpan w:val="5"/>
          </w:tcPr>
          <w:p>
            <w:pPr>
              <w:jc w:val="center"/>
              <w:ind w:left="1670"/>
              <w:spacing w:after="0"/>
              <w:rPr>
                <w:sz w:val="20"/>
                <w:szCs w:val="20"/>
                <w:color w:val="auto"/>
              </w:rPr>
            </w:pPr>
            <w:r>
              <w:rPr>
                <w:rFonts w:ascii="Arial" w:cs="Arial" w:eastAsia="Arial" w:hAnsi="Arial"/>
                <w:sz w:val="18"/>
                <w:szCs w:val="18"/>
                <w:color w:val="auto"/>
                <w:w w:val="89"/>
              </w:rPr>
              <w:t>2029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2720" w:type="dxa"/>
            <w:vAlign w:val="bottom"/>
            <w:gridSpan w:val="5"/>
            <w:shd w:val="clear" w:color="auto" w:fill="CCEEFF"/>
          </w:tcPr>
          <w:p>
            <w:pPr>
              <w:jc w:val="center"/>
              <w:ind w:left="1670"/>
              <w:spacing w:after="0"/>
              <w:rPr>
                <w:sz w:val="20"/>
                <w:szCs w:val="20"/>
                <w:color w:val="auto"/>
              </w:rPr>
            </w:pPr>
            <w:r>
              <w:rPr>
                <w:rFonts w:ascii="Arial" w:cs="Arial" w:eastAsia="Arial" w:hAnsi="Arial"/>
                <w:sz w:val="18"/>
                <w:szCs w:val="18"/>
                <w:color w:val="auto"/>
                <w:w w:val="89"/>
              </w:rPr>
              <w:t>2030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40" w:type="dxa"/>
            <w:vAlign w:val="bottom"/>
            <w:vMerge w:val="restart"/>
          </w:tcPr>
          <w:p>
            <w:pPr>
              <w:jc w:val="right"/>
              <w:ind w:right="25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jc w:val="both"/>
        <w:ind w:left="340" w:hanging="332"/>
        <w:spacing w:after="0"/>
        <w:tabs>
          <w:tab w:leader="none" w:pos="332"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Borrowings under the Revolving Credit Facility will bear interest at a rate based on a leverage-based pricing grid with a range of 1.75% to 2.00% over LIBOR, or between 0.75% and 1.00% over the base rate depending on our total net debt to adjusted total assets ratio. Additionally, the commitment fee under the Revolving Credit Facility is calculated on a leverage-based pricing grid with a range of 0.375% to 0.5%, in each case depending on our total net debt to adjusted total assets ratio. For the three and nine months ended September 30, 2021, the commitment fee was 0.375%.</w:t>
      </w:r>
    </w:p>
    <w:p>
      <w:pPr>
        <w:spacing w:after="0" w:line="2" w:lineRule="exact"/>
        <w:rPr>
          <w:rFonts w:ascii="Arial" w:cs="Arial" w:eastAsia="Arial" w:hAnsi="Arial"/>
          <w:sz w:val="14"/>
          <w:szCs w:val="14"/>
          <w:i w:val="1"/>
          <w:iCs w:val="1"/>
          <w:color w:val="auto"/>
        </w:rPr>
      </w:pPr>
    </w:p>
    <w:p>
      <w:pPr>
        <w:ind w:left="320" w:hanging="312"/>
        <w:spacing w:after="0"/>
        <w:tabs>
          <w:tab w:leader="none" w:pos="3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jc w:val="both"/>
        <w:ind w:left="340" w:hanging="332"/>
        <w:spacing w:after="0" w:line="247" w:lineRule="auto"/>
        <w:tabs>
          <w:tab w:leader="none" w:pos="332"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The Term Loan B Facility was repaid in full on September 15, 2021 using the proceeds from the settlement of the June 2020 Forward Sale Agreement and the September 2021 equity offering and all of our outstanding interest rate swap agreements were subsequently unwound and settled. As of December 31, 2020, we had six interest rate swap agreements outstanding with third-party financial institutions having an aggregate notional amount of $2.0 billion at a blended LIBOR rate of 2.7173%.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September 30,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272"/>
              <w:spacing w:after="0"/>
              <w:rPr>
                <w:sz w:val="20"/>
                <w:szCs w:val="20"/>
                <w:color w:val="auto"/>
              </w:rPr>
            </w:pPr>
            <w:r>
              <w:rPr>
                <w:rFonts w:ascii="Arial" w:cs="Arial" w:eastAsia="Arial" w:hAnsi="Arial"/>
                <w:sz w:val="16"/>
                <w:szCs w:val="16"/>
                <w:b w:val="1"/>
                <w:bCs w:val="1"/>
                <w:color w:val="auto"/>
              </w:rPr>
              <w:t>Future Minimum</w:t>
            </w:r>
          </w:p>
        </w:tc>
      </w:tr>
      <w:tr>
        <w:trPr>
          <w:trHeight w:val="175"/>
        </w:trPr>
        <w:tc>
          <w:tcPr>
            <w:tcW w:w="9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5"/>
                <w:szCs w:val="15"/>
                <w:color w:val="auto"/>
              </w:rPr>
            </w:pPr>
          </w:p>
        </w:tc>
        <w:tc>
          <w:tcPr>
            <w:tcW w:w="170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Payments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2"/>
        </w:trPr>
        <w:tc>
          <w:tcPr>
            <w:tcW w:w="9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1,250,000</w:t>
            </w:r>
          </w:p>
        </w:tc>
      </w:tr>
      <w:tr>
        <w:trPr>
          <w:trHeight w:val="229"/>
        </w:trPr>
        <w:tc>
          <w:tcPr>
            <w:tcW w:w="9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r>
      <w:tr>
        <w:trPr>
          <w:trHeight w:val="222"/>
        </w:trPr>
        <w:tc>
          <w:tcPr>
            <w:tcW w:w="9280" w:type="dxa"/>
            <w:vAlign w:val="bottom"/>
            <w:gridSpan w:val="3"/>
          </w:tcPr>
          <w:p>
            <w:pPr>
              <w:ind w:left="20"/>
              <w:spacing w:after="0"/>
              <w:rPr>
                <w:sz w:val="20"/>
                <w:szCs w:val="20"/>
                <w:color w:val="auto"/>
              </w:rPr>
            </w:pPr>
            <w:r>
              <w:rPr>
                <w:rFonts w:ascii="Arial" w:cs="Arial" w:eastAsia="Arial" w:hAnsi="Arial"/>
                <w:sz w:val="18"/>
                <w:szCs w:val="18"/>
                <w:color w:val="auto"/>
              </w:rPr>
              <w:t>Total minimum repayments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26, 2019, the Operating Partnership and the Co-Issuer (together with the Operating Partnership, the “Issuers”), our wholly owned subsidiaries, issued (i) $1,250.0 million in aggregate principal amount of 4.250% 2026 Notes, which mature on December 1, 2026, and (ii) $1,000.0 million in aggregate principal amount of 4.625% 2029 Notes, which mature on December 1, 2029, under separate indentures, each dated as of November 26, 2019, among the Issuers, the subsidiary guarantors party thereto and UMB Bank, National Association, as trustee (the “Trustee”). We used a portion of the net proceeds of the offering to repay in full the $1.55 billion mortgage financing of Caesars Palace Las Vegas, and pay certain fees and expenses including the net prepayment penalty of $55.4 million. On January 24, 2020, the remaining net proceeds were used to pay for a portion of the purchase price of the JACK Cleveland/Thistledown Acquisition.</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on the November 2019 Senior Unsecured Notes is payable semi-annually in cash in arrears on June 1 and December 1 of each year. The 2026 Notes and 2029 Notes are redeemable at our option, in whole or in part, at any time on or after December 1, 2022 and December 1, 2024, respectively, at the redemption prices set forth in the respective indenture. We may redeem some or all of the 2026 Notes or the 2029 Notes prior to such respective dates at a price equal to 100% of the principal amount thereof plus a “make-whole” premium. Prior to December 1, 2022, we may redeem up to 40% of the aggregate principal amount of the 2026 Notes or the 2029 Notes using the proceeds of certain equity offerings at the redemption price set forth in the respective indenture.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5, 2020, the Issuers issued (i) $750.0 million in aggregate principal amount of 3.500% 2025 Notes, which mature on February 15, 2025, (ii) $750.0 million in aggregate principal amount of 3.750% 2027 Notes, which mature on February 15, 2027, and (iii) $1.0 billion in aggregate principal amount of 4.125% 2030 Notes, which mature on August 15, 2030, under separate indentures, each dated as of February 5, 2020, among the Issuers, the subsidiary guarantors party thereto and the Trustee. We placed $2.0 billion of the net proceeds of the offering into escrow pending the consummation of the Eldorado Transaction (which was subsequently released from escrow and used to fund a portion of the purchase price of the Eldorado Transaction on July 20, 2020), and used the remaining net proceeds from the 2025 Notes, together with cash on hand, to redeem in full the outstanding $498.5 million in aggregate principal amount of the Second Lien Notes plus the Second Lien Notes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Applicable Premium (as defined in the Second Lien Notes indenture), for a total redemption cost of approximately $537.5 million.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on the February 2020 Senior Unsecured Notes is payable semi-annually in cash in arrears on February 15 and August 15 of each year. The 2025 Notes, 2027 Notes and 2030 Notes are redeemable at our option, in whole or in part, at any time on or after February 15, 2022, February 15, 2023, and February 15, 2025, respectively, at the redemption prices set forth in the respective indenture. We may redeem some or all of the 2025 Notes, 2027 Notes or 2030 Notes prior to such respective dates at a price equal to 100% of the principal amount thereof plus a “make-whole” premium. Prior to February 15, 2022, with respect to the 2025 Notes, and February 15, 2023, with respect to the 2027 Notes and 2030 Notes, we may redeem up to 40% of the aggregate principal amount of the 2025 Notes, 2027 Notes or 2030 Notes using the proceeds of certain equity offerings at the redemption price set forth in the respective indenture.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Financial Covenants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November 2019 Senior Unsecured Notes and the February 2020 Senior Unsecured Notes (together, the “Senior Unsecured Notes”) are fully and unconditionally guaranteed, jointly and severally, on a senior unsecured basis by each existing and future direct and indirect wholly owned material domestic subsidiary of the Operating Partnership that incurs or guarantees certain bank indebtedness or any other material capital market indebtedness, other than certain excluded subsidiaries and the Co-Issuer.</w:t>
      </w:r>
    </w:p>
    <w:p>
      <w:pPr>
        <w:spacing w:after="0" w:line="134" w:lineRule="exact"/>
        <w:rPr>
          <w:sz w:val="20"/>
          <w:szCs w:val="20"/>
          <w:color w:val="auto"/>
        </w:rPr>
      </w:pPr>
    </w:p>
    <w:p>
      <w:pPr>
        <w:jc w:val="both"/>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Operating Partnership and its subsidiaries represent our “Real Property Business” segment, with the “Golf Course Business” segment corresponding to the portion of our business operated through entities that are not direct or indirect subsidiaries of the Operating Partnership or obligors of the Senior Unsecured Notes. Refer to </w:t>
      </w:r>
      <w:hyperlink w:anchor="page53">
        <w:r>
          <w:rPr>
            <w:rFonts w:ascii="Arial" w:cs="Arial" w:eastAsia="Arial" w:hAnsi="Arial"/>
            <w:sz w:val="18"/>
            <w:szCs w:val="18"/>
            <w:u w:val="single" w:color="auto"/>
            <w:color w:val="0000FF"/>
          </w:rPr>
          <w:t>Note 14 -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respective indentures for the Senior Unsecured Notes each contain covenants that limit the Issuers’ and their restricted subsidiaries’ ability to, among other things: (i) incur additional debt; (ii) pay dividends on or make other distributions in respect of their capital stock or make other restricted payments;</w:t>
      </w:r>
    </w:p>
    <w:p>
      <w:pPr>
        <w:spacing w:after="0" w:line="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make certain investments; (iv) sell certain assets; (v) create or permit to exist dividend and/or payment restrictions affecting their restricted subsidiaries;</w:t>
      </w:r>
    </w:p>
    <w:p>
      <w:pPr>
        <w:spacing w:after="0" w:line="31" w:lineRule="exact"/>
        <w:rPr>
          <w:rFonts w:ascii="Arial" w:cs="Arial" w:eastAsia="Arial" w:hAnsi="Arial"/>
          <w:sz w:val="16"/>
          <w:szCs w:val="16"/>
          <w:color w:val="auto"/>
        </w:rPr>
      </w:pPr>
    </w:p>
    <w:p>
      <w:pPr>
        <w:jc w:val="both"/>
        <w:ind w:firstLine="8"/>
        <w:spacing w:after="0" w:line="268" w:lineRule="auto"/>
        <w:tabs>
          <w:tab w:leader="none" w:pos="311" w:val="left"/>
        </w:tabs>
        <w:numPr>
          <w:ilvl w:val="0"/>
          <w:numId w:val="31"/>
        </w:numPr>
        <w:rPr>
          <w:rFonts w:ascii="Arial" w:cs="Arial" w:eastAsia="Arial" w:hAnsi="Arial"/>
          <w:sz w:val="17"/>
          <w:szCs w:val="17"/>
          <w:color w:val="auto"/>
        </w:rPr>
      </w:pPr>
      <w:r>
        <w:rPr>
          <w:rFonts w:ascii="Arial" w:cs="Arial" w:eastAsia="Arial" w:hAnsi="Arial"/>
          <w:sz w:val="17"/>
          <w:szCs w:val="17"/>
          <w:color w:val="auto"/>
        </w:rPr>
        <w:t>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 As of September 30, 2021, the restricted net assets of the Operating Partnership were approximately $9.2 billion.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previous revolving credit facility under the Revolving Credit Facility. After giving effect to Amendment No. 2, the Credit Agreement, provided total borrowing capacity pursuant to the revolving credit commitments in the aggregate principal amount of $1.0 billion.</w:t>
      </w:r>
    </w:p>
    <w:p>
      <w:pPr>
        <w:spacing w:after="0" w:line="13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15, 2019, immediately after giving effect to Amendment No. 2, VICI PropCo entered into Amendment No. 3 (“Amendment No. 3”) to the Credit Agreement, which amended and restated the Credit Agreement in its entirety as of May 15, 2019 (as subsequently amended,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 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 commencing with the first full fiscal quarter after the effectiveness of Amendment No. 3, an interest coverage ratio (defined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 Agreement provides for capacity to add incremental loans in an aggregate amount of: (x) $1.2 billion to be used solely to finance certain acquisitions; plus (y) an unlimited amount, subject to VICI Propco not exceeding certain leverage ratios.</w:t>
      </w:r>
    </w:p>
    <w:p>
      <w:pPr>
        <w:spacing w:after="0" w:line="11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117" w:lineRule="exact"/>
        <w:rPr>
          <w:sz w:val="20"/>
          <w:szCs w:val="20"/>
          <w:color w:val="auto"/>
        </w:rPr>
      </w:pPr>
    </w:p>
    <w:p>
      <w:pPr>
        <w:jc w:val="both"/>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On September 15, 2021, we used the proceeds from the settlement of the June 2020 Forward Sale Agreement, as defined in </w:t>
      </w:r>
      <w:hyperlink w:anchor="page48">
        <w:r>
          <w:rPr>
            <w:rFonts w:ascii="Arial" w:cs="Arial" w:eastAsia="Arial" w:hAnsi="Arial"/>
            <w:sz w:val="16"/>
            <w:szCs w:val="16"/>
            <w:u w:val="single" w:color="auto"/>
            <w:color w:val="0000FF"/>
          </w:rPr>
          <w:t>Note 11 - Stockholders Equity</w:t>
        </w:r>
      </w:hyperlink>
      <w:r>
        <w:rPr>
          <w:rFonts w:ascii="Arial" w:cs="Arial" w:eastAsia="Arial" w:hAnsi="Arial"/>
          <w:sz w:val="16"/>
          <w:szCs w:val="16"/>
          <w:color w:val="auto"/>
        </w:rPr>
        <w:t>, and the proceeds from the issuance of 65,000,000 shares of common stock from the September 2021 equity offering to repay in full the Term Loan B Facility, including outstanding accrued interest. In connection with the full repayment, we recognized a loss on extinguishment of debt of $15.6 million during the three and nine months ended September 30, 2021, representing the write-off of the remaining unamortized deferred financing costs. Following the repayment in full of the Term Loan B Facility, the Revolving Credit Facility remains in effect pursuant to the Amended and Restated Credit Agreement.</w:t>
      </w:r>
    </w:p>
    <w:p>
      <w:pPr>
        <w:spacing w:after="0" w:line="105"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 additional restricted payments in an aggregate amount not to exceed the greater of 0.6% of Adjusted Total Assets or $30.0 million. We are also subject to the financial covenants under the Revolving Credit Facility, as previously described above.</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including CPLV Borrower, are subject to the covenants of the Amended and Restated Credit Agreement or are guarantors of the Senior Secured Credit Facilities.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Transactions Bridge Facility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August 4, 2021, in connection with the MGP Transactions, VICI PropCo entered into a Commitment Letter (the “MGP Transactions Commitment Letter”) with Morgan Stanley Senior Funding, Inc., JPMorgan Chase Bank, N.A. and Citigroup Global Markets Inc. (collectively, the “MGP Transactions Bridge Lender”), pursuant to which, and subject to the terms and conditions set forth therein, the MGP Transactions Bridge Lender provided commitments in an amount up to $9.3 billion in the aggregate, consisting of a 364-day first lien secured bridge facility (the “MGP Transactions Bridge Facility”), for the purpose of providing a portion of the financing necessary to fund (i) the consideration to be paid in connection with the Redemption pursuant to the terms of the MGP Master Transaction Agreement, (ii) amounts to be paid in connection with offers to repurchase the MGP OP Notes pursuant to their respective indentures if the assumption of such notes by the Operating Partnership in the Mergers is unsuccessful and (iii) related fees and expenses. The commitment fee is equal to, (i) with respect to any commitments that remain outstanding on or prior to September 15, 2021, 0.25% of such commitments, (ii) with respect to any commitments that remain outstanding after September 15, 2021 and are terminated on or prior to August 4, 2022, 0.50% of such commitments, and (iii) with respect to any commitments that remain outstanding after August 4, 2022, 0.75% of such commitments. For the three and nine months ended September 30, 2021, we recognized $27.0 million of fees related to the MGP Transactions Bridge Facility in Interest expense on our Statement of Operations.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Commitments and loans under the MGP Transactions Bridge Facility will be reduced or prepaid, as applicable, in part with the proceeds of certain incurrences of indebtedness, issuances of equity and asset sales. If we use the MGP Transactions Bridge Facility, funding is contingent on the satisfaction of certain customary conditions set forth in the MGP Transactions Commitment Letter, including, among others, (i) the execution and delivery of definitive documentation with respect to the MGP Transactions Bridge Facility in accordance with the terms set forth in the MGP Transactions Commitment Letter and (ii) the consummation of the MGP Transactions in accordance with the MGP Master Transaction Agreement. Although we do not currently expect VICI PropCo to make any borrowings under the MGP Transactions Bridge Facility, there can be no assurance that such borrowings will not be made or that we will be able to incur alternative long-term debt financing in lieu of borrowings under the MGP Transactions Bridge Facility on favorable terms, or at all. Interest under the MGP Transactions Bridge Facility, if funded, will be calculated on a rate between (i) LIBOR plus 200 basis points and LIBOR plus 275 basis points or (ii) the base rate plus 100 basis points and the base rate plus 175 basis points, in each case depending on duration. The MGP Transactions Bridge Facility, if funded, will contain restrictive covenants and events of default substantially similar to those contained in the Senior Secured Credit Facilities. If we draw upon the MGP Transactions Bridge Facility, there can be no assurances that we would be able to refinance the MGP Transactions Bridge Facility on satisfactory terms, or at all.</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September 23, 2021, following the successful early tender results and participation of the Exchange Offers and Consent Solicitations, the execution of the MGP OP Supplemental Indentures and the elimination of the change of control covenants in connection therewith, $4,242.0 million in committed financing (representing the second tranche of the MGP Transactions Bridge Facility) was terminated in accordance with the terms of the MGP Transactions Commitment Letter.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Bridge Facility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 2021, in connection with the Venetian Acquisition, VICI PropCo entered into a Commitment Letter (the “Venetian Acquisition Commitment Letter”) with Deutsche Bank Securities Inc. and Deutsche Bank AG Cayman Islands Branch, and Morgan Stanley Senior Funding, Inc. (collectively, the “Venetian Acquisition Bridge Lender”), pursuant to which, and subject to the terms and conditions set forth therein, the Venetian Acquisition Bridge Lender has provided commitments in an amount up to $4.0 billion in the aggregate, consisting of a 364-day first lien secured bridge facility (the “Venetian Acquisition Bridge Facility”), for the purpose of providing a portion of the financing necessary to fund the consideration in connection with the Venetian PropCo Acquisition. The commitment fee is equal to, (i) with respect to any commitments that remain outstanding prior to April 1, 2021, 0.25% of such commitments, (ii) with respect to any commitments that remain outstanding on April 1, 2021 and are terminated prior to March 2, 2022, 0.50% of such commitments, and (iii) with respect to any commitments that remain outstanding after March 2, 2022, 0.75% of such commitments. For the three and nine months ended September 30, 2021, we recognized $3.0 million and $10.9 million of fees, respectively, related to the Venetian Acquisition Bridge Facility in Interest expense on our Statement of Operations.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Commitments and loans under the Venetian Acquisition Bridge Facility will be reduced or prepaid, as applicable, in part with the proceeds of certain incurrences of indebtedness, issuances of equity and asset sales. If we use the Venetian Acquisition Bridge Facility, funding is contingent on the satisfaction of certain customary conditions set forth in the Venetian Acquisition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Commitment Letter, including, among others, (i) the execution and delivery of definitive documentation with respect to the Venetian Acquisition Bridge Facility in accordance with the terms set forth in the Venetian Acquisition Commitment Letter and (ii) the consummation of the Venetian Acquisition in accordance with the Purchase Agreements. Although we do not currently expect VICI PropCo to make any borrowings under the Venetian Acquisition Bridge Facility, there can be no assurance that such borrowings will not be made or that we will be able to incur alternative long-term debt financing in lieu of borrowings under the Venetian Acquisition Bridge Facility on favorable terms, or at all. Interest under the Venetian Acquisition Bridge Facility, if funded, will be calculated on a rate between (i) LIBOR plus 200 basis points and LIBOR plus 275 basis points or (ii) the base rate plus 100 basis points and the base rate plus 175 basis points, in each case depending on duration. The Venetian Acquisition Bridge Facility, if funded, will contain restrictive covenants and events of default substantially similar to those contained in the Senior Secured Credit Facilities. If we draw upon the Venetian Acquisition Bridge Facility, there can be no assurances that we would be able to refinance the Venetian Acquisition Bridge Facility on satisfactory terms, or at all.</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On March 8, 2021, following the entry into the March 2021 Forward Sale Agreements, the commitments under the Venetian Acquisition Bridge Facility were reduced by $1,890.0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Transaction Bridge Facilities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24, 2019, in connection with the Eldorado Transaction, VICI PropCo entered into a commitment letter with Deutsche Bank Securities Inc. and Deutsche Bank AG Cayman Islands Branch (collectively, the “Eldorado Transaction Bridge Lender”), pursuant to which and subject to the terms and conditions set forth therein, the Eldorado Transaction Bridge Lender agreed to provide (i) a 364-day first lien secured bridge facility of up to $3.3 billion in the aggregate and (ii) a 364-day second lien secured bridge facility of up to $1.5 billion in the aggregate (collectively the “Eldorado Transaction Bridge Facilities”), for the purpose of providing a portion of the financing necessary to fund the consideration to be paid pursuant to the terms of the Eldorado Transaction documents and related fees and expenses. Following the November 2019 Senior Unsecured Notes offering, the commitments under the Bridge Facilities were reduced by $1.6 billion, to $3.2 billion. Following the February 2020 Senior Unsecured Notes offering, we placed $2.0 billion of the net proceeds of the offering into escrow pending the consummation of the Eldorado Transaction and the commitments under the Bridge Facilities were further reduced by $2.0 billion to $1.2 billion. The Eldorado Transaction Bridge Facilities were subject to a tiered commitment fee based on the period the commitment is outstanding and a structuring fee. The structuring fee was equal to 0.10% of the total aggregate commitments at June 24, 2019 and was payable as such commitments were terminated. For the nine months ended September 30, 2020, we recognized $3.1 million of fees related to the Eldorado Transaction Bridge Facilities in Interest expense on our Statement of Operations. No such amount was recognized for the three and nine months ended September 30, 2021 as the Eldorado Transaction Bridge Facilities were fully terminated at our election in June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on October 6, 2017, pursuant to an indenture by and among VICI PropCo and its wholly owned subsidiary, VICI FC Inc., the subsidiary guarantors party thereto, and UMB Bank National Association, as trustee. On February 20, 2020, we used a portion of the proceeds from the issuance of the 2025 Notes, together with cash on hand, to redeem in full the Second Lien Notes at a redemption price of 100% of the principal amount of the Second Lien Notes then outstanding plus the Second Lien Notes Applicable Premium (as defined in the Second Lien Notes indenture), for a total redemption cost of $537.5 million. In connection with the full redemption, we recognized a loss on extinguishment of debt of $39.1 million during the nine months ended September 30,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the Operating Partnership,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September 30, 2021, we are in compliance with all financial covenants under our debt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24, 2018, we entered into four interest rate swap agreements with third-party financial institutions having an aggregate notional amount of $1.5 billion. On January 3, 2019, we entered into two additional interest rate swap agreements with third-party financial institutions having an aggregate notional amount of $500.0 million, which matured on January 22, 2021. The interest rate swap transactions were designated as cash flow hedges that effectively fixed the LIBOR component of the interest rate on a portion of the outstanding debt under the Term Loan B Facility at 2.8297%. On September 15, 2021, in connection with the full repayment of the Term Loan B Facility, we unwound and settled all of our outstanding interest rate swap agreements resulting in a cash payment of $66.9 million, inclusive of accrued interest of $2.7 million. As the Term Loan B Facility was repaid in full with proceeds from the issuance of 65,000,000 shares of common stock on September 14, 2021 and proceeds from the settlement of the June 2020 Forward Sale Agreement with no replacement debt, the full amount held in Other comprehensive income, $64.2 million, was immediately reclassified to Interest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our outstanding interest rate derivatives that were designated as cash flow hedges of interest rate risk as of December 31, 2020:</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ind w:left="300"/>
              <w:spacing w:after="0"/>
              <w:rPr>
                <w:sz w:val="20"/>
                <w:szCs w:val="20"/>
                <w:color w:val="auto"/>
              </w:rPr>
            </w:pPr>
            <w:r>
              <w:rPr>
                <w:rFonts w:ascii="Arial" w:cs="Arial" w:eastAsia="Arial" w:hAnsi="Arial"/>
                <w:sz w:val="16"/>
                <w:szCs w:val="16"/>
                <w:b w:val="1"/>
                <w:bCs w:val="1"/>
                <w:color w:val="auto"/>
              </w:rPr>
              <w:t>December 31, 2020</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6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48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4"/>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600" w:type="dxa"/>
            <w:vAlign w:val="bottom"/>
            <w:gridSpan w:val="3"/>
            <w:vMerge w:val="continue"/>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Instruments</w:t>
            </w: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0" w:type="dxa"/>
            <w:vAlign w:val="bottom"/>
          </w:tcPr>
          <w:p>
            <w:pPr>
              <w:spacing w:after="0"/>
              <w:rPr>
                <w:sz w:val="1"/>
                <w:szCs w:val="1"/>
                <w:color w:val="auto"/>
              </w:rPr>
            </w:pPr>
          </w:p>
        </w:tc>
      </w:tr>
      <w:tr>
        <w:trPr>
          <w:trHeight w:val="230"/>
        </w:trPr>
        <w:tc>
          <w:tcPr>
            <w:tcW w:w="36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January 22, 2021</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2020, the interest rate swaps were in a net unrealized loss positions and were recorded within Other liabilities. The following table presents the effect of our derivative financial instruments on our Statement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5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1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80" w:type="dxa"/>
            <w:vAlign w:val="bottom"/>
          </w:tcPr>
          <w:p>
            <w:pPr>
              <w:jc w:val="right"/>
              <w:ind w:right="456"/>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453"/>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6"/>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3"/>
              <w:spacing w:after="0" w:line="171" w:lineRule="exact"/>
              <w:rPr>
                <w:sz w:val="20"/>
                <w:szCs w:val="20"/>
                <w:color w:val="auto"/>
              </w:rPr>
            </w:pPr>
            <w:r>
              <w:rPr>
                <w:rFonts w:ascii="Arial" w:cs="Arial" w:eastAsia="Arial" w:hAnsi="Arial"/>
                <w:sz w:val="16"/>
                <w:szCs w:val="16"/>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recorded in 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29,664</w:t>
            </w: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Interest rate swap settlement recorded in interest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64,239</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64,239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summarizes our assets and liabilities measured at fair value on a recurring basis as of December 31, 2020. There were no assets or liabilities that were recorded at fair value on a recurring basis as of September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71"/>
        </w:trPr>
        <w:tc>
          <w:tcPr>
            <w:tcW w:w="44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60"/>
              <w:spacing w:after="0" w:line="171"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44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200"/>
              <w:spacing w:after="0" w:line="229"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11"/>
        </w:trPr>
        <w:tc>
          <w:tcPr>
            <w:tcW w:w="20" w:type="dxa"/>
            <w:vAlign w:val="bottom"/>
          </w:tcPr>
          <w:p>
            <w:pPr>
              <w:spacing w:after="0"/>
              <w:rPr>
                <w:sz w:val="24"/>
                <w:szCs w:val="24"/>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92,521</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92,521</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4"/>
          <w:szCs w:val="14"/>
          <w:color w:val="auto"/>
        </w:rPr>
        <w:t>___________________</w:t>
      </w:r>
    </w:p>
    <w:p>
      <w:pPr>
        <w:spacing w:after="0" w:line="48"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investments is equal to their fair value due to the short-term nature of the investments as well as their credit quality.</w:t>
      </w:r>
    </w:p>
    <w:p>
      <w:pPr>
        <w:spacing w:after="0" w:line="54" w:lineRule="exact"/>
        <w:rPr>
          <w:rFonts w:ascii="Arial" w:cs="Arial" w:eastAsia="Arial" w:hAnsi="Arial"/>
          <w:sz w:val="14"/>
          <w:szCs w:val="14"/>
          <w:i w:val="1"/>
          <w:iCs w:val="1"/>
          <w:color w:val="auto"/>
        </w:rPr>
      </w:pPr>
    </w:p>
    <w:p>
      <w:pPr>
        <w:ind w:right="280" w:firstLine="8"/>
        <w:spacing w:after="0" w:line="272" w:lineRule="auto"/>
        <w:tabs>
          <w:tab w:leader="none" w:pos="203"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estimated fair values of our financial instruments as of September 30, 2021 and December 31, 2020 for which fair value is only disclosed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 2021</w:t>
            </w:r>
          </w:p>
        </w:tc>
        <w:tc>
          <w:tcPr>
            <w:tcW w:w="340" w:type="dxa"/>
            <w:vAlign w:val="bottom"/>
          </w:tcPr>
          <w:p>
            <w:pPr>
              <w:spacing w:after="0"/>
              <w:rPr>
                <w:sz w:val="18"/>
                <w:szCs w:val="18"/>
                <w:color w:val="auto"/>
              </w:rPr>
            </w:pPr>
          </w:p>
        </w:tc>
        <w:tc>
          <w:tcPr>
            <w:tcW w:w="244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December 31, 2020</w:t>
            </w:r>
          </w:p>
        </w:tc>
      </w:tr>
      <w:tr>
        <w:trPr>
          <w:trHeight w:val="171"/>
        </w:trPr>
        <w:tc>
          <w:tcPr>
            <w:tcW w:w="55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Borders>
              <w:top w:val="single" w:sz="8" w:color="auto"/>
            </w:tcBorders>
            <w:gridSpan w:val="3"/>
          </w:tcPr>
          <w:p>
            <w:pPr>
              <w:ind w:left="40"/>
              <w:spacing w:after="0" w:line="171"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11"/>
              <w:spacing w:after="0" w:line="171"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1440" w:type="dxa"/>
            <w:vAlign w:val="bottom"/>
            <w:tcBorders>
              <w:top w:val="single" w:sz="8" w:color="auto"/>
            </w:tcBorders>
            <w:gridSpan w:val="3"/>
          </w:tcPr>
          <w:p>
            <w:pPr>
              <w:ind w:left="60"/>
              <w:spacing w:after="0" w:line="171"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11"/>
              <w:spacing w:after="0" w:line="171" w:lineRule="exact"/>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i w:val="1"/>
                <w:iCs w:val="1"/>
                <w:color w:val="auto"/>
              </w:rPr>
              <w:t>Financial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tcPr>
          <w:p>
            <w:pPr>
              <w:ind w:left="180"/>
              <w:spacing w:after="0" w:line="229"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2,640,399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3,097,984</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2,684,955</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180"/>
              <w:spacing w:after="0" w:line="229"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538,151</w:t>
            </w:r>
          </w:p>
        </w:tc>
      </w:tr>
      <w:tr>
        <w:trPr>
          <w:trHeight w:val="229"/>
        </w:trPr>
        <w:tc>
          <w:tcPr>
            <w:tcW w:w="20" w:type="dxa"/>
            <w:vAlign w:val="bottom"/>
          </w:tcPr>
          <w:p>
            <w:pPr>
              <w:spacing w:after="0"/>
              <w:rPr>
                <w:sz w:val="19"/>
                <w:szCs w:val="19"/>
                <w:color w:val="auto"/>
              </w:rPr>
            </w:pPr>
          </w:p>
        </w:tc>
        <w:tc>
          <w:tcPr>
            <w:tcW w:w="554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315,993</w:t>
            </w:r>
          </w:p>
        </w:tc>
      </w:tr>
      <w:tr>
        <w:trPr>
          <w:trHeight w:val="229"/>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tcPr>
          <w:p>
            <w:pPr>
              <w:ind w:left="200"/>
              <w:spacing w:after="0" w:line="229"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i w:val="1"/>
                <w:iCs w:val="1"/>
                <w:color w:val="auto"/>
                <w:vertAlign w:val="superscript"/>
              </w:rPr>
              <w:t>(3)</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540" w:type="dxa"/>
            <w:vAlign w:val="bottom"/>
            <w:gridSpan w:val="2"/>
          </w:tcPr>
          <w:p>
            <w:pPr>
              <w:ind w:left="320"/>
              <w:spacing w:after="0"/>
              <w:rPr>
                <w:sz w:val="20"/>
                <w:szCs w:val="20"/>
                <w:color w:val="auto"/>
              </w:rPr>
            </w:pPr>
            <w:r>
              <w:rPr>
                <w:rFonts w:ascii="Arial" w:cs="Arial" w:eastAsia="Arial" w:hAnsi="Arial"/>
                <w:sz w:val="18"/>
                <w:szCs w:val="18"/>
                <w:color w:val="auto"/>
              </w:rPr>
              <w:t>Term Loan B Facility</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2,080,974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2,065,875</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2025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766,875</w:t>
            </w:r>
          </w:p>
        </w:tc>
      </w:tr>
      <w:tr>
        <w:trPr>
          <w:trHeight w:val="229"/>
        </w:trPr>
        <w:tc>
          <w:tcPr>
            <w:tcW w:w="20" w:type="dxa"/>
            <w:vAlign w:val="bottom"/>
          </w:tcPr>
          <w:p>
            <w:pPr>
              <w:spacing w:after="0"/>
              <w:rPr>
                <w:sz w:val="19"/>
                <w:szCs w:val="19"/>
                <w:color w:val="auto"/>
              </w:rPr>
            </w:pPr>
          </w:p>
        </w:tc>
        <w:tc>
          <w:tcPr>
            <w:tcW w:w="5540" w:type="dxa"/>
            <w:vAlign w:val="bottom"/>
            <w:gridSpan w:val="2"/>
          </w:tcPr>
          <w:p>
            <w:pPr>
              <w:ind w:left="320"/>
              <w:spacing w:after="0"/>
              <w:rPr>
                <w:sz w:val="20"/>
                <w:szCs w:val="20"/>
                <w:color w:val="auto"/>
              </w:rPr>
            </w:pPr>
            <w:r>
              <w:rPr>
                <w:rFonts w:ascii="Arial" w:cs="Arial" w:eastAsia="Arial" w:hAnsi="Arial"/>
                <w:sz w:val="18"/>
                <w:szCs w:val="18"/>
                <w:color w:val="auto"/>
              </w:rPr>
              <w:t>2026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1,301,563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1,296,875</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2027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763,125</w:t>
            </w:r>
          </w:p>
        </w:tc>
      </w:tr>
      <w:tr>
        <w:trPr>
          <w:trHeight w:val="229"/>
        </w:trPr>
        <w:tc>
          <w:tcPr>
            <w:tcW w:w="20" w:type="dxa"/>
            <w:vAlign w:val="bottom"/>
          </w:tcPr>
          <w:p>
            <w:pPr>
              <w:spacing w:after="0"/>
              <w:rPr>
                <w:sz w:val="19"/>
                <w:szCs w:val="19"/>
                <w:color w:val="auto"/>
              </w:rPr>
            </w:pPr>
          </w:p>
        </w:tc>
        <w:tc>
          <w:tcPr>
            <w:tcW w:w="5540" w:type="dxa"/>
            <w:vAlign w:val="bottom"/>
            <w:gridSpan w:val="2"/>
          </w:tcPr>
          <w:p>
            <w:pPr>
              <w:ind w:left="320"/>
              <w:spacing w:after="0"/>
              <w:rPr>
                <w:sz w:val="20"/>
                <w:szCs w:val="20"/>
                <w:color w:val="auto"/>
              </w:rPr>
            </w:pPr>
            <w:r>
              <w:rPr>
                <w:rFonts w:ascii="Arial" w:cs="Arial" w:eastAsia="Arial" w:hAnsi="Arial"/>
                <w:sz w:val="18"/>
                <w:szCs w:val="18"/>
                <w:color w:val="auto"/>
              </w:rPr>
              <w:t>2029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1,070,000</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2030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40" w:right="20" w:hanging="332"/>
        <w:spacing w:after="0"/>
        <w:tabs>
          <w:tab w:leader="none" w:pos="332"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JACK Cleveland/Thistledown Lease Agreement and the Harrah’s Original Call Properties. The fair value of these assets are based on significant “unobservable” market inputs and, as such, these fair value measurements are considered Level 3 of the fair value hierarchy.</w:t>
      </w:r>
    </w:p>
    <w:p>
      <w:pPr>
        <w:spacing w:after="0" w:line="1" w:lineRule="exact"/>
        <w:rPr>
          <w:rFonts w:ascii="Arial" w:cs="Arial" w:eastAsia="Arial" w:hAnsi="Arial"/>
          <w:sz w:val="14"/>
          <w:szCs w:val="14"/>
          <w:i w:val="1"/>
          <w:iCs w:val="1"/>
          <w:color w:val="auto"/>
        </w:rPr>
      </w:pPr>
    </w:p>
    <w:p>
      <w:pPr>
        <w:ind w:left="340" w:hanging="332"/>
        <w:spacing w:after="0" w:line="259" w:lineRule="auto"/>
        <w:tabs>
          <w:tab w:leader="none" w:pos="332" w:val="left"/>
        </w:tabs>
        <w:numPr>
          <w:ilvl w:val="0"/>
          <w:numId w:val="33"/>
        </w:numPr>
        <w:rPr>
          <w:rFonts w:ascii="Arial" w:cs="Arial" w:eastAsia="Arial" w:hAnsi="Arial"/>
          <w:sz w:val="13"/>
          <w:szCs w:val="13"/>
          <w:i w:val="1"/>
          <w:iCs w:val="1"/>
          <w:color w:val="auto"/>
        </w:rPr>
      </w:pPr>
      <w:r>
        <w:rPr>
          <w:rFonts w:ascii="Arial" w:cs="Arial" w:eastAsia="Arial" w:hAnsi="Arial"/>
          <w:sz w:val="13"/>
          <w:szCs w:val="13"/>
          <w:i w:val="1"/>
          <w:iCs w:val="1"/>
          <w:color w:val="auto"/>
        </w:rPr>
        <w:t>These investments represent the (i) Caesars Forum Convention Center Mortgage Loan, (ii) Chelsea Piers Mortgage Loan, (iii) Amended and Restated ROV Loan (which was terminated subsequent to September 30, 2021, on October 4, 2021) and (iv) Great Wolf Mezzanine Loan. We believe the current principal balance of the investments approximates their fair value.</w:t>
      </w:r>
    </w:p>
    <w:p>
      <w:pPr>
        <w:ind w:left="340" w:hanging="332"/>
        <w:spacing w:after="0" w:line="254" w:lineRule="auto"/>
        <w:tabs>
          <w:tab w:leader="none" w:pos="332"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Upon Lease Modification in Connection with the Eldorado Transaction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20, 2020, in connection with the Eldorado Transaction and as required under ASC 842, we reassessed the lease classifications of the Las Vegas Master Lease Agreement, Regional Master Lease Agreement and Joliet Lease Agreement and determined the leases meet the definition of a sales-type lease, including the land component of Caesars Palace Las Vegas.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 and its carrying value immediately prior to the modification.</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valued the real estate portfolio using a rent multiple taking into consideration a variety of factors, including (i) asset quality and location, (ii) property and lease-level operating performance and (iii) supply and demand dynamics of each property’s respective market. With respect to certain assets which were subject to signed sale agreements as of the date of reassessment, and were subject to removal from the Regional Master Lease Agreement upon consummation of such transactions, which includes Harrah’s Reno, Bally’s Atlantic City and Louisiana Downs, these assets were recorded at fair value using the contract price less costs to sell.</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a result of the re-measurement of the Caesars Lease Agreements to fair value, we recognized a $333.4 million gain upon lease modification in our Statement of Operations during the three and nine months ended September 30,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summarizes our assets measured at fair value on a non-recurring basis in relation to the gain upon modification of the Caesars Lease Agreements on July 20, 2020, the date of modification: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93"/>
              </w:rPr>
              <w:t>July 20, 2020</w:t>
            </w: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500"/>
              <w:spacing w:after="0" w:line="171" w:lineRule="exact"/>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19"/>
                <w:szCs w:val="19"/>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Investments in sales-type leases - Caesars Lease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10,228,465</w:t>
            </w:r>
          </w:p>
        </w:tc>
        <w:tc>
          <w:tcPr>
            <w:tcW w:w="14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10,228,465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80"/>
              <w:spacing w:after="0" w:line="229" w:lineRule="exact"/>
              <w:rPr>
                <w:sz w:val="20"/>
                <w:szCs w:val="20"/>
                <w:color w:val="auto"/>
              </w:rPr>
            </w:pPr>
            <w:r>
              <w:rPr>
                <w:rFonts w:ascii="Arial" w:cs="Arial" w:eastAsia="Arial" w:hAnsi="Arial"/>
                <w:sz w:val="18"/>
                <w:szCs w:val="18"/>
                <w:color w:val="auto"/>
              </w:rPr>
              <w:t xml:space="preserve">Agreements </w:t>
            </w:r>
            <w:r>
              <w:rPr>
                <w:rFonts w:ascii="Arial" w:cs="Arial" w:eastAsia="Arial" w:hAnsi="Arial"/>
                <w:sz w:val="23"/>
                <w:szCs w:val="23"/>
                <w:i w:val="1"/>
                <w:iCs w:val="1"/>
                <w:color w:val="auto"/>
                <w:vertAlign w:val="superscript"/>
              </w:rPr>
              <w:t>(1)</w:t>
            </w:r>
          </w:p>
        </w:tc>
        <w:tc>
          <w:tcPr>
            <w:tcW w:w="1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Investments in sales-type leases - assets subject to sales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14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80"/>
              <w:spacing w:after="0" w:line="229" w:lineRule="exact"/>
              <w:rPr>
                <w:sz w:val="20"/>
                <w:szCs w:val="20"/>
                <w:color w:val="auto"/>
              </w:rPr>
            </w:pPr>
            <w:r>
              <w:rPr>
                <w:rFonts w:ascii="Arial" w:cs="Arial" w:eastAsia="Arial" w:hAnsi="Arial"/>
                <w:sz w:val="18"/>
                <w:szCs w:val="18"/>
                <w:color w:val="auto"/>
              </w:rPr>
              <w:t xml:space="preserve">agreements </w:t>
            </w:r>
            <w:r>
              <w:rPr>
                <w:rFonts w:ascii="Arial" w:cs="Arial" w:eastAsia="Arial" w:hAnsi="Arial"/>
                <w:sz w:val="23"/>
                <w:szCs w:val="23"/>
                <w:i w:val="1"/>
                <w:iCs w:val="1"/>
                <w:color w:val="auto"/>
                <w:vertAlign w:val="superscript"/>
              </w:rPr>
              <w:t>(2)</w:t>
            </w: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340" w:right="20" w:hanging="332"/>
        <w:spacing w:after="0"/>
        <w:tabs>
          <w:tab w:leader="none" w:pos="233"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measurement of the Caesars Lease Agreements excludes the Harrah’s Original Call Properties Acquisitions, HLV Additional Rent Acquisition and CPLV Additional Rent Acquisition as these transactions occurred in connection with the Eldorado Transaction and the investments are measured at historical cost.</w:t>
      </w:r>
    </w:p>
    <w:p>
      <w:pPr>
        <w:spacing w:after="0" w:line="1" w:lineRule="exact"/>
        <w:rPr>
          <w:rFonts w:ascii="Arial" w:cs="Arial" w:eastAsia="Arial" w:hAnsi="Arial"/>
          <w:sz w:val="14"/>
          <w:szCs w:val="14"/>
          <w:i w:val="1"/>
          <w:iCs w:val="1"/>
          <w:color w:val="auto"/>
        </w:rPr>
      </w:pPr>
    </w:p>
    <w:p>
      <w:pPr>
        <w:ind w:left="340" w:hanging="332"/>
        <w:spacing w:after="0" w:line="254" w:lineRule="auto"/>
        <w:tabs>
          <w:tab w:leader="none" w:pos="2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Harrah’s Reno, Bally’s Atlantic City and Louisiana Downs assets, which were subject to sales agreements at the date of the modification. The fair value of these investments is based on the contract price and represents a Level 2 measurement as defined in ASC 820.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unobservable inputs used in non-recurring Level 3 fair value measurements: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3"/>
          </w:tcPr>
          <w:p>
            <w:pPr>
              <w:ind w:left="1060"/>
              <w:spacing w:after="0"/>
              <w:rPr>
                <w:sz w:val="20"/>
                <w:szCs w:val="20"/>
                <w:color w:val="auto"/>
              </w:rPr>
            </w:pPr>
            <w:r>
              <w:rPr>
                <w:rFonts w:ascii="Arial" w:cs="Arial" w:eastAsia="Arial" w:hAnsi="Arial"/>
                <w:sz w:val="16"/>
                <w:szCs w:val="16"/>
                <w:b w:val="1"/>
                <w:bCs w:val="1"/>
                <w:color w:val="auto"/>
              </w:rPr>
              <w:t>Significant Assumptions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740" w:type="dxa"/>
            <w:vAlign w:val="bottom"/>
            <w:gridSpan w:val="2"/>
            <w:vMerge w:val="restart"/>
          </w:tcPr>
          <w:p>
            <w:pPr>
              <w:jc w:val="center"/>
              <w:ind w:right="980"/>
              <w:spacing w:after="0"/>
              <w:rPr>
                <w:sz w:val="20"/>
                <w:szCs w:val="20"/>
                <w:color w:val="auto"/>
              </w:rPr>
            </w:pPr>
            <w:r>
              <w:rPr>
                <w:rFonts w:ascii="Arial" w:cs="Arial" w:eastAsia="Arial" w:hAnsi="Arial"/>
                <w:sz w:val="18"/>
                <w:szCs w:val="18"/>
                <w:b w:val="1"/>
                <w:bCs w:val="1"/>
                <w:color w:val="auto"/>
                <w:w w:val="87"/>
              </w:rPr>
              <w:t>Asset Type</w:t>
            </w:r>
          </w:p>
        </w:tc>
        <w:tc>
          <w:tcPr>
            <w:tcW w:w="280" w:type="dxa"/>
            <w:vAlign w:val="bottom"/>
          </w:tcPr>
          <w:p>
            <w:pPr>
              <w:spacing w:after="0" w:line="20" w:lineRule="exact"/>
              <w:rPr>
                <w:sz w:val="1"/>
                <w:szCs w:val="1"/>
                <w:color w:val="auto"/>
              </w:rPr>
            </w:pPr>
          </w:p>
        </w:tc>
        <w:tc>
          <w:tcPr>
            <w:tcW w:w="1640" w:type="dxa"/>
            <w:vAlign w:val="bottom"/>
            <w:gridSpan w:val="2"/>
            <w:vMerge w:val="restart"/>
          </w:tcPr>
          <w:p>
            <w:pPr>
              <w:ind w:left="160"/>
              <w:spacing w:after="0" w:line="26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i w:val="1"/>
                <w:iCs w:val="1"/>
                <w:color w:val="auto"/>
                <w:vertAlign w:val="superscript"/>
              </w:rPr>
              <w:t>(1)</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Valuation Technique</w:t>
            </w: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Range</w:t>
            </w:r>
          </w:p>
        </w:tc>
        <w:tc>
          <w:tcPr>
            <w:tcW w:w="1680" w:type="dxa"/>
            <w:vAlign w:val="bottom"/>
          </w:tcPr>
          <w:p>
            <w:pPr>
              <w:jc w:val="center"/>
              <w:spacing w:after="0" w:line="222" w:lineRule="exact"/>
              <w:rPr>
                <w:sz w:val="20"/>
                <w:szCs w:val="20"/>
                <w:color w:val="auto"/>
              </w:rPr>
            </w:pPr>
            <w:r>
              <w:rPr>
                <w:rFonts w:ascii="Arial" w:cs="Arial" w:eastAsia="Arial" w:hAnsi="Arial"/>
                <w:sz w:val="18"/>
                <w:szCs w:val="18"/>
                <w:b w:val="1"/>
                <w:bCs w:val="1"/>
                <w:color w:val="auto"/>
                <w:w w:val="86"/>
              </w:rPr>
              <w:t>Weighted Average</w:t>
            </w:r>
            <w:r>
              <w:rPr>
                <w:rFonts w:ascii="Arial" w:cs="Arial" w:eastAsia="Arial" w:hAnsi="Arial"/>
                <w:sz w:val="23"/>
                <w:szCs w:val="23"/>
                <w:b w:val="1"/>
                <w:bCs w:val="1"/>
                <w:i w:val="1"/>
                <w:iCs w:val="1"/>
                <w:color w:val="auto"/>
                <w:w w:val="86"/>
                <w:vertAlign w:val="superscript"/>
              </w:rPr>
              <w:t>(2)</w:t>
            </w:r>
          </w:p>
        </w:tc>
        <w:tc>
          <w:tcPr>
            <w:tcW w:w="0" w:type="dxa"/>
            <w:vAlign w:val="bottom"/>
          </w:tcPr>
          <w:p>
            <w:pPr>
              <w:spacing w:after="0"/>
              <w:rPr>
                <w:sz w:val="1"/>
                <w:szCs w:val="1"/>
                <w:color w:val="auto"/>
              </w:rPr>
            </w:pPr>
          </w:p>
        </w:tc>
      </w:tr>
      <w:tr>
        <w:trPr>
          <w:trHeight w:val="222"/>
        </w:trPr>
        <w:tc>
          <w:tcPr>
            <w:tcW w:w="20" w:type="dxa"/>
            <w:vAlign w:val="bottom"/>
            <w:tcBorders>
              <w:top w:val="single" w:sz="8" w:color="auto"/>
            </w:tcBorders>
            <w:shd w:val="clear" w:color="auto" w:fill="CCEEFF"/>
          </w:tcPr>
          <w:p>
            <w:pPr>
              <w:spacing w:after="0"/>
              <w:rPr>
                <w:sz w:val="19"/>
                <w:szCs w:val="19"/>
                <w:color w:val="auto"/>
              </w:rPr>
            </w:pPr>
          </w:p>
        </w:tc>
        <w:tc>
          <w:tcPr>
            <w:tcW w:w="35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Investment in sales-type lease - Casinos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10,228,465</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Rent Multiple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9.75x - 15.50x</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13.0x</w:t>
            </w:r>
          </w:p>
        </w:tc>
        <w:tc>
          <w:tcPr>
            <w:tcW w:w="0" w:type="dxa"/>
            <w:vAlign w:val="bottom"/>
          </w:tcPr>
          <w:p>
            <w:pPr>
              <w:spacing w:after="0"/>
              <w:rPr>
                <w:sz w:val="1"/>
                <w:szCs w:val="1"/>
                <w:color w:val="auto"/>
              </w:rPr>
            </w:pPr>
          </w:p>
        </w:tc>
      </w:tr>
      <w:tr>
        <w:trPr>
          <w:trHeight w:val="290"/>
        </w:trPr>
        <w:tc>
          <w:tcPr>
            <w:tcW w:w="35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20" w:hanging="332"/>
        <w:spacing w:after="0"/>
        <w:tabs>
          <w:tab w:leader="none" w:pos="233"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measurement of the Caesars Lease Agreements excludes the Harrah’s Original Call Properties Acquisitions, HLV Additional Rent Acquisition and CPLV Additional Rent Acquisition as these transactions occurred in connection with the Eldorado Transaction and the investments are measured at historical cost.</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Weighted by relative fair value.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September 30, 2021, we are not subject to any litigation that we believe could have, individually or in the aggregate, a material adverse effect on our business, financial condition or results of operations, liquidity or cash flows.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connection with the Mergers, nine lawsuits have been filed challenging disclosures related to the Mergers, captioned: (i) </w:t>
      </w:r>
      <w:r>
        <w:rPr>
          <w:rFonts w:ascii="Arial" w:cs="Arial" w:eastAsia="Arial" w:hAnsi="Arial"/>
          <w:sz w:val="17"/>
          <w:szCs w:val="17"/>
          <w:i w:val="1"/>
          <w:iCs w:val="1"/>
          <w:color w:val="auto"/>
        </w:rPr>
        <w:t>Lin v. MGM Growth Properties</w:t>
      </w:r>
      <w:r>
        <w:rPr>
          <w:rFonts w:ascii="Arial" w:cs="Arial" w:eastAsia="Arial" w:hAnsi="Arial"/>
          <w:sz w:val="17"/>
          <w:szCs w:val="17"/>
          <w:color w:val="auto"/>
        </w:rPr>
        <w:t xml:space="preserve"> </w:t>
      </w:r>
      <w:r>
        <w:rPr>
          <w:rFonts w:ascii="Arial" w:cs="Arial" w:eastAsia="Arial" w:hAnsi="Arial"/>
          <w:sz w:val="17"/>
          <w:szCs w:val="17"/>
          <w:i w:val="1"/>
          <w:iCs w:val="1"/>
          <w:color w:val="auto"/>
        </w:rPr>
        <w:t>LLC, et al.</w:t>
      </w:r>
      <w:r>
        <w:rPr>
          <w:rFonts w:ascii="Arial" w:cs="Arial" w:eastAsia="Arial" w:hAnsi="Arial"/>
          <w:sz w:val="17"/>
          <w:szCs w:val="17"/>
          <w:color w:val="auto"/>
        </w:rPr>
        <w:t>, No. 1:21-cv-07807 (SDNY) (filed September 17, 2021) (the “Lin Complaint”), (ii)</w:t>
      </w:r>
      <w:r>
        <w:rPr>
          <w:rFonts w:ascii="Arial" w:cs="Arial" w:eastAsia="Arial" w:hAnsi="Arial"/>
          <w:sz w:val="17"/>
          <w:szCs w:val="17"/>
          <w:i w:val="1"/>
          <w:iCs w:val="1"/>
          <w:color w:val="auto"/>
        </w:rPr>
        <w:t xml:space="preserve"> Whitfield v. MGM Growth Properties LLC, et al.</w:t>
      </w:r>
      <w:r>
        <w:rPr>
          <w:rFonts w:ascii="Arial" w:cs="Arial" w:eastAsia="Arial" w:hAnsi="Arial"/>
          <w:sz w:val="17"/>
          <w:szCs w:val="17"/>
          <w:color w:val="auto"/>
        </w:rPr>
        <w:t xml:space="preserve">, No. 1:21-cv-08110 (SDNY) (filed September 30, 2021) (the “Whitfield Complaint”), (iii) </w:t>
      </w:r>
      <w:r>
        <w:rPr>
          <w:rFonts w:ascii="Arial" w:cs="Arial" w:eastAsia="Arial" w:hAnsi="Arial"/>
          <w:sz w:val="17"/>
          <w:szCs w:val="17"/>
          <w:i w:val="1"/>
          <w:iCs w:val="1"/>
          <w:color w:val="auto"/>
        </w:rPr>
        <w:t>Bushansky v. VICI Properties Inc., et al.</w:t>
      </w:r>
      <w:r>
        <w:rPr>
          <w:rFonts w:ascii="Arial" w:cs="Arial" w:eastAsia="Arial" w:hAnsi="Arial"/>
          <w:sz w:val="17"/>
          <w:szCs w:val="17"/>
          <w:color w:val="auto"/>
        </w:rPr>
        <w:t xml:space="preserve">, No. 1:21-cv-18429 (DNJ) (filed October 12, 2021) (the “Bushansky Complaint”), (iv) </w:t>
      </w:r>
      <w:r>
        <w:rPr>
          <w:rFonts w:ascii="Arial" w:cs="Arial" w:eastAsia="Arial" w:hAnsi="Arial"/>
          <w:sz w:val="17"/>
          <w:szCs w:val="17"/>
          <w:i w:val="1"/>
          <w:iCs w:val="1"/>
          <w:color w:val="auto"/>
        </w:rPr>
        <w:t>Kent v. VICI Properties, Inc., et. al.,</w:t>
      </w:r>
      <w:r>
        <w:rPr>
          <w:rFonts w:ascii="Arial" w:cs="Arial" w:eastAsia="Arial" w:hAnsi="Arial"/>
          <w:sz w:val="17"/>
          <w:szCs w:val="17"/>
          <w:color w:val="auto"/>
        </w:rPr>
        <w:t xml:space="preserve"> No. 1:21-cv-08504 (SDNY) (filed October 15, 2021) (the “Kent Complaint”), (v) </w:t>
      </w:r>
      <w:r>
        <w:rPr>
          <w:rFonts w:ascii="Arial" w:cs="Arial" w:eastAsia="Arial" w:hAnsi="Arial"/>
          <w:sz w:val="17"/>
          <w:szCs w:val="17"/>
          <w:i w:val="1"/>
          <w:iCs w:val="1"/>
          <w:color w:val="auto"/>
        </w:rPr>
        <w:t>Mintz v. VICI Properties, Inc., et. al.,</w:t>
      </w:r>
      <w:r>
        <w:rPr>
          <w:rFonts w:ascii="Arial" w:cs="Arial" w:eastAsia="Arial" w:hAnsi="Arial"/>
          <w:sz w:val="17"/>
          <w:szCs w:val="17"/>
          <w:color w:val="auto"/>
        </w:rPr>
        <w:t xml:space="preserve"> No. 1:21-cv-05788 (EDNY) (filed October 16, 2021) (the “Mintz Complaint”), (vi) </w:t>
      </w:r>
      <w:r>
        <w:rPr>
          <w:rFonts w:ascii="Arial" w:cs="Arial" w:eastAsia="Arial" w:hAnsi="Arial"/>
          <w:sz w:val="17"/>
          <w:szCs w:val="17"/>
          <w:i w:val="1"/>
          <w:iCs w:val="1"/>
          <w:color w:val="auto"/>
        </w:rPr>
        <w:t>Hopkins v. MGM</w:t>
      </w:r>
      <w:r>
        <w:rPr>
          <w:rFonts w:ascii="Arial" w:cs="Arial" w:eastAsia="Arial" w:hAnsi="Arial"/>
          <w:sz w:val="17"/>
          <w:szCs w:val="17"/>
          <w:color w:val="auto"/>
        </w:rPr>
        <w:t xml:space="preserve"> </w:t>
      </w:r>
      <w:r>
        <w:rPr>
          <w:rFonts w:ascii="Arial" w:cs="Arial" w:eastAsia="Arial" w:hAnsi="Arial"/>
          <w:sz w:val="17"/>
          <w:szCs w:val="17"/>
          <w:i w:val="1"/>
          <w:iCs w:val="1"/>
          <w:color w:val="auto"/>
        </w:rPr>
        <w:t>Growth Properties LLC, et al.</w:t>
      </w:r>
      <w:r>
        <w:rPr>
          <w:rFonts w:ascii="Arial" w:cs="Arial" w:eastAsia="Arial" w:hAnsi="Arial"/>
          <w:sz w:val="17"/>
          <w:szCs w:val="17"/>
          <w:color w:val="auto"/>
        </w:rPr>
        <w:t>, No. 2:21-cv-04556 (ED Pa) (filed October 18, 2021) (the “Hopkins Complaint”), (vii)</w:t>
      </w:r>
      <w:r>
        <w:rPr>
          <w:rFonts w:ascii="Arial" w:cs="Arial" w:eastAsia="Arial" w:hAnsi="Arial"/>
          <w:sz w:val="17"/>
          <w:szCs w:val="17"/>
          <w:i w:val="1"/>
          <w:iCs w:val="1"/>
          <w:color w:val="auto"/>
        </w:rPr>
        <w:t xml:space="preserve"> Anderson v. VICI Properties Inc., et al.</w:t>
      </w:r>
      <w:r>
        <w:rPr>
          <w:rFonts w:ascii="Arial" w:cs="Arial" w:eastAsia="Arial" w:hAnsi="Arial"/>
          <w:sz w:val="17"/>
          <w:szCs w:val="17"/>
          <w:color w:val="auto"/>
        </w:rPr>
        <w:t>, No. 1:21-cv-08603 (SDNY) (filed October 20, 2021) (the “Anderson Complaint”), (viii)</w:t>
      </w:r>
      <w:r>
        <w:rPr>
          <w:rFonts w:ascii="Arial" w:cs="Arial" w:eastAsia="Arial" w:hAnsi="Arial"/>
          <w:sz w:val="17"/>
          <w:szCs w:val="17"/>
          <w:i w:val="1"/>
          <w:iCs w:val="1"/>
          <w:color w:val="auto"/>
        </w:rPr>
        <w:t xml:space="preserve"> Brown v. VICI Properties Inc., et al.</w:t>
      </w:r>
      <w:r>
        <w:rPr>
          <w:rFonts w:ascii="Arial" w:cs="Arial" w:eastAsia="Arial" w:hAnsi="Arial"/>
          <w:sz w:val="17"/>
          <w:szCs w:val="17"/>
          <w:color w:val="auto"/>
        </w:rPr>
        <w:t>, No. 1:21-cv-08621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(SDNY) (filed October 20, 2021) (the “Brown Complaint”) and (ix) </w:t>
      </w:r>
      <w:r>
        <w:rPr>
          <w:rFonts w:ascii="Arial" w:cs="Arial" w:eastAsia="Arial" w:hAnsi="Arial"/>
          <w:sz w:val="17"/>
          <w:szCs w:val="17"/>
          <w:i w:val="1"/>
          <w:iCs w:val="1"/>
          <w:color w:val="auto"/>
        </w:rPr>
        <w:t>Finger v. VICI Properties Inc., et al.</w:t>
      </w:r>
      <w:r>
        <w:rPr>
          <w:rFonts w:ascii="Arial" w:cs="Arial" w:eastAsia="Arial" w:hAnsi="Arial"/>
          <w:sz w:val="17"/>
          <w:szCs w:val="17"/>
          <w:color w:val="auto"/>
        </w:rPr>
        <w:t>, No. 2:21-cv-19213 (DNJ) (filed October 21, 2021) (the “Finger Complaint”). The Lin Complaint, the Whitfield Complaint and the Hopkins Compliant were filed by purported MGP shareholders and name as defendants MGP, MGP OP, MGM, the individual members of the MGP board of directors, VICI, New VICI Operating Company, the Operating Partnership and REIT Merger Sub. The Bushansky Complaint, the Kent Complaint, the Mintz Complaint, the Anderson Complaint, the Brown Complaint and the Finger Compliant were filed by purported VICI stockholders and name as defendants VICI and the individual members of the VICI board of directors. The Lin Complaint alleges that the September 8, 2021 Registration Statement on Form S-4 regarding the proposed Mergers contains inadequate disclosures in violation of the federal securities laws. The Whitfield Complaint, the Bushansky Complaint, the Kent Complaint, the Mintz Complaint, the Hopkins Complaint, the Anderson Complaint, the Brown Complaint and the Finger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Complaint allege that the September 23, 2021 Prospectus on Form 424B3 regarding the proposed Mergers contains inadequate disclosures in violation of the federal securities laws. The plaintiffs in each action seek, among other things, to enjoin the Mergers and the transactions contemplated by the MGP Master Transaction Agreement and an award of costs and attorneys’ fees. Although the ultimate outcome of these actions cannot be predicted with certainty, we believe that these lawsuits are without merit and accordingly no amounts have been accrued as of September 30, 2021. Additional lawsuits arising out of the MGP Transactions may be filed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2038 and (ii) offices in New Orleans, LA and New York, NY, which expire in 2022 and 2030, respectively. The discount rates for the leases was determined based on the yield of our current secured borrowings, adjusted to match borrowings of similar terms, and are between 5.3% and 5.5%. The weighted average remaining lease term as of September 30, 2021 under our operating leases was 14.7 years. Our Cascata ground lease has three 10-year extension options. The rent of such options would be the in-place rent at the time of renewal.</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4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6"/>
                <w:szCs w:val="16"/>
                <w:b w:val="1"/>
                <w:bCs w:val="1"/>
                <w:color w:val="auto"/>
                <w:w w:val="91"/>
              </w:rPr>
              <w:t>September 30,</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171"/>
        </w:trPr>
        <w:tc>
          <w:tcPr>
            <w:tcW w:w="5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3"/>
              <w:spacing w:after="0" w:line="171" w:lineRule="exact"/>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6"/>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3"/>
              <w:spacing w:after="0" w:line="171" w:lineRule="exact"/>
              <w:rPr>
                <w:sz w:val="20"/>
                <w:szCs w:val="20"/>
                <w:color w:val="auto"/>
              </w:rPr>
            </w:pPr>
            <w:r>
              <w:rPr>
                <w:rFonts w:ascii="Arial" w:cs="Arial" w:eastAsia="Arial" w:hAnsi="Arial"/>
                <w:sz w:val="16"/>
                <w:szCs w:val="16"/>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2"/>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Contractual rent</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1,133</w:t>
            </w:r>
          </w:p>
        </w:tc>
      </w:tr>
    </w:tbl>
    <w:p>
      <w:pPr>
        <w:spacing w:after="0" w:line="29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As of September 30, 2021, we have a $17.0 million right of use asset and corresponding lease liability recorded in Other assets and Other liabilities, respectively, on our Balance Sheet related to our operating lease commitments for which we are the lessee.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future minimum lease commitments relating to the base lease rent portion of noncancelable operating leases at September 30, 2021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2"/>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1,847</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1,959</w:t>
            </w:r>
          </w:p>
        </w:tc>
      </w:tr>
      <w:tr>
        <w:trPr>
          <w:trHeight w:val="229"/>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r>
      <w:tr>
        <w:trPr>
          <w:trHeight w:val="222"/>
        </w:trPr>
        <w:tc>
          <w:tcPr>
            <w:tcW w:w="20" w:type="dxa"/>
            <w:vAlign w:val="bottom"/>
          </w:tcPr>
          <w:p>
            <w:pPr>
              <w:spacing w:after="0"/>
              <w:rPr>
                <w:sz w:val="19"/>
                <w:szCs w:val="19"/>
                <w:color w:val="auto"/>
              </w:rPr>
            </w:pPr>
          </w:p>
        </w:tc>
        <w:tc>
          <w:tcPr>
            <w:tcW w:w="8740" w:type="dxa"/>
            <w:vAlign w:val="bottom"/>
            <w:gridSpan w:val="2"/>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w:t>
            </w:r>
          </w:p>
        </w:tc>
      </w:tr>
      <w:tr>
        <w:trPr>
          <w:trHeight w:val="230"/>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16,990</w:t>
            </w: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 Commitments</w:t>
      </w:r>
    </w:p>
    <w:p>
      <w:pPr>
        <w:spacing w:after="0" w:line="170"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Certain of our acquisitions necessitate that we assume, as the lessee, ground and use leases, the cost of which is passed to our tenants through the Lease Agreements, which require the tenants to pay all costs associated with such ground and use leases and provide for their direct payment to the landlord.</w:t>
      </w:r>
    </w:p>
    <w:p>
      <w:pPr>
        <w:spacing w:after="0" w:line="70"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We have determined we are the primary obligor of certain of such ground and use leases and, accordingly, have presented these leases on a gross basis on our Balance Sheet and Statement of Operations. Further, we assessed the classification of the sub-lease to our tenant through the Lease Agreements, and our obligation as primary obligor of the ground and use leases and determined that they meet the definition of a sales-type lease and finance lease,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details the balance and location in our Balance Sheet of the ground and use leases as of September 30, 2021 and December 31, 2020, which is primarily comprised of the HNO Ground Lease: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6"/>
                <w:szCs w:val="16"/>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2"/>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Others assets (sales-type sub-leases,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r>
      <w:tr>
        <w:trPr>
          <w:trHeight w:val="230"/>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Other liabilities (finance sub-lease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280,768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284,376</w:t>
            </w:r>
          </w:p>
        </w:tc>
      </w:tr>
    </w:tbl>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980" w:type="dxa"/>
            <w:vAlign w:val="bottom"/>
            <w:gridSpan w:val="6"/>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2480" w:type="dxa"/>
            <w:vAlign w:val="bottom"/>
            <w:gridSpan w:val="5"/>
          </w:tcPr>
          <w:p>
            <w:pPr>
              <w:ind w:left="32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September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w w:val="93"/>
              </w:rPr>
              <w:t>September 30,</w:t>
            </w: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453"/>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454"/>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431"/>
              <w:spacing w:after="0" w:line="171" w:lineRule="exact"/>
              <w:rPr>
                <w:sz w:val="20"/>
                <w:szCs w:val="20"/>
                <w:color w:val="auto"/>
              </w:rPr>
            </w:pPr>
            <w:r>
              <w:rPr>
                <w:rFonts w:ascii="Arial" w:cs="Arial" w:eastAsia="Arial" w:hAnsi="Arial"/>
                <w:sz w:val="16"/>
                <w:szCs w:val="16"/>
                <w:b w:val="1"/>
                <w:bCs w:val="1"/>
                <w:color w:val="auto"/>
                <w:w w:val="95"/>
              </w:rPr>
              <w:t>2020</w:t>
            </w:r>
          </w:p>
        </w:tc>
        <w:tc>
          <w:tcPr>
            <w:tcW w:w="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Rental income and expense</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0" w:type="dxa"/>
            <w:vAlign w:val="bottom"/>
            <w:shd w:val="clear" w:color="auto" w:fill="CCEEFF"/>
          </w:tcPr>
          <w:p>
            <w:pPr>
              <w:spacing w:after="0"/>
              <w:rPr>
                <w:sz w:val="19"/>
                <w:szCs w:val="19"/>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Contractual rent</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8,838</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11,838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20,513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12,146</w:t>
            </w:r>
          </w:p>
        </w:tc>
        <w:tc>
          <w:tcPr>
            <w:tcW w:w="20" w:type="dxa"/>
            <w:vAlign w:val="bottom"/>
          </w:tcPr>
          <w:p>
            <w:pPr>
              <w:spacing w:after="0"/>
              <w:rPr>
                <w:sz w:val="19"/>
                <w:szCs w:val="19"/>
                <w:color w:val="auto"/>
              </w:rPr>
            </w:pPr>
          </w:p>
        </w:tc>
      </w:tr>
      <w:tr>
        <w:trPr>
          <w:trHeight w:val="295"/>
        </w:trPr>
        <w:tc>
          <w:tcPr>
            <w:tcW w:w="8340" w:type="dxa"/>
            <w:vAlign w:val="bottom"/>
            <w:gridSpan w:val="9"/>
          </w:tcPr>
          <w:p>
            <w:pPr>
              <w:spacing w:after="0"/>
              <w:rPr>
                <w:sz w:val="20"/>
                <w:szCs w:val="20"/>
                <w:color w:val="auto"/>
              </w:rPr>
            </w:pPr>
            <w:r>
              <w:rPr>
                <w:rFonts w:ascii="Arial" w:cs="Arial" w:eastAsia="Arial" w:hAnsi="Arial"/>
                <w:sz w:val="18"/>
                <w:szCs w:val="18"/>
                <w:color w:val="auto"/>
                <w:w w:val="89"/>
              </w:rPr>
              <w:t>The future minimum lease commitments relating to the ground and use leases at September 30, 2021 are as follows: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5"/>
          </w:tcPr>
          <w:p>
            <w:pPr>
              <w:ind w:left="520"/>
              <w:spacing w:after="0"/>
              <w:rPr>
                <w:sz w:val="20"/>
                <w:szCs w:val="20"/>
                <w:color w:val="auto"/>
              </w:rPr>
            </w:pPr>
            <w:r>
              <w:rPr>
                <w:rFonts w:ascii="Arial" w:cs="Arial" w:eastAsia="Arial" w:hAnsi="Arial"/>
                <w:sz w:val="16"/>
                <w:szCs w:val="16"/>
                <w:b w:val="1"/>
                <w:bCs w:val="1"/>
                <w:color w:val="auto"/>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26,350</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741,730</w:t>
            </w:r>
          </w:p>
        </w:tc>
        <w:tc>
          <w:tcPr>
            <w:tcW w:w="20" w:type="dxa"/>
            <w:vAlign w:val="bottom"/>
          </w:tcPr>
          <w:p>
            <w:pPr>
              <w:spacing w:after="0"/>
              <w:rPr>
                <w:sz w:val="19"/>
                <w:szCs w:val="19"/>
                <w:color w:val="auto"/>
              </w:rPr>
            </w:pPr>
          </w:p>
        </w:tc>
      </w:tr>
      <w:tr>
        <w:trPr>
          <w:trHeight w:val="222"/>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Total minimum lease commitments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867,318</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Discounting factor</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586,550</w:t>
            </w:r>
          </w:p>
        </w:tc>
        <w:tc>
          <w:tcPr>
            <w:tcW w:w="20" w:type="dxa"/>
            <w:vAlign w:val="bottom"/>
          </w:tcPr>
          <w:p>
            <w:pPr>
              <w:spacing w:after="0"/>
              <w:rPr>
                <w:sz w:val="19"/>
                <w:szCs w:val="19"/>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Finance sub-lease liability</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280,768</w:t>
            </w:r>
          </w:p>
        </w:tc>
        <w:tc>
          <w:tcPr>
            <w:tcW w:w="20" w:type="dxa"/>
            <w:vAlign w:val="bottom"/>
          </w:tcPr>
          <w:p>
            <w:pPr>
              <w:spacing w:after="0"/>
              <w:rPr>
                <w:sz w:val="19"/>
                <w:szCs w:val="19"/>
                <w:color w:val="auto"/>
              </w:rPr>
            </w:pPr>
          </w:p>
        </w:tc>
      </w:tr>
    </w:tbl>
    <w:p>
      <w:pPr>
        <w:spacing w:after="0" w:line="294"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The discount rate for the ground and use leases was determined based on the yield of our current secured borrowings, adjusted to match borrowings of similar terms, and are between 6% and 8%. The weighted average remaining lease term as of September 30, 2021 under our finance leases was 37.0 years.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September 10, 2021, we amended our Articles of Amendment and Restatement to increase: (i) the number of shares of stock that we are authorized to issue from 1,000,000,000 to 1,400,000,000, (ii) the number of shares of common stock, par value $0.01 per share, that we are authorized to issue from 950,000,000 to 1,350,000,000, and (iii) the aggregate par value of all authorized shares of our stock having par value from $10,000,000 to $14,000,000, in order to have sufficient authorized shares to complete the MGP Transactions, which remain subject to customary closing conditions, regulatory approvals and approval by the stockholders of the Company. We had previously amended our Articles of Amendment and Restatement, effective March 2, 2021, to increase: (i) the number of shares of stock that we were authorized to issue from 750,000,000 to 1,000,000,000, (ii) the number of shares of common stock, par value $0.01 per share, that we were authorized to issue from 700,000,000 to 950,000,000, and (iii) the aggregate par value of all authorized shares of our stock having par value from $7,500,000 to $10,000,000. As of September 30, 2021, we have the authority to issue 1,400,000,000 shares of stock, consisting of 1,350,000,000 shares of common stock, $0.01 par value per share, and 50,000,000 shares of preferred stock, $0.01 par value per share.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2021 Offering</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14, 2021, we completed a primary follow-on offering of 115,000,000 shares of common stock consisting of (i) 65,000,000 shares of common stock (including 15,000,000 shares sold pursuant to the exercise in full of the underwriters’ option to purchase additional common stock) and (ii) 50,000,000 shares of common stock that were subject to forward sale agreements (collectively the “September 2021 Forward Sale Agreements”), which require settlement by September 9, 2022, in each case at a public offering price of $29.50 per share for an aggregate offering value of $3.4 billion, resulting in net proceeds, after deduction of the underwriting discount and expenses, of $1,859.0 million from the sale of the 65,000,000 shares (including 15,000,000 shares sold pursuant to the exercise in full of the underwriters’ option to purchase additional common stock). We did not initially receive any proceeds from the sale of the 50,000,000 shares subject to the September 2021 Forward Sale Agreements, which were sold to the underwriters by the forward purchasers or their respective affiliates and remain subject to settlement in accordance with the terms of the September 2021 Forward Sale Agreements. We determined that the September 2021 Forward Sale Agreements meet the criteria for equity classification and are therefore exempt from derivative accounting. We recorded the September 2021 Forward Sale Agreements at fair value at inception, which we determined to be zero. Subsequent changes to fair value are not required under equity classification.</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settle the 50,000,000 shares under the September 2021 Forward Sale Agreements entirely by the physical delivery of shares of our common stock in exchange for cash proceeds, although we may elect cash settlement or net share settlement for all or a portion of our obligations under the September 2021 Forward Sale Agreements. As of September 30, 2021, the forward share price was $28.25 and would result in us receiving approximately $1,412.3 million in cash proceeds if we were to physically settle the shares under the September 2021 Forward Sale Agreements. Alternatively, if we were to net cash settle the shares under the September 2021 Forward Sale Agreements, it would result in a cash outflow of $8.2 million or, if we were to net share settle the shares under the September 2021 Forward Sale Agreements, it would result in us delivering approximately 0.3 million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Offering</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4, 2021, we completed a primary follow-on offering of 69,000,000 shares of common stock (inclusive of 9,000,000 shares sold pursuant to the exercise in full of the underwriters’ option to purchase additional common stock) at a public offering price of $29.00 per share for an aggregate offering value of $2,001.0 million, all of which are subject to forward sale agreements (the “March 2021 Forward Sale Agreements”), which require settlement by March 4, 2022. We did not initially receive any proceeds from the sale of the shares of common stock in the offering, which were sold to the underwriters by the forward purchasers or their respective affiliates. We determined that the March 2021 Forward Sale Agreements meet the criteria for equity classification and are therefore exempt from derivative accounting. We recorded the March 2021 Forward Sale Agreements at fair value at inception, which we determined to be zero. Subsequent changes to fair value are not required under equity classification.</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settle the 69,000,000 shares under the March 2021 Forward Sale Agreements entirely by the physical delivery of shares of our common stock in exchange for cash proceeds, although we may elect cash settlement or net share settlement for all or a portion of our obligations under the March 2021 Forward Sale Agreements. As of September 30, 2021, the forward share price was $26.93 and would result in us receiving approximately $1,858.3 million in cash proceeds if we were to physically settle the shares under the March 2021 Forward Sale Agreements. Alternatively, if we were to net cash settle the shares under the March 2021 Forward Sale Agreements, it would result in a cash outflow of $102.0 million or, if we were to net share settle the shares under the March 2021 Forward Sale Agreements, it would result in us delivering approximately 3.6 million shares.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are subject to a forward sale agreement (the “June 2020 Forward Sale Agreement”), which initially required settlement by September 17, 2020. On September 16, 2020, we amended the June 2020 Forward Sale Agreement to extend the maturity date from September 17, 2020 to June 17, 2021. On April 26, 2021, we further amended the June 2020 Forward Sale Agreement to extend the maturity date from June 17, 2021 to December 17, 2021. We did not initially receive any proceeds from the sale of the shares of common stock in the offering, which were sold to the underwriters by the forward purchaser or its affiliates. We determined that the June 2020 Forward Sale Agreement meets the criteria for equity classification and is therefore exempt from derivative accounting. We recorded the June 2020 Forward Sale Agreement at fair value at inception, which we determined to be zero. Subsequent changes to fair value are not required under equity classification.</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28, 2020, we partially settled the June 2020 Forward Sale Agreement by delivering 3,000,000 shares of our common stock to the forward purchaser, in exchange for total net proceeds of approximately $63.0 million, which was calculated based on the net forward sale price on the settlement date of $21.04 per share. On September 9, 2021, we physically settled the remaining shares under the June 2020 Forward Sale Agreement by delivering 26,900,000 shares of our common stock to the forward purchaser in exchange for total net proceeds of approximately $526.9 million, which was calculated based on the net forward sale price on the settlement date of $19.59 per share. The physical settlements of the June 2020 Forward Sale Agreement were calculated based on the initial forward sale price per share of $21.37, as adjusted for a floating interest rate factor and other fixed amounts based on the passage of time, as specified in the June 2020 Forward Sale Agreement.</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shares of common stock issuable upon settlement of any outstanding forward sale agreements are reflected in our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shares under the outstanding forward sale agreements over the number of shares of common stock that could be purchased by us in the market (based on the average market price during the period) using the proceeds receivable upon physical settlement of the remaining shares (based on the adjusted forward sales price at the end of the reporting period). If and when we physically settle the shares under the outstanding forward sale agreements, the delivery of shares of our common stock will result in an increase in the number of shares of common stock outstanding and dilution to our earnings per share. We intend to use the net proceeds upon settlement of the shares under the September 2021 Forward Sale Agreements and March 2021 Forward Sale Agreements to fund a portion of the purchase price of the Venetian Acquisition and for general corporate purposes, which may include future transactions, the acquisition, development and improvement of properties, capital expenditures, working capital and the repayment of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2021, we entered into an equity distribution agreement (the “ATM Agreement”) pursuant to which we may sell, from time to time, up to an aggregate sales price of $1,000.0 million of our common stock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During the nine months ended September 30, 2020, we sold a total of 7,500,000 shares under our previous at-the-market offering program (which was terminated in connection with our entry into the ATM Program) for net proceeds of $200.0 million. During the nine months ended September 30, 2021, we did not sell any shares under the ATM Program. We have no obligation to sell the remaining shares available for sale under the ATM Program.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5"/>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January 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536,669,722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461,004,742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in primary follow-on offerings</w:t>
            </w:r>
          </w:p>
        </w:tc>
        <w:tc>
          <w:tcPr>
            <w:tcW w:w="2000" w:type="dxa"/>
            <w:vAlign w:val="bottom"/>
          </w:tcPr>
          <w:p>
            <w:pPr>
              <w:jc w:val="right"/>
              <w:spacing w:after="0"/>
              <w:rPr>
                <w:sz w:val="20"/>
                <w:szCs w:val="20"/>
                <w:color w:val="auto"/>
              </w:rPr>
            </w:pPr>
            <w:r>
              <w:rPr>
                <w:rFonts w:ascii="Arial" w:cs="Arial" w:eastAsia="Arial" w:hAnsi="Arial"/>
                <w:sz w:val="18"/>
                <w:szCs w:val="18"/>
                <w:color w:val="auto"/>
              </w:rPr>
              <w:t>65,000,000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Issuance of common stock upon physical settlement of forward sale agreements </w:t>
            </w:r>
            <w:r>
              <w:rPr>
                <w:rFonts w:ascii="Arial" w:cs="Arial" w:eastAsia="Arial" w:hAnsi="Arial"/>
                <w:sz w:val="23"/>
                <w:szCs w:val="23"/>
                <w:i w:val="1"/>
                <w:iCs w:val="1"/>
                <w:color w:val="auto"/>
                <w:vertAlign w:val="superscript"/>
              </w:rPr>
              <w:t>(1)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68,000,000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under the at-the-market offering program</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175"/>
        </w:trPr>
        <w:tc>
          <w:tcPr>
            <w:tcW w:w="7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Issuance of restricted and unrestricted common stock under the stock incentive program, net of</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375,165</w:t>
            </w:r>
          </w:p>
        </w:tc>
        <w:tc>
          <w:tcPr>
            <w:tcW w:w="100" w:type="dxa"/>
            <w:vAlign w:val="bottom"/>
            <w:shd w:val="clear" w:color="auto" w:fill="CCEEFF"/>
          </w:tcPr>
          <w:p>
            <w:pPr>
              <w:spacing w:after="0"/>
              <w:rPr>
                <w:sz w:val="15"/>
                <w:szCs w:val="15"/>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164,037</w:t>
            </w:r>
          </w:p>
        </w:tc>
        <w:tc>
          <w:tcPr>
            <w:tcW w:w="0" w:type="dxa"/>
            <w:vAlign w:val="bottom"/>
          </w:tcPr>
          <w:p>
            <w:pPr>
              <w:spacing w:after="0"/>
              <w:rPr>
                <w:sz w:val="1"/>
                <w:szCs w:val="1"/>
                <w:color w:val="auto"/>
              </w:rPr>
            </w:pPr>
          </w:p>
        </w:tc>
      </w:tr>
      <w:tr>
        <w:trPr>
          <w:trHeight w:val="23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2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Ending Balance September 30,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628,944,887</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536,668,779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340" w:hanging="332"/>
        <w:spacing w:after="0" w:line="254" w:lineRule="auto"/>
        <w:tabs>
          <w:tab w:leader="none" w:pos="332"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50,000,000 and 69,000,000 remaining shares subject to the September 2021 Forward Sale Agreements and March 2021 Forward Sale Agreements, respectively, as such shares are not yet settled.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nine months ended September 30, 2021 and 2020 were as follows: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Nine Months Ended September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Payment Date</w:t>
            </w:r>
          </w:p>
        </w:tc>
        <w:tc>
          <w:tcPr>
            <w:tcW w:w="34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1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 2021 - March 31, 2021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29"/>
        </w:trPr>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2021</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24, 2021</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8, 2021</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April 1, 2021 - June 30, 2021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0.3300</w:t>
            </w:r>
          </w:p>
        </w:tc>
      </w:tr>
      <w:tr>
        <w:trPr>
          <w:trHeight w:val="229"/>
        </w:trPr>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4, 2021</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24, 2021</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7, 2021</w:t>
            </w:r>
          </w:p>
        </w:tc>
        <w:tc>
          <w:tcPr>
            <w:tcW w:w="3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2021 - September 30, 2021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0.3600</w:t>
            </w:r>
          </w:p>
        </w:tc>
      </w:tr>
      <w:tr>
        <w:trPr>
          <w:trHeight w:val="320"/>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Nine Months Ended September 30, 2020</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09"/>
        </w:trPr>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Payment Date</w:t>
            </w: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Pr>
          <w:p>
            <w:pPr>
              <w:spacing w:after="0"/>
              <w:rPr>
                <w:sz w:val="18"/>
                <w:szCs w:val="18"/>
                <w:color w:val="auto"/>
              </w:rPr>
            </w:pPr>
          </w:p>
        </w:tc>
        <w:tc>
          <w:tcPr>
            <w:tcW w:w="1480" w:type="dxa"/>
            <w:vAlign w:val="bottom"/>
          </w:tcPr>
          <w:p>
            <w:pPr>
              <w:jc w:val="right"/>
              <w:ind w:right="512"/>
              <w:spacing w:after="0"/>
              <w:rPr>
                <w:sz w:val="20"/>
                <w:szCs w:val="20"/>
                <w:color w:val="auto"/>
              </w:rPr>
            </w:pPr>
            <w:r>
              <w:rPr>
                <w:rFonts w:ascii="Arial" w:cs="Arial" w:eastAsia="Arial" w:hAnsi="Arial"/>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9, 2020</w:t>
            </w:r>
          </w:p>
        </w:tc>
        <w:tc>
          <w:tcPr>
            <w:tcW w:w="1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 2020 - March 31, 2020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r>
      <w:tr>
        <w:trPr>
          <w:trHeight w:val="229"/>
        </w:trPr>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11, 2020</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30, 2020</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10, 2020</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April 1, 2020 - June 30, 2020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0.2975</w:t>
            </w:r>
          </w:p>
        </w:tc>
      </w:tr>
      <w:tr>
        <w:trPr>
          <w:trHeight w:val="229"/>
        </w:trPr>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10, 2020</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30, 2020</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8, 2020</w:t>
            </w:r>
          </w:p>
        </w:tc>
        <w:tc>
          <w:tcPr>
            <w:tcW w:w="3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2020 - September 30, 2020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0.3300</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w:t>
      </w:r>
    </w:p>
    <w:p>
      <w:pPr>
        <w:spacing w:after="0" w:line="164"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The shares issuable upon settlement of any outstanding forward sale agreements, as described in </w:t>
      </w:r>
      <w:hyperlink w:anchor="page48">
        <w:r>
          <w:rPr>
            <w:rFonts w:ascii="Arial" w:cs="Arial" w:eastAsia="Arial" w:hAnsi="Arial"/>
            <w:sz w:val="16"/>
            <w:szCs w:val="16"/>
            <w:u w:val="single" w:color="auto"/>
            <w:color w:val="0000FF"/>
          </w:rPr>
          <w:t>Note 11 - Stockholders' Equity</w:t>
        </w:r>
      </w:hyperlink>
      <w:r>
        <w:rPr>
          <w:rFonts w:ascii="Arial" w:cs="Arial" w:eastAsia="Arial" w:hAnsi="Arial"/>
          <w:sz w:val="16"/>
          <w:szCs w:val="16"/>
          <w:color w:val="auto"/>
        </w:rPr>
        <w:t>, are reflected in the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shares under the outstanding forward sale agreements, the delivery of shares of common stock will result in an increase in the number of shares outstanding and dilution to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2"/>
              </w:rPr>
              <w:t>Three Months Ended</w:t>
            </w:r>
          </w:p>
        </w:tc>
        <w:tc>
          <w:tcPr>
            <w:tcW w:w="320" w:type="dxa"/>
            <w:vAlign w:val="bottom"/>
          </w:tcPr>
          <w:p>
            <w:pPr>
              <w:spacing w:after="0"/>
              <w:rPr>
                <w:sz w:val="16"/>
                <w:szCs w:val="16"/>
                <w:color w:val="auto"/>
              </w:rPr>
            </w:pPr>
          </w:p>
        </w:tc>
        <w:tc>
          <w:tcPr>
            <w:tcW w:w="2580" w:type="dxa"/>
            <w:vAlign w:val="bottom"/>
            <w:gridSpan w:val="4"/>
          </w:tcPr>
          <w:p>
            <w:pPr>
              <w:jc w:val="center"/>
              <w:ind w:right="272"/>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r>
      <w:tr>
        <w:trPr>
          <w:trHeight w:val="171"/>
        </w:trPr>
        <w:tc>
          <w:tcPr>
            <w:tcW w:w="536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80" w:type="dxa"/>
            <w:vAlign w:val="bottom"/>
          </w:tcPr>
          <w:p>
            <w:pPr>
              <w:jc w:val="right"/>
              <w:ind w:right="454"/>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452"/>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4"/>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2"/>
              <w:spacing w:after="0" w:line="171" w:lineRule="exact"/>
              <w:rPr>
                <w:sz w:val="20"/>
                <w:szCs w:val="20"/>
                <w:color w:val="auto"/>
              </w:rPr>
            </w:pPr>
            <w:r>
              <w:rPr>
                <w:rFonts w:ascii="Arial" w:cs="Arial" w:eastAsia="Arial" w:hAnsi="Arial"/>
                <w:sz w:val="16"/>
                <w:szCs w:val="16"/>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2"/>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Determination of shares: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555,154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533,408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542,844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496,003</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Assumed conversion of restricted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Assumed settlement of forward sale agreements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571,895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2"/>
              </w:rPr>
              <w:t>Three Months Ended</w:t>
            </w:r>
          </w:p>
        </w:tc>
        <w:tc>
          <w:tcPr>
            <w:tcW w:w="320" w:type="dxa"/>
            <w:vAlign w:val="bottom"/>
          </w:tcPr>
          <w:p>
            <w:pPr>
              <w:spacing w:after="0"/>
              <w:rPr>
                <w:sz w:val="24"/>
                <w:szCs w:val="24"/>
                <w:color w:val="auto"/>
              </w:rPr>
            </w:pPr>
          </w:p>
        </w:tc>
        <w:tc>
          <w:tcPr>
            <w:tcW w:w="2580" w:type="dxa"/>
            <w:vAlign w:val="bottom"/>
            <w:gridSpan w:val="4"/>
          </w:tcPr>
          <w:p>
            <w:pPr>
              <w:jc w:val="center"/>
              <w:ind w:right="272"/>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r>
      <w:tr>
        <w:trPr>
          <w:trHeight w:val="171"/>
        </w:trPr>
        <w:tc>
          <w:tcPr>
            <w:tcW w:w="536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4"/>
                <w:szCs w:val="14"/>
                <w:color w:val="auto"/>
              </w:rPr>
            </w:pPr>
          </w:p>
        </w:tc>
        <w:tc>
          <w:tcPr>
            <w:tcW w:w="1080" w:type="dxa"/>
            <w:vAlign w:val="bottom"/>
          </w:tcPr>
          <w:p>
            <w:pPr>
              <w:jc w:val="right"/>
              <w:ind w:right="454"/>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452"/>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4"/>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2"/>
              <w:spacing w:after="0" w:line="171" w:lineRule="exact"/>
              <w:rPr>
                <w:sz w:val="20"/>
                <w:szCs w:val="20"/>
                <w:color w:val="auto"/>
              </w:rPr>
            </w:pPr>
            <w:r>
              <w:rPr>
                <w:rFonts w:ascii="Arial" w:cs="Arial" w:eastAsia="Arial" w:hAnsi="Arial"/>
                <w:sz w:val="16"/>
                <w:szCs w:val="16"/>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161,862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398,274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732,372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603,664</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555,154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533,408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496,003</w:t>
            </w:r>
          </w:p>
        </w:tc>
      </w:tr>
      <w:tr>
        <w:trPr>
          <w:trHeight w:val="222"/>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Basic EPS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5360" w:type="dxa"/>
            <w:vAlign w:val="bottom"/>
            <w:gridSpan w:val="4"/>
          </w:tcPr>
          <w:p>
            <w:pPr>
              <w:ind w:left="20"/>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603,664</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571,895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499,982</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September 30, 2021, 11,588,589 shares of common stock remained available for issuance by us as equity awards under the Plan.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320" w:type="dxa"/>
            <w:vAlign w:val="bottom"/>
          </w:tcPr>
          <w:p>
            <w:pPr>
              <w:spacing w:after="0"/>
              <w:rPr>
                <w:sz w:val="16"/>
                <w:szCs w:val="16"/>
                <w:color w:val="auto"/>
              </w:rPr>
            </w:pPr>
          </w:p>
        </w:tc>
        <w:tc>
          <w:tcPr>
            <w:tcW w:w="2580" w:type="dxa"/>
            <w:vAlign w:val="bottom"/>
            <w:gridSpan w:val="4"/>
          </w:tcPr>
          <w:p>
            <w:pPr>
              <w:jc w:val="center"/>
              <w:ind w:right="275"/>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656"/>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r>
      <w:tr>
        <w:trPr>
          <w:trHeight w:val="171"/>
        </w:trPr>
        <w:tc>
          <w:tcPr>
            <w:tcW w:w="5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240" w:type="dxa"/>
            <w:vAlign w:val="bottom"/>
          </w:tcPr>
          <w:p>
            <w:pPr>
              <w:jc w:val="right"/>
              <w:ind w:right="436"/>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5"/>
              <w:spacing w:after="0" w:line="171" w:lineRule="exact"/>
              <w:rPr>
                <w:sz w:val="20"/>
                <w:szCs w:val="20"/>
                <w:color w:val="auto"/>
              </w:rPr>
            </w:pPr>
            <w:r>
              <w:rPr>
                <w:rFonts w:ascii="Arial" w:cs="Arial" w:eastAsia="Arial" w:hAnsi="Arial"/>
                <w:sz w:val="16"/>
                <w:szCs w:val="16"/>
                <w:b w:val="1"/>
                <w:bCs w:val="1"/>
                <w:color w:val="auto"/>
                <w:w w:val="95"/>
              </w:rPr>
              <w:t>2020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7"/>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55"/>
              <w:spacing w:after="0" w:line="171" w:lineRule="exact"/>
              <w:rPr>
                <w:sz w:val="20"/>
                <w:szCs w:val="20"/>
                <w:color w:val="auto"/>
              </w:rPr>
            </w:pPr>
            <w:r>
              <w:rPr>
                <w:rFonts w:ascii="Arial" w:cs="Arial" w:eastAsia="Arial" w:hAnsi="Arial"/>
                <w:sz w:val="16"/>
                <w:szCs w:val="16"/>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2"/>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r>
      <w:tr>
        <w:trPr>
          <w:trHeight w:val="90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56"/>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80" w:type="dxa"/>
            <w:vAlign w:val="bottom"/>
            <w:gridSpan w:val="5"/>
          </w:tcPr>
          <w:p>
            <w:pPr>
              <w:ind w:left="560"/>
              <w:spacing w:after="0"/>
              <w:rPr>
                <w:sz w:val="20"/>
                <w:szCs w:val="20"/>
                <w:color w:val="auto"/>
              </w:rPr>
            </w:pPr>
            <w:r>
              <w:rPr>
                <w:rFonts w:ascii="Arial" w:cs="Arial" w:eastAsia="Arial" w:hAnsi="Arial"/>
                <w:sz w:val="16"/>
                <w:szCs w:val="16"/>
                <w:b w:val="1"/>
                <w:bCs w:val="1"/>
                <w:color w:val="auto"/>
              </w:rPr>
              <w:t>Nine Months Ended September 30, 2021</w:t>
            </w:r>
          </w:p>
        </w:tc>
        <w:tc>
          <w:tcPr>
            <w:tcW w:w="388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 September 30, 2020</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60" w:type="dxa"/>
            <w:vAlign w:val="bottom"/>
            <w:tcBorders>
              <w:top w:val="single" w:sz="8" w:color="auto"/>
            </w:tcBorders>
            <w:gridSpan w:val="2"/>
            <w:vMerge w:val="restart"/>
          </w:tcPr>
          <w:p>
            <w:pPr>
              <w:ind w:left="66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12"/>
              <w:spacing w:after="0" w:line="158" w:lineRule="exact"/>
              <w:rPr>
                <w:sz w:val="20"/>
                <w:szCs w:val="20"/>
                <w:color w:val="auto"/>
              </w:rPr>
            </w:pPr>
            <w:r>
              <w:rPr>
                <w:rFonts w:ascii="Arial" w:cs="Arial" w:eastAsia="Arial" w:hAnsi="Arial"/>
                <w:sz w:val="16"/>
                <w:szCs w:val="16"/>
                <w:b w:val="1"/>
                <w:bCs w:val="1"/>
                <w:color w:val="auto"/>
                <w:w w:val="92"/>
              </w:rPr>
              <w:t>Weighted Average Grant</w:t>
            </w:r>
          </w:p>
        </w:tc>
        <w:tc>
          <w:tcPr>
            <w:tcW w:w="10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72"/>
              <w:spacing w:after="0" w:line="158" w:lineRule="exact"/>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75"/>
        </w:trPr>
        <w:tc>
          <w:tcPr>
            <w:tcW w:w="3380" w:type="dxa"/>
            <w:vAlign w:val="bottom"/>
            <w:gridSpan w:val="3"/>
          </w:tcPr>
          <w:p>
            <w:pPr>
              <w:ind w:left="6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Date Fair Value</w:t>
            </w:r>
          </w:p>
        </w:tc>
        <w:tc>
          <w:tcPr>
            <w:tcW w:w="1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jc w:val="right"/>
              <w:ind w:right="392"/>
              <w:spacing w:after="0" w:line="175"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9"/>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9"/>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Outstanding at end of period</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September 30, 2021, there was $12.0 million of unrecognized compensation cost related to non-vested stock-based compensation arrangements under the Plan. This cost is expected to be recognized over a weighted average period of 1.82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our real estate lending activities and represents the substantial majority of our business. The golf course business segment consists of four golf courses, with each being operating segments that are aggregated into one reportable segment.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 presents certain information with respect to our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6"/>
              </w:rPr>
              <w:t>VICI Consolidated</w:t>
            </w:r>
          </w:p>
        </w:tc>
        <w:tc>
          <w:tcPr>
            <w:tcW w:w="0" w:type="dxa"/>
            <w:vAlign w:val="bottom"/>
          </w:tcPr>
          <w:p>
            <w:pPr>
              <w:spacing w:after="0"/>
              <w:rPr>
                <w:sz w:val="1"/>
                <w:szCs w:val="1"/>
                <w:color w:val="auto"/>
              </w:rPr>
            </w:pPr>
          </w:p>
        </w:tc>
      </w:tr>
      <w:tr>
        <w:trPr>
          <w:trHeight w:val="175"/>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339,653</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(165,099)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(77,399)</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upon lease modification</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w w:val="97"/>
              </w:rPr>
              <w:t>Loss on extinguishment of debt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395,850</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396,218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17,548,804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16,761,134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16,851,830</w:t>
            </w:r>
          </w:p>
        </w:tc>
        <w:tc>
          <w:tcPr>
            <w:tcW w:w="0" w:type="dxa"/>
            <w:vAlign w:val="bottom"/>
          </w:tcPr>
          <w:p>
            <w:pPr>
              <w:spacing w:after="0"/>
              <w:rPr>
                <w:sz w:val="1"/>
                <w:szCs w:val="1"/>
                <w:color w:val="auto"/>
              </w:rPr>
            </w:pPr>
          </w:p>
        </w:tc>
      </w:tr>
      <w:tr>
        <w:trPr>
          <w:trHeight w:val="230"/>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5,402,358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17,660</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5,420,018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7,465,576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16,715</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7,482,291</w:t>
            </w: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6"/>
              </w:rPr>
              <w:t>VICI Consolidated</w:t>
            </w:r>
          </w:p>
        </w:tc>
        <w:tc>
          <w:tcPr>
            <w:tcW w:w="0" w:type="dxa"/>
            <w:vAlign w:val="bottom"/>
          </w:tcPr>
          <w:p>
            <w:pPr>
              <w:spacing w:after="0"/>
              <w:rPr>
                <w:sz w:val="1"/>
                <w:szCs w:val="1"/>
                <w:color w:val="auto"/>
              </w:rPr>
            </w:pPr>
          </w:p>
        </w:tc>
      </w:tr>
      <w:tr>
        <w:trPr>
          <w:trHeight w:val="175"/>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852,556</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(321,953)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(231,185)</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upon lease modification</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w w:val="97"/>
              </w:rPr>
              <w:t>Loss on extinguishment of debt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(39,059)</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606,191</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605,796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17,548,804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16,761,134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16,851,830</w:t>
            </w:r>
          </w:p>
        </w:tc>
        <w:tc>
          <w:tcPr>
            <w:tcW w:w="0" w:type="dxa"/>
            <w:vAlign w:val="bottom"/>
          </w:tcPr>
          <w:p>
            <w:pPr>
              <w:spacing w:after="0"/>
              <w:rPr>
                <w:sz w:val="1"/>
                <w:szCs w:val="1"/>
                <w:color w:val="auto"/>
              </w:rPr>
            </w:pPr>
          </w:p>
        </w:tc>
      </w:tr>
      <w:tr>
        <w:trPr>
          <w:trHeight w:val="230"/>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5,402,358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17,660</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5,420,018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7,465,576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16,715</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7,482,291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Subsequent Events</w:t>
      </w:r>
    </w:p>
    <w:p>
      <w:pPr>
        <w:spacing w:after="0" w:line="245" w:lineRule="exact"/>
        <w:rPr>
          <w:sz w:val="20"/>
          <w:szCs w:val="20"/>
          <w:color w:val="auto"/>
        </w:rPr>
      </w:pPr>
    </w:p>
    <w:p>
      <w:pPr>
        <w:jc w:val="both"/>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We have evaluated subsequent events and, except for the Second JACK Lease Agreement Amendment, the repayment of the ROV Term Loan and the termination of the ROV Credit Facility and the Amended and Restated ROV Loan on October 4, 2021 (as described in </w:t>
      </w:r>
      <w:hyperlink w:anchor="page17">
        <w:r>
          <w:rPr>
            <w:rFonts w:ascii="Arial" w:cs="Arial" w:eastAsia="Arial" w:hAnsi="Arial"/>
            <w:sz w:val="18"/>
            <w:szCs w:val="18"/>
            <w:u w:val="single" w:color="auto"/>
            <w:color w:val="0000FF"/>
          </w:rPr>
          <w:t>Note 3 - Property Transactions</w:t>
        </w:r>
      </w:hyperlink>
      <w:r>
        <w:rPr>
          <w:rFonts w:ascii="Arial" w:cs="Arial" w:eastAsia="Arial" w:hAnsi="Arial"/>
          <w:sz w:val="18"/>
          <w:szCs w:val="18"/>
          <w:color w:val="auto"/>
        </w:rPr>
        <w:t xml:space="preserve">), and the payment of dividends on October 7, 2021 (as described in </w:t>
      </w:r>
      <w:hyperlink w:anchor="page48">
        <w:r>
          <w:rPr>
            <w:rFonts w:ascii="Arial" w:cs="Arial" w:eastAsia="Arial" w:hAnsi="Arial"/>
            <w:sz w:val="18"/>
            <w:szCs w:val="18"/>
            <w:u w:val="single" w:color="auto"/>
            <w:color w:val="0000FF"/>
          </w:rPr>
          <w:t>Note 11 - Stockholders’ Equity</w:t>
        </w:r>
      </w:hyperlink>
      <w:r>
        <w:rPr>
          <w:rFonts w:ascii="Arial" w:cs="Arial" w:eastAsia="Arial" w:hAnsi="Arial"/>
          <w:sz w:val="18"/>
          <w:szCs w:val="18"/>
          <w:color w:val="auto"/>
        </w:rPr>
        <w:t>), there were no other events relative to the Financial Statements that require additional disclosure.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4" w:lineRule="exact"/>
        <w:rPr>
          <w:sz w:val="20"/>
          <w:szCs w:val="20"/>
          <w:color w:val="auto"/>
        </w:rPr>
      </w:pPr>
    </w:p>
    <w:p>
      <w:pPr>
        <w:jc w:val="both"/>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of the financial position and operating results of VICI Properties Inc. for the three and nine months ended September 30, 2021 should be read in conjunction with the Financial Statements and related notes thereto and other financial information contained elsewhere in this Quarterly Report on Form 10-Q and the audited consolidated financial statements and related notes for the year ended December 31, 2020, which were included in our </w:t>
      </w:r>
      <w:hyperlink r:id="rId81">
        <w:r>
          <w:rPr>
            <w:rFonts w:ascii="Arial" w:cs="Arial" w:eastAsia="Arial" w:hAnsi="Arial"/>
            <w:sz w:val="17"/>
            <w:szCs w:val="17"/>
            <w:i w:val="1"/>
            <w:iCs w:val="1"/>
            <w:u w:val="single" w:color="auto"/>
            <w:color w:val="0000FF"/>
          </w:rPr>
          <w:t>Annual Report on Form 10-K for the year ended December 31, 2020</w:t>
        </w:r>
      </w:hyperlink>
      <w:r>
        <w:rPr>
          <w:rFonts w:ascii="Arial" w:cs="Arial" w:eastAsia="Arial" w:hAnsi="Arial"/>
          <w:sz w:val="17"/>
          <w:szCs w:val="17"/>
          <w:i w:val="1"/>
          <w:iCs w:val="1"/>
          <w:color w:val="auto"/>
        </w:rPr>
        <w:t xml:space="preserve">. All defined terms included herein have the same meaning as those set forth in the </w:t>
      </w:r>
      <w:hyperlink w:anchor="page8">
        <w:r>
          <w:rPr>
            <w:rFonts w:ascii="Arial" w:cs="Arial" w:eastAsia="Arial" w:hAnsi="Arial"/>
            <w:sz w:val="17"/>
            <w:szCs w:val="17"/>
            <w:i w:val="1"/>
            <w:iCs w:val="1"/>
            <w:u w:val="single" w:color="auto"/>
            <w:color w:val="0000FF"/>
          </w:rPr>
          <w:t>Notes to the Consolidated Financial Statements</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contained within this Quarterly Report on Form 10-Q.</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20" w:lineRule="exact"/>
        <w:rPr>
          <w:sz w:val="20"/>
          <w:szCs w:val="20"/>
          <w:color w:val="auto"/>
        </w:rPr>
      </w:pPr>
    </w:p>
    <w:p>
      <w:pPr>
        <w:jc w:val="both"/>
        <w:spacing w:after="0" w:line="267" w:lineRule="auto"/>
        <w:rPr>
          <w:rFonts w:ascii="Arial" w:cs="Arial" w:eastAsia="Arial" w:hAnsi="Arial"/>
          <w:sz w:val="17"/>
          <w:szCs w:val="17"/>
          <w:color w:val="0000FF"/>
        </w:rPr>
      </w:pPr>
      <w:r>
        <w:rPr>
          <w:rFonts w:ascii="Arial" w:cs="Arial" w:eastAsia="Arial" w:hAnsi="Arial"/>
          <w:sz w:val="17"/>
          <w:szCs w:val="17"/>
          <w:color w:val="auto"/>
        </w:rPr>
        <w:t xml:space="preserve">Currently, one of the most significant factors that could cause actual outcomes to differ materially from our forward-looking statements is the impact of the COVID-19 pandemic on our, and our tenants’ financial condition, results of operations, cash flows and performance. The extent to which the COVID-19 pandemic continues to adversely affect our tenants, and ultimately impacts our business and financial condition, depends on future developments which cannot be predicted with confidence, including the impact of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the ability of our tenants to successfully operate their businesses, including the costs of complying with regulatory requirements necessary to keep their respective facilities open, such as reduced capacity requirements, the need to close any of the facilities after reopening as a result of the COVID-19 pandemic, and the effects of the negotiated capital expenditure reductions and other amendments to the Lease Agreements that we agreed to with certain of its tenants in response to the COVID-19 pandemic. Each of the foregoing could have a material adverse effect on our tenants’ ability to satisfy their obligations under their Lease Agreements with us, including their continued ability to pay rent in a timely manner, or at all, and/or to fund capital expenditures or make other payments required under their </w:t>
      </w:r>
      <w:hyperlink r:id="rId82">
        <w:r>
          <w:rPr>
            <w:rFonts w:ascii="Arial" w:cs="Arial" w:eastAsia="Arial" w:hAnsi="Arial"/>
            <w:sz w:val="17"/>
            <w:szCs w:val="17"/>
            <w:color w:val="auto"/>
          </w:rPr>
          <w:t xml:space="preserve">leases. Investors are cautioned to interpret many of the risks identified under the section entitled “Risk Factors” in our </w:t>
        </w:r>
        <w:r>
          <w:rPr>
            <w:rFonts w:ascii="Arial" w:cs="Arial" w:eastAsia="Arial" w:hAnsi="Arial"/>
            <w:sz w:val="17"/>
            <w:szCs w:val="17"/>
            <w:u w:val="single" w:color="auto"/>
            <w:color w:val="0000FF"/>
          </w:rPr>
          <w:t>Annual Report on Form 10-K for the</w:t>
        </w:r>
      </w:hyperlink>
      <w:r>
        <w:rPr>
          <w:rFonts w:ascii="Arial" w:cs="Arial" w:eastAsia="Arial" w:hAnsi="Arial"/>
          <w:sz w:val="17"/>
          <w:szCs w:val="17"/>
          <w:color w:val="auto"/>
        </w:rPr>
        <w:t xml:space="preserve"> </w:t>
      </w:r>
      <w:hyperlink r:id="rId82">
        <w:r>
          <w:rPr>
            <w:rFonts w:ascii="Arial" w:cs="Arial" w:eastAsia="Arial" w:hAnsi="Arial"/>
            <w:sz w:val="17"/>
            <w:szCs w:val="17"/>
            <w:u w:val="single" w:color="auto"/>
            <w:color w:val="0000FF"/>
          </w:rPr>
          <w:t>year ended December 31, 2020</w:t>
        </w:r>
        <w:r>
          <w:rPr>
            <w:rFonts w:ascii="Arial" w:cs="Arial" w:eastAsia="Arial" w:hAnsi="Arial"/>
            <w:sz w:val="17"/>
            <w:szCs w:val="17"/>
            <w:color w:val="000000"/>
          </w:rPr>
          <w:t>, our Quarterly Reports on Form 10-Q and Current Reports on Form 8-K as being heightened as a result of the ongoing and</w:t>
        </w:r>
      </w:hyperlink>
      <w:r>
        <w:rPr>
          <w:rFonts w:ascii="Arial" w:cs="Arial" w:eastAsia="Arial" w:hAnsi="Arial"/>
          <w:sz w:val="17"/>
          <w:szCs w:val="17"/>
          <w:color w:val="0000FF"/>
        </w:rPr>
        <w:t xml:space="preserve"> </w:t>
      </w:r>
      <w:r>
        <w:rPr>
          <w:rFonts w:ascii="Arial" w:cs="Arial" w:eastAsia="Arial" w:hAnsi="Arial"/>
          <w:sz w:val="17"/>
          <w:szCs w:val="17"/>
          <w:color w:val="000000"/>
        </w:rPr>
        <w:t>numerous adverse impacts of the COVID-19 pandemic.</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risks associated with the pending MGP Transactions, including our ability or failure to complete the pending MGP Transactions and to realize the anticipated benefits of the MGP Transactions, including as a result of delay in completing the pending MGP Transactions; the impact of changes in general economic conditions, including low consumer confidence, unemployment levels and depressed real estate prices resulting from the severity and duration of any downturn in the U.S. or global economy; our dependence on subsidiaries of Caesars, Penn National, Hard Rock, Century Casinos, JACK Entertainment and EBCI (and, following the completion of the pending MGP Transactions and the Venetian Acquisition, MGM and the Venetian Tenant) as tenants of our properties and Caesars, Penn National, Seminole Hard Rock, Century Casinos, Rock Ohio Ventures and EBCI (and, following the completion of the pending MGP Transactions, MGM) or certain of their respective subsidiaries as guarantors of the lease payments and the negative consequences any material adverse effect on their respective businesses could have on us; our borrowers’ ability to repay their outstanding loan obligations to us; our dependence on the gaming industry; our ability to pursue our business and growth strategies may be limited by our substantial debt service requirements and by the requirement that we distribute 90% of our REIT taxable income in order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and the completion of pending transactions on a timely basis, or at all, or the imposition of conditions to such regulatory approvals; the possibility that our tenants may choose not to renew the Lease Agreements following the initial or subsequent terms of the leases; restrictions on our ability to sell our properties subject to the Lease Agreements; Caesars’, Penn National’s, Hard Rock’s, Century Casinos’, JACK Entertainment’s and EBCI’s (and, following the completion of the pending MGP Transactions and the Venetian Acquisition, MGM’s and the Venetian Tenant’s) historical results may not be a reliable indicator of their future results; our substantial amount of indebtedness, including indebtedness to be assumed by us upon consummation of the pending MGP Transactions, and ability to service, refinance and otherwise fulfill our obligations under such indebtedness; our historical financial information may not be reliable indicators of our future results of operations, financial condition and cash flows; our ability to obtain the financing necessary to complete our pending acquisitions or related transactions on the terms we currently expect in a timely manner, or at all; the possibility that our pending transactions may not be completed or that completion may be unduly delayed, and the potential adverse impact on our business, operations and stock price; the possibility that we identify significant environmental, tax, legal or other issues that materially and adversely impact the value of assets acquired or secured as collateral (or other benefits we expect to receive) in any of our pending or recently completed transactions; the effects of our pending and recently completed transactions on us, including the future impact on our financial condition, financial and operating results, cash flows, strategy and plans; the impact of changes to the U.S. Federal income tax laws; the impact and outcome of current and potential litigation relating to the pending MGP Transactions, including the possibility that any adverse judgment may prevent the pending MGP Transactions from being consummated on a timely basis, or at all; the possibility of adverse tax consequences as a result of our pending transactions; increased volatility in our stock price as a result of our pending transactions; the possibility of foreclosure on our properties if we are unable to meet required debt service payments; the impact of a rise in interest rates on us; our inability to successfully pursue investments in, and acquisitions of, additional properties; the impact of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inability to maintain our qualification for taxation as a REIT; our reliance on distributions received from the Operating Partnership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 on Form 10-K, Quarterly Reports on Form 10-Q and Current Reports on Form 8-K.</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28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over 47 million square feet, our well-maintained properties are currently located across urban, destination and drive-to markets in twelve states, contain approximately 17,800 hotel rooms and feature over 200 restaurants, bars and nightclubs.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portfolio also includes four real estate debt investments, which we have originated for strategic reasons in connection with transactions that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1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lease our properties to subsidiaries of Caesars, Penn National, Hard Rock, Century Casinos, JACK Entertainment and EBCI, with Caesars being our largest tenant. We believe we have a mutually beneficial relationship with each of Caesars, Penn National, Hard Rock, Century Casinos, JACK Entertainment and EBCI, all of which are leading owners and operators of gaming, entertainment and leisure properties. Our long-term triple-net Lease Agreements with subsidiaries of our operators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 Despite the ongoing uncertainty surrounding the COVID-19 pandemic, we continue to evaluate and opportunistically pursue accretive acquisitions or investments that arise in the market.</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(subject in certain cases to temporary relief we granted certain tenants on a portion of their capital expenditure obligations in connection with the impact of the COVID-19 pandemic),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macroeconomic impact of the COVID-19 pandemic and market conditions more broadly. We conduct our real property business through our Operating Partnership and our golf course business through a taxable REIT subsidiary (a “TRS”), VICI Golf.</w:t>
      </w:r>
    </w:p>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financial information included in this Quarterly Report on Form 10-Q is our consolidated results (including the real property business and the golf course business) for the three and nine months ended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state governments and/or regulatory authorities issuing various directives, mandates, orders or similar actions, which resulted in temporary closures of our tenants’ operations at all of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state and local governments and/or regulatory authorities. While our tenants’ recent performance at many of our leased properties has been at or above pre-pandemic levels, they may continue to face additional challenges and uncertainty due to the impact of the COVID-19 pandemic, such as complying with operational and capacity restrictions and ensuring sufficient employee staffing and service levels, and the sustainability of maintaining improved operating margins and financial performance. Due to prior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closures, operating restrictions and other factors, our tenants’ operations, liquidity and financial performance have been adversely affected, and the ongoing nature of the pandemic, including emerging variants, may further impact our tenants’ businesses and, accordingly, our business and financial performance.</w:t>
      </w:r>
    </w:p>
    <w:p>
      <w:pPr>
        <w:spacing w:after="0" w:line="70" w:lineRule="exact"/>
        <w:rPr>
          <w:sz w:val="20"/>
          <w:szCs w:val="20"/>
          <w:color w:val="auto"/>
        </w:rPr>
      </w:pPr>
    </w:p>
    <w:p>
      <w:pPr>
        <w:jc w:val="both"/>
        <w:spacing w:after="0" w:line="269" w:lineRule="auto"/>
        <w:rPr>
          <w:rFonts w:ascii="Arial" w:cs="Arial" w:eastAsia="Arial" w:hAnsi="Arial"/>
          <w:sz w:val="17"/>
          <w:szCs w:val="17"/>
          <w:color w:val="0000FF"/>
        </w:rPr>
      </w:pPr>
      <w:r>
        <w:rPr>
          <w:rFonts w:ascii="Arial" w:cs="Arial" w:eastAsia="Arial" w:hAnsi="Arial"/>
          <w:sz w:val="17"/>
          <w:szCs w:val="17"/>
          <w:color w:val="auto"/>
        </w:rPr>
        <w:t>All of our tenants have fulfilled their rent obligations through October 2021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our tenants’ financial performance and any future operating limitations. These factors may contribute to increased uncertainty with respect to our business and operating results through 2021 and we will continue to closely monitor the impact of the COVID-</w:t>
      </w:r>
      <w:hyperlink r:id="rId82">
        <w:r>
          <w:rPr>
            <w:rFonts w:ascii="Arial" w:cs="Arial" w:eastAsia="Arial" w:hAnsi="Arial"/>
            <w:sz w:val="17"/>
            <w:szCs w:val="17"/>
            <w:color w:val="auto"/>
          </w:rPr>
          <w:t xml:space="preserve">19 pandemic on us and our tenants. For more information, refer to the section entitled “Risk Factors” in our </w:t>
        </w:r>
        <w:r>
          <w:rPr>
            <w:rFonts w:ascii="Arial" w:cs="Arial" w:eastAsia="Arial" w:hAnsi="Arial"/>
            <w:sz w:val="17"/>
            <w:szCs w:val="17"/>
            <w:u w:val="single" w:color="auto"/>
            <w:color w:val="0000FF"/>
          </w:rPr>
          <w:t>Annual Report on Form 10-K for the year</w:t>
        </w:r>
      </w:hyperlink>
      <w:r>
        <w:rPr>
          <w:rFonts w:ascii="Arial" w:cs="Arial" w:eastAsia="Arial" w:hAnsi="Arial"/>
          <w:sz w:val="17"/>
          <w:szCs w:val="17"/>
          <w:color w:val="auto"/>
        </w:rPr>
        <w:t xml:space="preserve"> </w:t>
      </w:r>
      <w:hyperlink r:id="rId82">
        <w:r>
          <w:rPr>
            <w:rFonts w:ascii="Arial" w:cs="Arial" w:eastAsia="Arial" w:hAnsi="Arial"/>
            <w:sz w:val="17"/>
            <w:szCs w:val="17"/>
            <w:u w:val="single" w:color="auto"/>
            <w:color w:val="0000FF"/>
          </w:rPr>
          <w:t>ended December 31, 2020</w:t>
        </w:r>
        <w:r>
          <w:rPr>
            <w:rFonts w:ascii="Arial" w:cs="Arial" w:eastAsia="Arial" w:hAnsi="Arial"/>
            <w:sz w:val="17"/>
            <w:szCs w:val="17"/>
            <w:color w:val="0000FF"/>
          </w:rPr>
          <w:t xml:space="preserve"> </w:t>
        </w:r>
        <w:r>
          <w:rPr>
            <w:rFonts w:ascii="Arial" w:cs="Arial" w:eastAsia="Arial" w:hAnsi="Arial"/>
            <w:sz w:val="17"/>
            <w:szCs w:val="17"/>
            <w:color w:val="000000"/>
          </w:rPr>
          <w:t>and as updated from time to time in our other filings with the SEC.</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Highlights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16" w:lineRule="exact"/>
        <w:rPr>
          <w:sz w:val="20"/>
          <w:szCs w:val="20"/>
          <w:color w:val="auto"/>
        </w:rPr>
      </w:pPr>
    </w:p>
    <w:p>
      <w:pPr>
        <w:ind w:left="640" w:hanging="30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Collected 100% of rent in cash.</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revenues increased 10.6% year-over-year to $375.7 million.</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income attributable to common stockholders was $161.9 million, or $0.28 per diluted share.</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AFFO increased 12.9% year-over-year to $257.4 million and AFFO per diluted share increased 5.9% to $0.45.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16" w:lineRule="exact"/>
        <w:rPr>
          <w:sz w:val="20"/>
          <w:szCs w:val="20"/>
          <w:color w:val="auto"/>
        </w:rPr>
      </w:pPr>
    </w:p>
    <w:p>
      <w:pPr>
        <w:jc w:val="both"/>
        <w:ind w:left="660" w:hanging="329"/>
        <w:spacing w:after="0" w:line="25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Announced the strategic acquisition of MGP for $17.2 billion, which upon closing, will add $1,009.0 million of annualized rent (inclusive of MGP’s pending acquisition of MGM Springfield) to our portfolio from 15 Class A entertainment casino resort properties spread across nine regions and comprising 33,000 hotel rooms, 3.6 million square feet of meeting and convention space and hundreds of food, beverage and entertainment venues. We expect the MGP Transactions, which are subject to regulatory approvals, approval by the Company’s stockholders, and customary closing conditions, to be completed in the first half of 2022.</w:t>
      </w:r>
    </w:p>
    <w:p>
      <w:pPr>
        <w:spacing w:after="0" w:line="81" w:lineRule="exact"/>
        <w:rPr>
          <w:rFonts w:ascii="Arial" w:cs="Arial" w:eastAsia="Arial" w:hAnsi="Arial"/>
          <w:sz w:val="18"/>
          <w:szCs w:val="18"/>
          <w:color w:val="auto"/>
        </w:rPr>
      </w:pPr>
    </w:p>
    <w:p>
      <w:pPr>
        <w:ind w:left="660" w:right="20" w:hanging="329"/>
        <w:spacing w:after="0" w:line="306"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Announced a strategic arrangement with ClubCorp whereby we may provide up to $80.0 million of mortgage financing for the construction of up to five new BigShots Golf™ facilities throughout the United States, subject to the negotiation of definitive documentation.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 and Financing Activity</w:t>
      </w:r>
    </w:p>
    <w:p>
      <w:pPr>
        <w:spacing w:after="0" w:line="116" w:lineRule="exact"/>
        <w:rPr>
          <w:sz w:val="20"/>
          <w:szCs w:val="20"/>
          <w:color w:val="auto"/>
        </w:rPr>
      </w:pPr>
    </w:p>
    <w:p>
      <w:pPr>
        <w:ind w:left="660" w:hanging="329"/>
        <w:spacing w:after="0" w:line="27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Announced an increase in our quarterly cash dividend to $0.36 per share (or $1.44 per share on an annualized basis), representing a 9.1% increase compared to our previous quarterly dividend.</w:t>
      </w:r>
    </w:p>
    <w:p>
      <w:pPr>
        <w:spacing w:after="0" w:line="8" w:lineRule="exact"/>
        <w:rPr>
          <w:rFonts w:ascii="Arial" w:cs="Arial" w:eastAsia="Arial" w:hAnsi="Arial"/>
          <w:sz w:val="18"/>
          <w:szCs w:val="18"/>
          <w:color w:val="auto"/>
        </w:rPr>
      </w:pPr>
    </w:p>
    <w:p>
      <w:pPr>
        <w:ind w:left="660" w:hanging="329"/>
        <w:spacing w:after="0" w:line="297"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Completed an equity offering of 115,000,000 shares at $29.50 per share for an aggregate offering value of $3.4 billion, of which 65,000,000 shares were issued and sold by us and 50,000,000 shares were sold through the September 2021 Forward Sale Agreements.</w:t>
      </w:r>
    </w:p>
    <w:p>
      <w:pPr>
        <w:spacing w:after="0" w:line="1" w:lineRule="exact"/>
        <w:rPr>
          <w:rFonts w:ascii="Arial" w:cs="Arial" w:eastAsia="Arial" w:hAnsi="Arial"/>
          <w:sz w:val="17"/>
          <w:szCs w:val="17"/>
          <w:color w:val="auto"/>
        </w:rPr>
      </w:pPr>
    </w:p>
    <w:p>
      <w:pPr>
        <w:ind w:left="660" w:hanging="329"/>
        <w:spacing w:after="0" w:line="27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Settled the remaining 26,900,000 shares of the Company's outstanding June 2020 Forward Sale Agreement for net proceeds of approximately $526.9 million.</w:t>
      </w:r>
    </w:p>
    <w:p>
      <w:pPr>
        <w:spacing w:after="0" w:line="8" w:lineRule="exact"/>
        <w:rPr>
          <w:rFonts w:ascii="Arial" w:cs="Arial" w:eastAsia="Arial" w:hAnsi="Arial"/>
          <w:sz w:val="18"/>
          <w:szCs w:val="18"/>
          <w:color w:val="auto"/>
        </w:rPr>
      </w:pPr>
    </w:p>
    <w:p>
      <w:pPr>
        <w:jc w:val="both"/>
        <w:ind w:left="660" w:hanging="329"/>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Used the proceeds from the September 2021 equity offering and settlement of the June 2020 Forward Sale Agreement to repay in full the $2.1 billion Term Loan B Facility and settle the outstanding interest rate swap agreements. As of September 30, 2021, we have a $1.0 billion secured revolving facility available and had no outstanding secured debt.</w:t>
      </w:r>
    </w:p>
    <w:p>
      <w:pPr>
        <w:spacing w:after="0" w:line="19" w:lineRule="exact"/>
        <w:rPr>
          <w:rFonts w:ascii="Arial" w:cs="Arial" w:eastAsia="Arial" w:hAnsi="Arial"/>
          <w:sz w:val="18"/>
          <w:szCs w:val="18"/>
          <w:color w:val="auto"/>
        </w:rPr>
      </w:pPr>
    </w:p>
    <w:p>
      <w:pPr>
        <w:jc w:val="both"/>
        <w:ind w:left="660" w:hanging="329"/>
        <w:spacing w:after="0" w:line="311"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Obtained the requisite participation and consents to the Exchange Offers and Consent Solicitations to (i) exchange the MGP OP Notes tendered in the Exchange Offer for new notes to be issued by the VICI Issuers on or about the closing of the MGP Transactions and (ii) amend the MGP OP Notes Indentures to eliminate or modify certain of the covenants, restrictions, provisions and events of default in each of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70" w:lineRule="exact"/>
        <w:rPr>
          <w:sz w:val="20"/>
          <w:szCs w:val="20"/>
          <w:color w:val="auto"/>
        </w:rPr>
      </w:pPr>
    </w:p>
    <w:p>
      <w:pPr>
        <w:jc w:val="both"/>
        <w:ind w:left="660" w:hanging="329"/>
        <w:spacing w:after="0" w:line="255" w:lineRule="auto"/>
        <w:tabs>
          <w:tab w:leader="none" w:pos="655"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MGP Transactions. </w:t>
      </w:r>
      <w:r>
        <w:rPr>
          <w:rFonts w:ascii="Arial" w:cs="Arial" w:eastAsia="Arial" w:hAnsi="Arial"/>
          <w:sz w:val="18"/>
          <w:szCs w:val="18"/>
          <w:color w:val="auto"/>
        </w:rPr>
        <w:t>On August 4, 2021 we, MGP and MGM, MGP’s controlling shareholder, announced that we entered into the MGP Master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Agreement, pursuant to which we will acquire MGP for total consideration of $17.2 billion, inclusive of the assumption of approximately $5.7 billion of debt. MGP is a publicly traded gaming REIT and the transaction will add $1,009.0 million of annualized rent (inclusive of MGP’s pending acquisition of MGM Springfield) to our portfolio from 15 Class A entertainment casino resort properties spread across nine regions and comprising 33,000 hotel rooms, 3.6 million square feet of meeting and convention space and hundreds of food, beverage and entertainment venues.</w:t>
      </w:r>
    </w:p>
    <w:p>
      <w:pPr>
        <w:spacing w:after="0" w:line="135" w:lineRule="exact"/>
        <w:rPr>
          <w:rFonts w:ascii="Arial" w:cs="Arial" w:eastAsia="Arial" w:hAnsi="Arial"/>
          <w:sz w:val="18"/>
          <w:szCs w:val="18"/>
          <w:b w:val="1"/>
          <w:bCs w:val="1"/>
          <w:i w:val="1"/>
          <w:iCs w:val="1"/>
          <w:color w:val="auto"/>
        </w:rPr>
      </w:pPr>
    </w:p>
    <w:p>
      <w:pPr>
        <w:jc w:val="both"/>
        <w:ind w:left="66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Under the terms of the MGP Master Transaction Agreement, holders of MGP Common Shares will receive 1.366 shares of our newly issued common stock in exchange for each Class A common share of MGP. The fixed Exchange Ratio represents an agreed upon price of $43.00 per share of MGP Class A common shares based on our trailing 5-day volume weighted average price of $31.47 as of July 30, 2021. MGM will receive $43.00 per unit in cash for the redemption of the majority of its MGP Operating Partnership units that it holds for total cash consideration of approximately $4.404 billion and will also retain approximately 12.0 million units in a newly formed operating partnership of VICI Properties. The MGP Class B share that is held by MGM will be cancelled and cease to exist.</w:t>
      </w:r>
    </w:p>
    <w:p>
      <w:pPr>
        <w:spacing w:after="0" w:line="135" w:lineRule="exact"/>
        <w:rPr>
          <w:rFonts w:ascii="Arial" w:cs="Arial" w:eastAsia="Arial" w:hAnsi="Arial"/>
          <w:sz w:val="18"/>
          <w:szCs w:val="18"/>
          <w:b w:val="1"/>
          <w:bCs w:val="1"/>
          <w:i w:val="1"/>
          <w:iCs w:val="1"/>
          <w:color w:val="auto"/>
        </w:rPr>
      </w:pPr>
    </w:p>
    <w:p>
      <w:pPr>
        <w:jc w:val="both"/>
        <w:ind w:left="660"/>
        <w:spacing w:after="0" w:line="268" w:lineRule="auto"/>
        <w:rPr>
          <w:rFonts w:ascii="Arial" w:cs="Arial" w:eastAsia="Arial" w:hAnsi="Arial"/>
          <w:sz w:val="18"/>
          <w:szCs w:val="18"/>
          <w:b w:val="1"/>
          <w:bCs w:val="1"/>
          <w:i w:val="1"/>
          <w:iCs w:val="1"/>
          <w:color w:val="auto"/>
        </w:rPr>
      </w:pPr>
      <w:r>
        <w:rPr>
          <w:rFonts w:ascii="Arial" w:cs="Arial" w:eastAsia="Arial" w:hAnsi="Arial"/>
          <w:sz w:val="17"/>
          <w:szCs w:val="17"/>
          <w:color w:val="auto"/>
        </w:rPr>
        <w:t>Simultaneous with the closing of the transaction, we will enter into the MGM Master Lease Agreement with MGM. The MGM Master Lease Agreement will have an initial term of 25 years, with three 10-year tenant renewal options and, subject to the closing of the pending acquisition of MGM Springfield by MGP from MGM (the “Springfield Transaction”), will have an initial total annual rent of $860.0 million. Rent under the MGM Master Lease Agreement will escalate at a rate of 2.0% per annum for the first 10 years and thereafter at the greater of 2.0% per annum and the annual increase in the CPI, subject to a 3.0% cap. Additionally, we will retain MGP’s existing 50.1% ownership stake in the BREIT JV, which owns the real estate assets of MGM Grand Las Vegas and Mandalay Bay. The BREIT JV lease will remain unchanged and provides for current annual base rent of approximately $298.0 million, of which $149.0 million is attributable to MGP’s investment in the BREIT JV, and an initial term of 30 years, with two 10-year tenant renewal options. Rent under the BREIT JV lease escalates at a rate of 2.0% per annum for the first 15 years and thereafter at the greater of 2.0% per annum and the annual increase in CPI, subject to a 3.0% cap. On a combined basis, the MGM Master Lease Agreement and BREIT JV lease will deliver initial attributable rent to us of approximately $1,009.0 million. The tenant’s obligations under the MGM Master Lease and BREIT JV lease will be guaranteed by MGM.</w:t>
      </w:r>
    </w:p>
    <w:p>
      <w:pPr>
        <w:spacing w:after="0" w:line="130" w:lineRule="exact"/>
        <w:rPr>
          <w:rFonts w:ascii="Arial" w:cs="Arial" w:eastAsia="Arial" w:hAnsi="Arial"/>
          <w:sz w:val="18"/>
          <w:szCs w:val="18"/>
          <w:b w:val="1"/>
          <w:bCs w:val="1"/>
          <w:i w:val="1"/>
          <w:iCs w:val="1"/>
          <w:color w:val="auto"/>
        </w:rPr>
      </w:pPr>
    </w:p>
    <w:p>
      <w:pPr>
        <w:jc w:val="both"/>
        <w:ind w:left="66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expect the MGP Transactions to be completed in the first half of 2022, subject to regulatory approvals, approval by the Company’s stockholders, and customary closing conditions. However, we can provide no assurances that the MGP Transactions described herein will close in the anticipated timeframe, on the contemplated terms or at all. We intend to fund the cash portion of the MGP Transactions with proceeds from long-term debt financing.</w:t>
      </w:r>
    </w:p>
    <w:p>
      <w:pPr>
        <w:spacing w:after="0" w:line="133" w:lineRule="exact"/>
        <w:rPr>
          <w:rFonts w:ascii="Arial" w:cs="Arial" w:eastAsia="Arial" w:hAnsi="Arial"/>
          <w:sz w:val="18"/>
          <w:szCs w:val="18"/>
          <w:b w:val="1"/>
          <w:bCs w:val="1"/>
          <w:i w:val="1"/>
          <w:iCs w:val="1"/>
          <w:color w:val="auto"/>
        </w:rPr>
      </w:pPr>
    </w:p>
    <w:p>
      <w:pPr>
        <w:jc w:val="both"/>
        <w:ind w:left="660" w:hanging="329"/>
        <w:spacing w:after="0" w:line="289" w:lineRule="auto"/>
        <w:tabs>
          <w:tab w:leader="none" w:pos="655"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BigShots Strategic Arrangement. </w:t>
      </w:r>
      <w:r>
        <w:rPr>
          <w:rFonts w:ascii="Arial" w:cs="Arial" w:eastAsia="Arial" w:hAnsi="Arial"/>
          <w:sz w:val="16"/>
          <w:szCs w:val="16"/>
          <w:color w:val="auto"/>
        </w:rPr>
        <w:t>On September 15, 2021, we and ClubCorp announced that we entered into a strategic arrangement to grow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BigShots Golf™, whereby we may provide up to $80.0 million of mortgage financing for the construction of up to five new BigShots Golf™ facilities throughout the United States. As part of the non-binding arrangement, we will have a call right to acquire the real estate assets associated with any BigShots Golf™ facility financed by us, which transaction will be structured as a sale leaseback. In addition, for so long as the mortgage financing remains outstanding and we continue to hold a majority interest therein, we will have a right of first offer on any additional mortgage, mezzanine, preferred equity, or other similar financing that is treated as debt to be obtained by BigShots Golf™ (or any of its affiliates) for any multisite financing related to the development of BigShots Golf’s™ extensive existing and growing pipeline of facilities. Pursuant to a non-binding letter agreement, the terms and conditions of any transaction between the parties will be set forth in definitive documentation.</w:t>
      </w:r>
    </w:p>
    <w:p>
      <w:pPr>
        <w:spacing w:after="0" w:line="113" w:lineRule="exact"/>
        <w:rPr>
          <w:rFonts w:ascii="Arial" w:cs="Arial" w:eastAsia="Arial" w:hAnsi="Arial"/>
          <w:sz w:val="16"/>
          <w:szCs w:val="16"/>
          <w:b w:val="1"/>
          <w:bCs w:val="1"/>
          <w:i w:val="1"/>
          <w:iCs w:val="1"/>
          <w:color w:val="auto"/>
        </w:rPr>
      </w:pPr>
    </w:p>
    <w:p>
      <w:pPr>
        <w:jc w:val="both"/>
        <w:ind w:left="660" w:hanging="329"/>
        <w:spacing w:after="0" w:line="273" w:lineRule="auto"/>
        <w:tabs>
          <w:tab w:leader="none" w:pos="655"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Great Wolf Mezzanine Loan. </w:t>
      </w:r>
      <w:r>
        <w:rPr>
          <w:rFonts w:ascii="Arial" w:cs="Arial" w:eastAsia="Arial" w:hAnsi="Arial"/>
          <w:sz w:val="17"/>
          <w:szCs w:val="17"/>
          <w:color w:val="auto"/>
        </w:rPr>
        <w:t>On June 16, 2021, we entered into the Great Wolf Mezzanine Loan with an affiliate of Great Wolf to provide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$79.5 million to partially fund the development of the Great Wolf Lodge Maryland, a 48-acre indoor water park resort located in Perryville, MD. The Great Wolf Mezzanine Loan bears interest at a rate of 8.0% per annum and has an initial term of 3 years with two successive 12-month extension options, subject to certain conditions. Our commitment will be funded subject to customary terms and conditions in disbursements to the borrower based upon construction of the development and, as of September 30, 2021, approximately $19.2 million of funds have been disbursed. We expect to fund our entire $79.5 million commitment by mid-2022.</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addition, pursuant to a non-binding letter agreement, we will have the opportunity for a period of up to five years to provide up to a total of $300.0 million of mezzanine financing, inclusive of the $79.5 million related to the Great Wolf Lodge Maryland, for the development and construction of Great Wolf’s extensive domestic and international indoor water park resort pipeline.</w:t>
      </w:r>
    </w:p>
    <w:p>
      <w:pPr>
        <w:spacing w:after="0" w:line="128" w:lineRule="exact"/>
        <w:rPr>
          <w:sz w:val="20"/>
          <w:szCs w:val="20"/>
          <w:color w:val="auto"/>
        </w:rPr>
      </w:pPr>
    </w:p>
    <w:p>
      <w:pPr>
        <w:jc w:val="both"/>
        <w:ind w:left="660" w:hanging="329"/>
        <w:spacing w:after="0" w:line="269" w:lineRule="auto"/>
        <w:tabs>
          <w:tab w:leader="none" w:pos="655" w:val="left"/>
        </w:tabs>
        <w:numPr>
          <w:ilvl w:val="0"/>
          <w:numId w:val="4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Venetian Acquisition. </w:t>
      </w:r>
      <w:r>
        <w:rPr>
          <w:rFonts w:ascii="Arial" w:cs="Arial" w:eastAsia="Arial" w:hAnsi="Arial"/>
          <w:sz w:val="17"/>
          <w:szCs w:val="17"/>
          <w:color w:val="auto"/>
        </w:rPr>
        <w:t>On March 2, 2021, we entered into definitive agreements to acquire from LVS, all of the land and real estate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the Venetian Resort Las Vegas and the Venetian Expo, located in Las Vegas, Nevada, for $4.0 billion in cash, and the OpCo Buyer, has agreed to acquire the operating assets of the Venetian Resort for $2.25 billion, subject to certain post-closing adjustments, of which $1.2 billion is in the form of a secured term loan from LVS and the remainder is payable in cash. Simultaneous with the closing of the Venetian Acquisition, we will enter into the Venetian Lease with the Venetian Tenant. The Venetian Lease will have an initial total annual rent of $250.0 million and an initial term of 30 years, with two ten-year tenant renewal options. The annual rent will be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The closing of the Venetian Acquisition is subject to customary closing conditions, including regulatory approvals.</w:t>
      </w:r>
    </w:p>
    <w:p>
      <w:pPr>
        <w:spacing w:after="0" w:line="125" w:lineRule="exact"/>
        <w:rPr>
          <w:rFonts w:ascii="Arial" w:cs="Arial" w:eastAsia="Arial" w:hAnsi="Arial"/>
          <w:sz w:val="17"/>
          <w:szCs w:val="17"/>
          <w:b w:val="1"/>
          <w:bCs w:val="1"/>
          <w:i w:val="1"/>
          <w:iCs w:val="1"/>
          <w:color w:val="auto"/>
        </w:rPr>
      </w:pPr>
    </w:p>
    <w:p>
      <w:pPr>
        <w:jc w:val="both"/>
        <w:ind w:left="660"/>
        <w:spacing w:after="0" w:line="287" w:lineRule="auto"/>
        <w:rPr>
          <w:rFonts w:ascii="Arial" w:cs="Arial" w:eastAsia="Arial" w:hAnsi="Arial"/>
          <w:sz w:val="17"/>
          <w:szCs w:val="17"/>
          <w:b w:val="1"/>
          <w:bCs w:val="1"/>
          <w:i w:val="1"/>
          <w:iCs w:val="1"/>
          <w:color w:val="auto"/>
        </w:rPr>
      </w:pPr>
      <w:r>
        <w:rPr>
          <w:rFonts w:ascii="Arial" w:cs="Arial" w:eastAsia="Arial" w:hAnsi="Arial"/>
          <w:sz w:val="16"/>
          <w:szCs w:val="16"/>
          <w:color w:val="auto"/>
        </w:rPr>
        <w:t>In addition, LVS has agreed with the Venetian Tenant pursuant to the Contingent Lease Support Agreement to be entered into simultaneous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will be a third-party beneficiary of the Contingent Lease Support Agreement and will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will not be guaranteed by Apollo Global Management, Inc.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 We expect the Venetian Acquisition to close during the first quarter of 2022. However, we can provide no assurances that the Venetian Acquisition will close in the anticipated timeframe, on the contemplated terms or at all.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Portfolio Activity</w:t>
      </w:r>
    </w:p>
    <w:p>
      <w:pPr>
        <w:spacing w:after="0" w:line="170" w:lineRule="exact"/>
        <w:rPr>
          <w:sz w:val="20"/>
          <w:szCs w:val="20"/>
          <w:color w:val="auto"/>
        </w:rPr>
      </w:pPr>
    </w:p>
    <w:p>
      <w:pPr>
        <w:jc w:val="both"/>
        <w:ind w:left="660" w:hanging="329"/>
        <w:spacing w:after="0" w:line="270" w:lineRule="auto"/>
        <w:tabs>
          <w:tab w:leader="none" w:pos="655" w:val="left"/>
        </w:tabs>
        <w:numPr>
          <w:ilvl w:val="0"/>
          <w:numId w:val="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Caesars Southern Indiana Lease Agreement. </w:t>
      </w:r>
      <w:r>
        <w:rPr>
          <w:rFonts w:ascii="Arial" w:cs="Arial" w:eastAsia="Arial" w:hAnsi="Arial"/>
          <w:sz w:val="17"/>
          <w:szCs w:val="17"/>
          <w:color w:val="auto"/>
        </w:rPr>
        <w:t>On September 3, 2021, in connection and concurrent with EBCI’s acquisition of the operations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Caesars Southern Indiana from Caesars, we entered into the EBCI Lease Agreement with a subsidiary of EBCI with respect to the real property associated with Caesars Southern Indiana. Initial total annual rent under the lease with EBCI is $32.5 million. The lease has an initial term of 15 years, with four 5-year tenant renewal options. The tenant’s obligations under the lease are guaranteed by EBCI. Annual base rent payments under the Regional Master Lease Agreement were reduced by $32.5 million upon completion of EBCI’s acquisition of the operations of Caesars Southern Indiana and the execution of the lease between us and the tenant. In addition, as part of the transaction, EBCI and Caesars entered into a right of first refusal agreement pursuant to which we have the first right to enter into a sale leaseback transaction with respect to the real property associated with the development of a new casino resort in Danville,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Capital Markets Activity</w:t>
      </w:r>
    </w:p>
    <w:p>
      <w:pPr>
        <w:spacing w:after="0" w:line="116" w:lineRule="exact"/>
        <w:rPr>
          <w:sz w:val="20"/>
          <w:szCs w:val="20"/>
          <w:color w:val="auto"/>
        </w:rPr>
      </w:pPr>
    </w:p>
    <w:p>
      <w:pPr>
        <w:jc w:val="both"/>
        <w:ind w:left="660" w:hanging="329"/>
        <w:spacing w:after="0" w:line="301" w:lineRule="auto"/>
        <w:tabs>
          <w:tab w:leader="none" w:pos="655"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Repayment of Term Loan B Facility and Settlement of Interest Rate Swaps. </w:t>
      </w:r>
      <w:r>
        <w:rPr>
          <w:rFonts w:ascii="Arial" w:cs="Arial" w:eastAsia="Arial" w:hAnsi="Arial"/>
          <w:sz w:val="16"/>
          <w:szCs w:val="16"/>
          <w:color w:val="auto"/>
        </w:rPr>
        <w:t>On September 15, 2021, we used $2,102.5 million of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September 2021 equity offering and settlement of the June 2020 Forward Sale Agreement to repay in full the Term Loan B Facility. In connection with the payoff of the Term Loan B Facility, the related interest rate swap agreements were unwound and settled and VICI PropCo incurred swap breakage costs of approximately $64.2 million and an accrued interest payment of approximately $2.7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60" w:hanging="329"/>
        <w:spacing w:after="0" w:line="273"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September 2021 Equity Offering. </w:t>
      </w:r>
      <w:r>
        <w:rPr>
          <w:rFonts w:ascii="Arial" w:cs="Arial" w:eastAsia="Arial" w:hAnsi="Arial"/>
          <w:sz w:val="17"/>
          <w:szCs w:val="17"/>
          <w:color w:val="auto"/>
        </w:rPr>
        <w:t>On September 14, 2021, we completed a primary follow-on offering of 115,000,000 shares of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consisting of (i) 65,000,000 shares of common stock (including 15,000,000 shares sold pursuant to the exercise in full of the underwriters’ option to purchase additional common stock) and (ii) 50,000,000 shares of common stock that are subject to the September 2021 Forward Sale Agreements to be settled by September 9, 2022, in each case at a public offering price of $29.50 per share for an aggregate offering value of $3.4 billion. We received net proceeds of $1,859.0 million from the sale of the 65,000,000 shares and did not initially receive any proceeds from the sale of the 50,000,000 shares subject to the September 2021 Forward Sale Agreements.</w:t>
      </w:r>
    </w:p>
    <w:p>
      <w:pPr>
        <w:spacing w:after="0" w:line="66" w:lineRule="exact"/>
        <w:rPr>
          <w:rFonts w:ascii="Arial" w:cs="Arial" w:eastAsia="Arial" w:hAnsi="Arial"/>
          <w:sz w:val="17"/>
          <w:szCs w:val="17"/>
          <w:color w:val="auto"/>
        </w:rPr>
      </w:pPr>
    </w:p>
    <w:p>
      <w:pPr>
        <w:jc w:val="both"/>
        <w:ind w:left="660" w:hanging="329"/>
        <w:spacing w:after="0" w:line="263" w:lineRule="auto"/>
        <w:tabs>
          <w:tab w:leader="none" w:pos="6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Settlement of June 2020 Forward Sale Agreement. </w:t>
      </w:r>
      <w:r>
        <w:rPr>
          <w:rFonts w:ascii="Arial" w:cs="Arial" w:eastAsia="Arial" w:hAnsi="Arial"/>
          <w:sz w:val="18"/>
          <w:szCs w:val="18"/>
          <w:color w:val="auto"/>
        </w:rPr>
        <w:t>On September 9, 2021, we fully settled the remaining shares outstanding under the June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 Sale Agreement by delivering 26,900,000 shares of our common stock to the forward purchaser in exchange for total net proceeds of approximately $526.9 million.</w:t>
      </w:r>
    </w:p>
    <w:p>
      <w:pPr>
        <w:spacing w:after="0" w:line="73" w:lineRule="exact"/>
        <w:rPr>
          <w:rFonts w:ascii="Arial" w:cs="Arial" w:eastAsia="Arial" w:hAnsi="Arial"/>
          <w:sz w:val="18"/>
          <w:szCs w:val="18"/>
          <w:b w:val="1"/>
          <w:bCs w:val="1"/>
          <w:color w:val="auto"/>
        </w:rPr>
      </w:pPr>
    </w:p>
    <w:p>
      <w:pPr>
        <w:jc w:val="both"/>
        <w:ind w:left="660" w:hanging="329"/>
        <w:spacing w:after="0" w:line="271"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Exchange Offers and Consent Solicitations. </w:t>
      </w:r>
      <w:r>
        <w:rPr>
          <w:rFonts w:ascii="Arial" w:cs="Arial" w:eastAsia="Arial" w:hAnsi="Arial"/>
          <w:sz w:val="17"/>
          <w:szCs w:val="17"/>
          <w:color w:val="auto"/>
        </w:rPr>
        <w:t>On September 27, 2021, we announced the successful early tender and participation results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Offers and Consent Solicitations for the MGP OP Notes, as well as the extension of the Expiration Date to December 31, 2021. Following the successful Consent Solicitations, the MGP Issuers executed the MGP OP Supplemental Indentures to each of the MGP OP Notes Indentures in order to, among other things, eliminate or modify certain of the covenants, restrictions, provisions and events of default in each of the indentures. The MGP OP Supplemental Indentures will become operative upon the Settlement Date, which is expected to occur on or about the closing date of the MGP Transactions. The supplemental indentures will become operative upon the Settlement Date, which is expected to occur on or about the closing date of the MGP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PENDING TRANSACTIONS</w:t>
      </w:r>
    </w:p>
    <w:p>
      <w:pPr>
        <w:spacing w:after="0" w:line="169" w:lineRule="exact"/>
        <w:rPr>
          <w:sz w:val="20"/>
          <w:szCs w:val="20"/>
          <w:color w:val="auto"/>
        </w:rPr>
      </w:pPr>
    </w:p>
    <w:p>
      <w:pPr>
        <w:jc w:val="both"/>
        <w:ind w:left="660" w:hanging="329"/>
        <w:spacing w:after="0" w:line="278" w:lineRule="auto"/>
        <w:tabs>
          <w:tab w:leader="none" w:pos="65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Sale of Louisiana Downs. </w:t>
      </w:r>
      <w:r>
        <w:rPr>
          <w:rFonts w:ascii="Arial" w:cs="Arial" w:eastAsia="Arial" w:hAnsi="Arial"/>
          <w:sz w:val="17"/>
          <w:szCs w:val="17"/>
          <w:color w:val="auto"/>
        </w:rPr>
        <w:t>On September 3, 2020, we and Caesars entered into definitive agreements to sell Harrah’s Louisiana Downs Casino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remains subject to regulatory approval and customary closing conditions.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real property business and our golf course business represent our two reportable segments. The real property business segment consists of leased real property and loan investments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80" w:type="dxa"/>
            <w:vAlign w:val="bottom"/>
            <w:gridSpan w:val="3"/>
          </w:tcPr>
          <w:p>
            <w:pPr>
              <w:ind w:left="20"/>
              <w:spacing w:after="0" w:line="175" w:lineRule="exact"/>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160"/>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Variance</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1"/>
              <w:spacing w:after="0" w:line="175" w:lineRule="exact"/>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w w:val="94"/>
              </w:rPr>
              <w:t>Income from sales-type and direct financing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292,059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270,274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21,785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873,337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718,421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154,916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from operating leases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w w:val="94"/>
              </w:rPr>
              <w:t>Income from lease financing receivables and loans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Golf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1,126,414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273,858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Golf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Change in allowance for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(285,533)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 and acquisition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(268,790)</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(165,099)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upon lease modification</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0" w:type="dxa"/>
            <w:vAlign w:val="bottom"/>
          </w:tcPr>
          <w:p>
            <w:pPr>
              <w:spacing w:after="0"/>
              <w:rPr>
                <w:sz w:val="1"/>
                <w:szCs w:val="1"/>
                <w:color w:val="auto"/>
              </w:rPr>
            </w:pPr>
          </w:p>
        </w:tc>
      </w:tr>
      <w:tr>
        <w:trPr>
          <w:trHeight w:val="222"/>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164,572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395,850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(231,278)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741,488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606,191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22"/>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164,184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396,218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739,360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133,564</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Less: Net (income) loss attributable to non-</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161,862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398,274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91"/>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2021 and 2020, our revenue was comprised of the following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4"/>
        </w:trPr>
        <w:tc>
          <w:tcPr>
            <w:tcW w:w="40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4"/>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Variance</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4"/>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2"/>
              <w:spacing w:after="0" w:line="175" w:lineRule="exact"/>
              <w:rPr>
                <w:sz w:val="20"/>
                <w:szCs w:val="20"/>
                <w:color w:val="auto"/>
              </w:rPr>
            </w:pPr>
            <w:r>
              <w:rPr>
                <w:rFonts w:ascii="Arial" w:cs="Arial" w:eastAsia="Arial" w:hAnsi="Arial"/>
                <w:sz w:val="16"/>
                <w:szCs w:val="16"/>
                <w:b w:val="1"/>
                <w:bCs w:val="1"/>
                <w:color w:val="auto"/>
                <w:w w:val="98"/>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1,053,476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231,848</w:t>
            </w:r>
          </w:p>
        </w:tc>
      </w:tr>
      <w:tr>
        <w:trPr>
          <w:trHeight w:val="229"/>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Income from loans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25,486</w:t>
            </w:r>
          </w:p>
        </w:tc>
      </w:tr>
      <w:tr>
        <w:trPr>
          <w:trHeight w:val="22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w:t>
            </w:r>
          </w:p>
        </w:tc>
      </w:tr>
      <w:tr>
        <w:trPr>
          <w:trHeight w:val="229"/>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Golf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375,704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1,126,414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direct financing, operating and financing receivables leases: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4"/>
        </w:trPr>
        <w:tc>
          <w:tcPr>
            <w:tcW w:w="40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Variance</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Income from sales-type and direct financing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154,916</w:t>
            </w:r>
          </w:p>
        </w:tc>
      </w:tr>
      <w:tr>
        <w:trPr>
          <w:trHeight w:val="229"/>
        </w:trPr>
        <w:tc>
          <w:tcPr>
            <w:tcW w:w="408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(1)</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w w:val="92"/>
              </w:rPr>
              <w:t>(25,464)</w:t>
            </w:r>
          </w:p>
        </w:tc>
      </w:tr>
      <w:tr>
        <w:trPr>
          <w:trHeight w:val="229"/>
        </w:trPr>
        <w:tc>
          <w:tcPr>
            <w:tcW w:w="408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8"/>
              </w:rPr>
              <w:t>102,396</w:t>
            </w:r>
          </w:p>
        </w:tc>
      </w:tr>
      <w:tr>
        <w:trPr>
          <w:trHeight w:val="222"/>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Total leasing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352,237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1,053,476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821,628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w w:val="98"/>
              </w:rPr>
              <w:t>231,848</w:t>
            </w:r>
          </w:p>
        </w:tc>
      </w:tr>
      <w:tr>
        <w:trPr>
          <w:trHeight w:val="229"/>
        </w:trPr>
        <w:tc>
          <w:tcPr>
            <w:tcW w:w="408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2"/>
              </w:rPr>
              <w:t>(76,538)</w:t>
            </w:r>
          </w:p>
        </w:tc>
      </w:tr>
      <w:tr>
        <w:trPr>
          <w:trHeight w:val="222"/>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Total contractual leasing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321,095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8"/>
              </w:rPr>
              <w:t>155,310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jc w:val="both"/>
        <w:ind w:firstLine="8"/>
        <w:spacing w:after="0"/>
        <w:tabs>
          <w:tab w:leader="none" w:pos="212"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the certain operating land parcels were reassessed for lease classification and determined to be a sales-type lease. Accordingly, subsequent to July 20, 2020, such income is recognized as Income from sales-type and direct financing leases.</w:t>
      </w:r>
    </w:p>
    <w:p>
      <w:pPr>
        <w:spacing w:after="0" w:line="2" w:lineRule="exact"/>
        <w:rPr>
          <w:rFonts w:ascii="Arial" w:cs="Arial" w:eastAsia="Arial" w:hAnsi="Arial"/>
          <w:sz w:val="14"/>
          <w:szCs w:val="14"/>
          <w:i w:val="1"/>
          <w:iCs w:val="1"/>
          <w:color w:val="auto"/>
        </w:rPr>
      </w:pPr>
    </w:p>
    <w:p>
      <w:pPr>
        <w:jc w:val="both"/>
        <w:ind w:firstLine="8"/>
        <w:spacing w:after="0"/>
        <w:tabs>
          <w:tab w:leader="none" w:pos="207"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Harrah’s Original Call Properties and the JACK Cleveland/Thistledown Lease Agreement, both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4" w:lineRule="auto"/>
        <w:tabs>
          <w:tab w:leader="none" w:pos="205"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sales-type leases, direct financing leases and lease financing receivables in order to recognize income on an effective interest basis at a constant rate of return over the term of the leases.</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Leasing revenue is generated from rent from our Lease Agreements. Total leasing revenue increased $28.5 million and $231.8 million during the three and nine months ended September 30, 2021, respectively, compared to the three and nine months ended September 30, 2020, respectively. Total contractual leasing revenue increased $16.3 million and $155.3 million during the three and nine months ended September 30, 2021, respectively, compared to the three and nine months ended September 30, 2020, respectively. The increase was primarily driven by the addition of the Harrah’s Original Call Properties to our real estate portfolio in July 2020, as well as the CPLV Additional Rent Acquisition and the HLV Additional Rent Acquisition in July 2020.</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Income from loans increased $7.0 million and $25.5 million during the three and nine months ended September 30, 2021, respectively, compared to the three and nine months ended September 30, 2020, respectively. The increase was driven by the addition of the Amended and Restated ROV Loan, the Chelsea Piers Mortgage Loan, the Forum Convention Center Mortgage Loan and the Great Wolf Mezzanine Loan to our real estate investment portfolio in July 2020, August 2020, September 2020 and June 2021,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6"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Other income decreased $0.3 million during the three months ended September 30, 2021 compared to the three months ended September 30, 2020 as a result of normal fluctuations in income recognition. Other income increased $12.2 million during the nine months ended September 30, 2021 compared to the nine months ended September 30, 2020, driven primarily by the additional income and offsetting expense as a result of the assumption of the HNO Ground Lease as part of the Harrah’s Original Call Properties Acquisitions. Refer to </w:t>
      </w:r>
      <w:hyperlink w:anchor="page17">
        <w:r>
          <w:rPr>
            <w:rFonts w:ascii="Arial" w:cs="Arial" w:eastAsia="Arial" w:hAnsi="Arial"/>
            <w:sz w:val="18"/>
            <w:szCs w:val="18"/>
            <w:u w:val="single" w:color="auto"/>
            <w:color w:val="0000FF"/>
          </w:rPr>
          <w:t>Note 3 - Property Transactions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description of the HNO Ground Lease.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Revenues from golf operations increased $0.9 million and $4.3 million during the three and nine months ended September 30, 2021, respectively, compared to the three and nine months ended September 30, 2020, respectively. The change was primarily driven by (i) an increase in rounds played at the golf courses, (ii) the closure of our golf courses in mid-March 2020 until early to mid-May 2020 as a result of the COVID-19 pandemic and (iii) an increase in the contractual fees paid to us by Caesars for the use of our golf courses, pursuant to a golf course use agreement.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2021 and 2020, our operating expenses were comprised of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4"/>
        </w:trPr>
        <w:tc>
          <w:tcPr>
            <w:tcW w:w="40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Variance</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1"/>
              <w:spacing w:after="0" w:line="175" w:lineRule="exact"/>
              <w:rPr>
                <w:sz w:val="20"/>
                <w:szCs w:val="20"/>
                <w:color w:val="auto"/>
              </w:rPr>
            </w:pPr>
            <w:r>
              <w:rPr>
                <w:rFonts w:ascii="Arial" w:cs="Arial" w:eastAsia="Arial" w:hAnsi="Arial"/>
                <w:sz w:val="16"/>
                <w:szCs w:val="16"/>
                <w:b w:val="1"/>
                <w:bCs w:val="1"/>
                <w:color w:val="auto"/>
                <w:w w:val="98"/>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2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w:t>
            </w:r>
          </w:p>
        </w:tc>
      </w:tr>
      <w:tr>
        <w:trPr>
          <w:trHeight w:val="229"/>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Golf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2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(285,533)</w:t>
            </w:r>
          </w:p>
        </w:tc>
      </w:tr>
      <w:tr>
        <w:trPr>
          <w:trHeight w:val="229"/>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$0.3 million and $1.5 million for the three and nine months ended September 30, 2021, respectively, as compared to the three and nine months ended September 30, 2020, respectively. The increase was primarily driven by an increase in compensation, including stock-based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6"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Other expenses decreased $0.3 million during the three months ended September 30, 2021 compared to the three months ended September 30, 2020 as a result of normal fluctuations in expense recognition. Other expenses increased $12.2 million during the nine months ended September 30, 2021 compared to the nine months ended September 30, 2020. The increase was driven by the additional income and offsetting expense as a result of the assumption of the HNO Ground Lease as part of the Harrah’s Original Call Properties Acquisitions. Refer to </w:t>
      </w:r>
      <w:hyperlink w:anchor="page17">
        <w:r>
          <w:rPr>
            <w:rFonts w:ascii="Arial" w:cs="Arial" w:eastAsia="Arial" w:hAnsi="Arial"/>
            <w:sz w:val="18"/>
            <w:szCs w:val="18"/>
            <w:u w:val="single" w:color="auto"/>
            <w:color w:val="0000FF"/>
          </w:rPr>
          <w:t>Note 3 - Property Transactions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description of the HNO Ground Lease.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Expenses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Expenses from golf operations increased $0.5 million and $1.7 million during the three and nine months ended September 30, 2021, respectively, compared to the three and nine months ended September 30, 2020, respectively. The change was primarily driven by the closure of our golf courses in mid-March 2020 until early to mid-May 2020 as a result of the COVID-19 pandemic, partially offset by an increase in the water usage charges at one of our golf courses during 2020. Additionally, even though our courses were closed from mid-March 2020 until early to mid-May as a result of the COVID-19 pandemic, we continued to pay all of our golf course employees their full salaries and benefits for a period of time and, accordingly, the change in our golf course operating revenues during this time was not proportionately offset by the change in golf course operating expenses.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Under ASU No. 2016-13 -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we are required to record an estimated credit loss for our (i) Investments in leases - sales-type, (ii) Investments in leases - financing receivables and (iii) Investments in loans. During the three months ended September 30, 2021, we recognized a $9.0 million increase in our allowance for credit losses primarily driven by (i) the increase in the Long-Term Period PD for one of our tenants during the third quarter of 2021 and (ii) an increase in the existing amortized cost balances subject to the CECL allowance. During the nine months ended September 30, 2021, we recognized a $24.5 million decrease in our allowance for credit losses primarily driven by (i) the decrease in the R&amp;S Period PD of our tenants and their parent guarantors as a result of an improvement in their economic outlook due to the reopening of all of their gaming operations and relative performance of such operations during the first three quarters of 2021, (ii) the decrease in the Long-Term Period PD due to an upgrade of the credit rating of the senior secured debt used to determine the Long-Term Period PD for two of our tenants during the second quarter of 2021 and (iii) the decrease in the R&amp;S Period PD and LGD as a result of standard annual updates that were made to the inputs and assumptions in the model that we utilize to estimate our CECL allowance. This decrease was partially offset by the increase for the three months ended September 30, 2021, described above.</w:t>
      </w:r>
    </w:p>
    <w:p>
      <w:pPr>
        <w:spacing w:after="0" w:line="116" w:lineRule="exact"/>
        <w:rPr>
          <w:sz w:val="20"/>
          <w:szCs w:val="20"/>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During the three months ended September 30, 2020, we recognized a $177.1 million increase in our allowance for credit losses primarily driven by the increase in investment balances subject to CECL. Specifically, the increase was primarily attributable to (i) the increase in investment balances resulting from the Eldorado Transaction, which includes (A) an initial CECL allowance on our $1.8 billion investment in the Harrah’s Original Call Properties, (B) an additional CECL allowance on our aggregate $1.4 billion increased investment in the Las Vegas Master Lease Agreement as a result of the CPLV Additional Rent Acquisition and HLV Additional Rent Acquisition and (C) an additional CECL allowance on the $333.4 million increased balance of the Caesars Lease Agreements as a result of the mark to fair value in connection with the reassessment of lease classification and (ii) an increase in the R&amp;S Period PD of Caesars as a result of the Eldorado/Caesars Merger. This increase was partially offset by a decrease in the R&amp;S Period PD of our other tenants and their parent guarantors as a result of an improvement in their economic outlook due to the reopening of a majority of their gaming operations and relative performance of such operations during the third quarter of 2020. During the nine months ended September 30, 2020, we recognized a $261.1 million increase in our allowance for credit losses primarily driven by the increase in investment balances subject to CECL. Specifically, the increase was primarily attributable to (i) the Eldorado Transaction, Eldorado/Caesars Merger and Forum Convention Center Mortgage Loan as described above, (ii) an increase related to our initial investment in JACK Cleveland/Thistledown and the ROV Loan in January 2020, and (iii) an increase in the Long-term Period PD of our tenants due to downgrades on certain of the credit ratings of our tenants’ senior secured debt in connection with the impact of the COVID-19 pandemic. Refer to </w:t>
      </w:r>
      <w:hyperlink w:anchor="page34">
        <w:r>
          <w:rPr>
            <w:rFonts w:ascii="Arial" w:cs="Arial" w:eastAsia="Arial" w:hAnsi="Arial"/>
            <w:sz w:val="16"/>
            <w:szCs w:val="16"/>
            <w:u w:val="single" w:color="auto"/>
            <w:color w:val="0000FF"/>
          </w:rPr>
          <w:t>Note 5 - Allowance for Credit Losses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Transaction and acquisition expenses decreased $1.8 million during the three months ended September 30, 2021 compared to the three months ended September 30, 2020, and increased $2.0 million during the nine months ended September 30, 2021 compared to the nine months ended September 30, 2020. Changes in transaction and acquisition expenses are related to fluctuations in (i) costs incurred for investments during the period that are not capitalizable under GAAP and (ii) costs incurred for investments that we are no longer pursuing.</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expense increased $87.7 million and $90.8 million during the three and nine months ended September 30, 2021, respectively, as compared to the three and nine months ended September 30, 2020, respectively. The increase during the three months ended September 30, 2021 is primarily related to the $64.2 million payment in connection with the early settlement of the outstanding interest rate swap agreements and the amortization of the commitment fees associated with the Venetian Acquisition Bridge Facility and the MGP Transactions Bridge Facility, partially offset by the full repayment of the Term Loan B Facility in September 2021. The increase during the nine months ended September 30, 2021 is primarily attributable to reasons stated above for the three months ended September 30, 2021, as well as the increase in aggregate debt of $2.5 billion from the February 2020 Senior Unsecured Notes offering, partially offset by a reduction in debt of $498.5 million as a result of the full redemption of the Second Lien Notes in February 2020 and the full repayment of the Term Loan B Facility in September 2021.</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Additionally, the weighted average annualized interest rate of our debt decreased to 4.02% and 4.03% during the three and nine months ended September 30, 2021, respectively, from 4.18% and 4.48% during the three and nine months ended September 30,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2020, respectively, as a result of (i) the weighted average interest rate on the February 2020 Senior Unsecured Notes being lower than the weighted average interest rate of the Second Lien Notes and (ii) a decrease in LIBOR on the $600.0 million portion of our variable rate debt that was not hedged for the portion of the period the Term Loan B Facility was still outstanding.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decreased $0.2 million and $6.7 million during the three and nine months ended September 30, 2021, respectively, compared to the three and nine months ended September 30, 2020, respectively. The decrease was primarily driven by an overall decrease in our cash on hand and a decrease in the interest rates earned on our excess cash.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nine months ended September 30, 2021, we recognized a loss on extinguishment of debt of $15.6 million resulting from the write-off of the unamortized deferred financing fees in connection with the full repayment of our Term Loan B Facility in September 2021. During the nine months ended September 30, 2020, we recognized a loss on extinguishment of debt of $39.1 million resulting from the full redemption of our Second Lien Notes in February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Upon Lease Modification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Eldorado Transaction and as required under ASC 842, we reassessed the lease classification of the Las Vegas Master Lease Agreement, Regional Master Lease Agreement and Joliet Lease Agreement and determined the leases meet the definition of a sales-type lease, including the land component of Caesars Palace Las Vegas.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assets and their carrying values immediately prior to the modification.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AFFO is a non-GAAP financial measure that we use as a supplemental operating measure to evaluate our performance. We calculate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non-recurring non-cash transactions (such as non-cash gain upon lease modification) and non-cash adjustments attributable to non-controlling interest with respect to certain of the foregoing.</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calculate Adjusted EBITDA by adding or subtracting from AFFO contractual interest expense and interest income (collectively, interest expense, net) and income tax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FFO per Share, AFFO, AFFO per Share and Adjusted EBITDA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6"/>
                <w:szCs w:val="16"/>
                <w:color w:val="auto"/>
              </w:rPr>
            </w:pPr>
          </w:p>
        </w:tc>
        <w:tc>
          <w:tcPr>
            <w:tcW w:w="262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80" w:type="dxa"/>
            <w:vAlign w:val="bottom"/>
          </w:tcPr>
          <w:p>
            <w:pPr>
              <w:spacing w:after="0"/>
              <w:rPr>
                <w:sz w:val="18"/>
                <w:szCs w:val="18"/>
                <w:color w:val="auto"/>
              </w:rPr>
            </w:pPr>
          </w:p>
        </w:tc>
        <w:tc>
          <w:tcPr>
            <w:tcW w:w="2620" w:type="dxa"/>
            <w:vAlign w:val="bottom"/>
            <w:gridSpan w:val="4"/>
          </w:tcPr>
          <w:p>
            <w:pPr>
              <w:jc w:val="right"/>
              <w:ind w:right="871"/>
              <w:spacing w:after="0"/>
              <w:rPr>
                <w:sz w:val="20"/>
                <w:szCs w:val="20"/>
                <w:color w:val="auto"/>
              </w:rPr>
            </w:pPr>
            <w:r>
              <w:rPr>
                <w:rFonts w:ascii="Arial" w:cs="Arial" w:eastAsia="Arial" w:hAnsi="Arial"/>
                <w:sz w:val="16"/>
                <w:szCs w:val="16"/>
                <w:b w:val="1"/>
                <w:bCs w:val="1"/>
                <w:color w:val="auto"/>
              </w:rPr>
              <w:t>September 30,</w:t>
            </w:r>
          </w:p>
        </w:tc>
      </w:tr>
      <w:tr>
        <w:trPr>
          <w:trHeight w:val="1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603,664</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Real estate depreciation</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3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FFO</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161,862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398,274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732,372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603,664</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Non-cash leasing and financing adjustments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(11,826)</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change in allowance for credit losses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261,080</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Non-cash stock-based compensation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5,375</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Amortization of debt issuance costs and original issue discount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15,504</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(1,982)</w:t>
            </w: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w w:val="96"/>
              </w:rPr>
              <w:t xml:space="preserve">Loss on extinguishment of debt and interest rate swap settlements </w:t>
            </w:r>
            <w:r>
              <w:rPr>
                <w:rFonts w:ascii="Arial" w:cs="Arial" w:eastAsia="Arial" w:hAnsi="Arial"/>
                <w:sz w:val="23"/>
                <w:szCs w:val="23"/>
                <w:color w:val="auto"/>
                <w:w w:val="96"/>
                <w:vertAlign w:val="superscript"/>
              </w:rPr>
              <w:t>(1)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Non-cash gain upon lease modification</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(333,352)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(333,352)</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adjustments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r>
      <w:tr>
        <w:trPr>
          <w:trHeight w:val="222"/>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AFFO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257,420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227,907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768,559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584,140</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208,938</w:t>
            </w:r>
          </w:p>
        </w:tc>
      </w:tr>
      <w:tr>
        <w:trPr>
          <w:trHeight w:val="229"/>
        </w:trPr>
        <w:tc>
          <w:tcPr>
            <w:tcW w:w="5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r>
      <w:tr>
        <w:trPr>
          <w:trHeight w:val="247"/>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324,544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300,356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793,473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FFO per common share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AFFO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Weighted average number of shares of common stock outstanding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555,153,692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533,407,916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542,843,855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496,002,850</w:t>
            </w:r>
          </w:p>
        </w:tc>
      </w:tr>
      <w:tr>
        <w:trPr>
          <w:trHeight w:val="230"/>
        </w:trPr>
        <w:tc>
          <w:tcPr>
            <w:tcW w:w="2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571,894,545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536,180,175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557,113,510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499,982,269</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Includes swap breakage costs of approximately $64.2 million incurred by VICI PropCo in connection with the early settlement of the outstanding interest rate swap agreements.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As of September 30, 2021, our available cash balances, capacity under our Revolving Credit Facility and additional available proceeds from the settlement of forward sale agreements were as follows:</w:t>
      </w:r>
    </w:p>
    <w:p>
      <w:pPr>
        <w:sectPr>
          <w:pgSz w:w="11900" w:h="16838" w:orient="portrait"/>
          <w:cols w:equalWidth="0" w:num="1">
            <w:col w:w="11240"/>
          </w:cols>
          <w:pgMar w:left="320" w:top="368" w:right="339" w:bottom="1440" w:gutter="0" w:footer="0" w:header="0"/>
        </w:sectPr>
      </w:pP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955" cy="153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955" cy="290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955" cy="290830"/>
                    </a:xfrm>
                    <a:prstGeom prst="rect">
                      <a:avLst/>
                    </a:prstGeom>
                    <a:noFill/>
                  </pic:spPr>
                </pic:pic>
              </a:graphicData>
            </a:graphic>
          </wp:anchor>
        </w:drawing>
      </w:r>
    </w:p>
    <w:p>
      <w:pPr>
        <w:ind w:left="20"/>
        <w:spacing w:after="0" w:line="246" w:lineRule="auto"/>
        <w:rPr>
          <w:sz w:val="20"/>
          <w:szCs w:val="20"/>
          <w:color w:val="auto"/>
        </w:rPr>
      </w:pPr>
      <w:r>
        <w:rPr>
          <w:rFonts w:ascii="Arial" w:cs="Arial" w:eastAsia="Arial" w:hAnsi="Arial"/>
          <w:sz w:val="18"/>
          <w:szCs w:val="18"/>
          <w:color w:val="auto"/>
        </w:rPr>
        <w:t xml:space="preserve">Proceeds available from settlement of the September 2021 Forward Sale Agreements and March 2021 Forward Sale Agreements </w:t>
      </w:r>
      <w:r>
        <w:rPr>
          <w:rFonts w:ascii="Arial" w:cs="Arial" w:eastAsia="Arial" w:hAnsi="Arial"/>
          <w:sz w:val="23"/>
          <w:szCs w:val="23"/>
          <w:i w:val="1"/>
          <w:iCs w:val="1"/>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773"/>
              <w:spacing w:after="0"/>
              <w:rPr>
                <w:sz w:val="20"/>
                <w:szCs w:val="20"/>
                <w:color w:val="auto"/>
              </w:rPr>
            </w:pPr>
            <w:r>
              <w:rPr>
                <w:rFonts w:ascii="Arial" w:cs="Arial" w:eastAsia="Arial" w:hAnsi="Arial"/>
                <w:sz w:val="15"/>
                <w:szCs w:val="15"/>
                <w:b w:val="1"/>
                <w:bCs w:val="1"/>
                <w:color w:val="auto"/>
              </w:rPr>
              <w:t>September 30, 2021</w:t>
            </w:r>
          </w:p>
        </w:tc>
      </w:tr>
      <w:tr>
        <w:trPr>
          <w:trHeight w:val="225"/>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669,514</w:t>
            </w:r>
          </w:p>
        </w:tc>
      </w:tr>
      <w:tr>
        <w:trPr>
          <w:trHeight w:val="230"/>
        </w:trPr>
        <w:tc>
          <w:tcPr>
            <w:tcW w:w="48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458"/>
        </w:trPr>
        <w:tc>
          <w:tcPr>
            <w:tcW w:w="4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3,270,578</w:t>
            </w:r>
          </w:p>
        </w:tc>
      </w:tr>
      <w:tr>
        <w:trPr>
          <w:trHeight w:val="222"/>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4,940,092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ectPr>
          <w:pgSz w:w="11900" w:h="16838" w:orient="portrait"/>
          <w:cols w:equalWidth="0" w:num="2">
            <w:col w:w="8020" w:space="220"/>
            <w:col w:w="3000"/>
          </w:cols>
          <w:pgMar w:left="320" w:top="368" w:right="339" w:bottom="1440" w:gutter="0" w:footer="0" w:header="0"/>
          <w:type w:val="continuous"/>
        </w:sectPr>
      </w:pPr>
    </w:p>
    <w:p>
      <w:pPr>
        <w:ind w:left="320" w:hanging="312"/>
        <w:spacing w:after="0"/>
        <w:tabs>
          <w:tab w:leader="none" w:pos="32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2" w:lineRule="exact"/>
        <w:rPr>
          <w:rFonts w:ascii="Arial" w:cs="Arial" w:eastAsia="Arial" w:hAnsi="Arial"/>
          <w:sz w:val="14"/>
          <w:szCs w:val="14"/>
          <w:i w:val="1"/>
          <w:iCs w:val="1"/>
          <w:color w:val="auto"/>
        </w:rPr>
      </w:pPr>
    </w:p>
    <w:p>
      <w:pPr>
        <w:ind w:left="340" w:hanging="332"/>
        <w:spacing w:after="0" w:line="254" w:lineRule="auto"/>
        <w:tabs>
          <w:tab w:leader="none" w:pos="332"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Assumes the physical settlement of 50,000,000 and 69,000,000 shares under the September 2021 Forward Sale Agreements and March 2021 Forward Sale Agreements, respectively, at the forward sale price of $28.25 and $26.93, respectively, calculated as of September 30, 2021.</w:t>
      </w:r>
    </w:p>
    <w:p>
      <w:pPr>
        <w:spacing w:after="0" w:line="136" w:lineRule="exact"/>
        <w:rPr>
          <w:sz w:val="20"/>
          <w:szCs w:val="20"/>
          <w:color w:val="auto"/>
        </w:rPr>
      </w:pPr>
    </w:p>
    <w:p>
      <w:pPr>
        <w:jc w:val="both"/>
        <w:spacing w:after="0" w:line="258" w:lineRule="auto"/>
        <w:rPr>
          <w:rFonts w:ascii="Arial" w:cs="Arial" w:eastAsia="Arial" w:hAnsi="Arial"/>
          <w:sz w:val="18"/>
          <w:szCs w:val="18"/>
          <w:color w:val="0000FF"/>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46">
        <w:r>
          <w:rPr>
            <w:rFonts w:ascii="Arial" w:cs="Arial" w:eastAsia="Arial" w:hAnsi="Arial"/>
            <w:sz w:val="18"/>
            <w:szCs w:val="18"/>
            <w:color w:val="auto"/>
          </w:rPr>
          <w:t xml:space="preserve">operations and certain non-recurring expenditures. For a list of our material contractual commitments, refer to </w:t>
        </w:r>
        <w:r>
          <w:rPr>
            <w:rFonts w:ascii="Arial" w:cs="Arial" w:eastAsia="Arial" w:hAnsi="Arial"/>
            <w:sz w:val="18"/>
            <w:szCs w:val="18"/>
            <w:u w:val="single" w:color="auto"/>
            <w:color w:val="0000FF"/>
          </w:rPr>
          <w:t>Note 10 - Commitments and Contingent</w:t>
        </w:r>
      </w:hyperlink>
      <w:r>
        <w:rPr>
          <w:rFonts w:ascii="Arial" w:cs="Arial" w:eastAsia="Arial" w:hAnsi="Arial"/>
          <w:sz w:val="18"/>
          <w:szCs w:val="18"/>
          <w:color w:val="auto"/>
        </w:rPr>
        <w:t xml:space="preserve"> </w:t>
      </w:r>
      <w:hyperlink w:anchor="page46">
        <w:r>
          <w:rPr>
            <w:rFonts w:ascii="Arial" w:cs="Arial" w:eastAsia="Arial" w:hAnsi="Arial"/>
            <w:sz w:val="18"/>
            <w:szCs w:val="18"/>
            <w:u w:val="single" w:color="auto"/>
            <w:color w:val="0000FF"/>
          </w:rPr>
          <w:t>Liabilities</w:t>
        </w:r>
        <w:r>
          <w:rPr>
            <w:rFonts w:ascii="Arial" w:cs="Arial" w:eastAsia="Arial" w:hAnsi="Arial"/>
            <w:sz w:val="18"/>
            <w:szCs w:val="18"/>
            <w:color w:val="000000"/>
          </w:rPr>
          <w:t>.</w:t>
        </w:r>
      </w:hyperlink>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long-term obligations consist primarily of principal payments on our outstanding debt obligations and future funding commitments under our lease and loan agreements. As of September 30, 2021, we have $4.8 billion of debt obligations outstanding, none of which are maturing in the next twelve months. As of September 30, 2021, we have $100.3 million in future funding commitments consisting of (i) $60.3 million related to the Great Wolf Mezzanine Loan,</w:t>
      </w:r>
    </w:p>
    <w:p>
      <w:pPr>
        <w:spacing w:after="0" w:line="1" w:lineRule="exact"/>
        <w:rPr>
          <w:sz w:val="20"/>
          <w:szCs w:val="20"/>
          <w:color w:val="auto"/>
        </w:rPr>
      </w:pPr>
    </w:p>
    <w:p>
      <w:pPr>
        <w:jc w:val="both"/>
        <w:ind w:firstLine="8"/>
        <w:spacing w:after="0" w:line="253" w:lineRule="auto"/>
        <w:tabs>
          <w:tab w:leader="none" w:pos="2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$25.0 million related to the ROV Credit Facility and (iii) $15.0 million related to the Chelsea Piers Mortgage Loan. Subsequent to September 30, 2021, on October 4, 2021, the ROV Credit Facility was terminated and no future commitments are due under such facility. For a summary of principal debt balances and their maturity dates and principal terms, refer to </w:t>
      </w:r>
      <w:hyperlink w:anchor="page38">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xml:space="preserve">. For a summary of our future funding commitments under our loan portfolio, refer to </w:t>
      </w:r>
      <w:hyperlink w:anchor="page26">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136" w:lineRule="exact"/>
        <w:rPr>
          <w:rFonts w:ascii="Arial" w:cs="Arial" w:eastAsia="Arial" w:hAnsi="Arial"/>
          <w:sz w:val="18"/>
          <w:szCs w:val="18"/>
          <w:color w:val="auto"/>
        </w:rPr>
      </w:pPr>
    </w:p>
    <w:p>
      <w:pPr>
        <w:spacing w:after="0" w:line="276"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pursuant to the Lease Agreements are described in </w:t>
      </w:r>
      <w:hyperlink w:anchor="page26">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September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2021 (remaining)</w:t>
            </w:r>
          </w:p>
        </w:tc>
        <w:tc>
          <w:tcPr>
            <w:tcW w:w="280" w:type="dxa"/>
            <w:vAlign w:val="bottom"/>
          </w:tcPr>
          <w:p>
            <w:pPr>
              <w:spacing w:after="0"/>
              <w:rPr>
                <w:sz w:val="13"/>
                <w:szCs w:val="13"/>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1"/>
              <w:spacing w:after="0" w:line="158" w:lineRule="exact"/>
              <w:rPr>
                <w:sz w:val="20"/>
                <w:szCs w:val="20"/>
                <w:color w:val="auto"/>
              </w:rPr>
            </w:pPr>
            <w:r>
              <w:rPr>
                <w:rFonts w:ascii="Arial" w:cs="Arial" w:eastAsia="Arial" w:hAnsi="Arial"/>
                <w:sz w:val="16"/>
                <w:szCs w:val="16"/>
                <w:b w:val="1"/>
                <w:bCs w:val="1"/>
                <w:color w:val="auto"/>
              </w:rPr>
              <w:t>2025 and</w:t>
            </w:r>
          </w:p>
        </w:tc>
        <w:tc>
          <w:tcPr>
            <w:tcW w:w="0" w:type="dxa"/>
            <w:vAlign w:val="bottom"/>
          </w:tcPr>
          <w:p>
            <w:pPr>
              <w:spacing w:after="0"/>
              <w:rPr>
                <w:sz w:val="1"/>
                <w:szCs w:val="1"/>
                <w:color w:val="auto"/>
              </w:rPr>
            </w:pPr>
          </w:p>
        </w:tc>
      </w:tr>
      <w:tr>
        <w:trPr>
          <w:trHeight w:val="213"/>
        </w:trPr>
        <w:tc>
          <w:tcPr>
            <w:tcW w:w="3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line="229"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2026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line="229" w:lineRule="exact"/>
              <w:rPr>
                <w:sz w:val="20"/>
                <w:szCs w:val="20"/>
                <w:color w:val="auto"/>
              </w:rPr>
            </w:pPr>
            <w:r>
              <w:rPr>
                <w:rFonts w:ascii="Arial" w:cs="Arial" w:eastAsia="Arial" w:hAnsi="Arial"/>
                <w:sz w:val="18"/>
                <w:szCs w:val="18"/>
                <w:color w:val="auto"/>
              </w:rPr>
              <w:t xml:space="preserve">2027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2029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line="229" w:lineRule="exact"/>
              <w:rPr>
                <w:sz w:val="20"/>
                <w:szCs w:val="20"/>
                <w:color w:val="auto"/>
              </w:rPr>
            </w:pPr>
            <w:r>
              <w:rPr>
                <w:rFonts w:ascii="Arial" w:cs="Arial" w:eastAsia="Arial" w:hAnsi="Arial"/>
                <w:sz w:val="18"/>
                <w:szCs w:val="18"/>
                <w:color w:val="auto"/>
              </w:rPr>
              <w:t xml:space="preserve">2030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Scheduled interest payments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668,437</w:t>
            </w:r>
          </w:p>
        </w:tc>
        <w:tc>
          <w:tcPr>
            <w:tcW w:w="0" w:type="dxa"/>
            <w:vAlign w:val="bottom"/>
          </w:tcPr>
          <w:p>
            <w:pPr>
              <w:spacing w:after="0"/>
              <w:rPr>
                <w:sz w:val="1"/>
                <w:szCs w:val="1"/>
                <w:color w:val="auto"/>
              </w:rPr>
            </w:pPr>
          </w:p>
        </w:tc>
      </w:tr>
      <w:tr>
        <w:trPr>
          <w:trHeight w:val="222"/>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contractual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6,063,114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5,418,437</w:t>
            </w:r>
          </w:p>
        </w:tc>
        <w:tc>
          <w:tcPr>
            <w:tcW w:w="0" w:type="dxa"/>
            <w:vAlign w:val="bottom"/>
          </w:tcPr>
          <w:p>
            <w:pPr>
              <w:spacing w:after="0"/>
              <w:rPr>
                <w:sz w:val="1"/>
                <w:szCs w:val="1"/>
                <w:color w:val="auto"/>
              </w:rPr>
            </w:pPr>
          </w:p>
        </w:tc>
      </w:tr>
      <w:tr>
        <w:trPr>
          <w:trHeight w:val="249"/>
        </w:trPr>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and contracts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100,339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12,446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47,893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line="229"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Operating lease for Cascata Golf Course</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100"/>
              <w:spacing w:after="0" w:line="176" w:lineRule="exact"/>
              <w:rPr>
                <w:sz w:val="20"/>
                <w:szCs w:val="20"/>
                <w:color w:val="auto"/>
              </w:rPr>
            </w:pPr>
            <w:r>
              <w:rPr>
                <w:rFonts w:ascii="Arial" w:cs="Arial" w:eastAsia="Arial" w:hAnsi="Arial"/>
                <w:sz w:val="18"/>
                <w:szCs w:val="18"/>
                <w:color w:val="auto"/>
                <w:w w:val="97"/>
              </w:rPr>
              <w:t>Golf maintenance contract for Rio Secco</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rPr>
                <w:sz w:val="20"/>
                <w:szCs w:val="20"/>
                <w:color w:val="auto"/>
              </w:rPr>
            </w:pPr>
            <w:r>
              <w:rPr>
                <w:rFonts w:ascii="Arial" w:cs="Arial" w:eastAsia="Arial" w:hAnsi="Arial"/>
                <w:sz w:val="18"/>
                <w:szCs w:val="18"/>
                <w:color w:val="auto"/>
              </w:rPr>
              <w:t>and Cascata Golf Course</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 leases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22"/>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leases and contract obligations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60,984</w:t>
            </w:r>
          </w:p>
        </w:tc>
        <w:tc>
          <w:tcPr>
            <w:tcW w:w="0" w:type="dxa"/>
            <w:vAlign w:val="bottom"/>
          </w:tcPr>
          <w:p>
            <w:pPr>
              <w:spacing w:after="0"/>
              <w:rPr>
                <w:sz w:val="1"/>
                <w:szCs w:val="1"/>
                <w:color w:val="auto"/>
              </w:rPr>
            </w:pPr>
          </w:p>
        </w:tc>
      </w:tr>
      <w:tr>
        <w:trPr>
          <w:trHeight w:val="249"/>
        </w:trPr>
        <w:tc>
          <w:tcPr>
            <w:tcW w:w="32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260" w:type="dxa"/>
            <w:vAlign w:val="bottom"/>
          </w:tcPr>
          <w:p>
            <w:pPr>
              <w:ind w:left="20"/>
              <w:spacing w:after="0"/>
              <w:rPr>
                <w:sz w:val="20"/>
                <w:szCs w:val="20"/>
                <w:color w:val="auto"/>
              </w:rPr>
            </w:pPr>
            <w:r>
              <w:rPr>
                <w:rFonts w:ascii="Arial" w:cs="Arial" w:eastAsia="Arial" w:hAnsi="Arial"/>
                <w:sz w:val="18"/>
                <w:szCs w:val="18"/>
                <w:color w:val="auto"/>
              </w:rPr>
              <w:t>Total contractual commitments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6,198,003</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198,274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5,479,421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6" w:lineRule="exact"/>
        <w:rPr>
          <w:sz w:val="20"/>
          <w:szCs w:val="20"/>
          <w:color w:val="auto"/>
        </w:rPr>
      </w:pPr>
    </w:p>
    <w:p>
      <w:pPr>
        <w:jc w:val="both"/>
        <w:ind w:righ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2025 Notes, 2026 Notes, 2027 Notes, 2029 Notes and 2030 Notes will mature on February 15, 2025, December 1, 2026, February 15, 2027, December 1, 2029 and August 15, 2030,</w:t>
      </w:r>
      <w:r>
        <w:rPr>
          <w:rFonts w:ascii="Arial" w:cs="Arial" w:eastAsia="Arial" w:hAnsi="Arial"/>
          <w:sz w:val="14"/>
          <w:szCs w:val="14"/>
          <w:color w:val="auto"/>
        </w:rPr>
        <w:t xml:space="preserve"> </w:t>
      </w:r>
      <w:r>
        <w:rPr>
          <w:rFonts w:ascii="Arial" w:cs="Arial" w:eastAsia="Arial" w:hAnsi="Arial"/>
          <w:sz w:val="14"/>
          <w:szCs w:val="14"/>
          <w:i w:val="1"/>
          <w:iCs w:val="1"/>
          <w:color w:val="auto"/>
        </w:rPr>
        <w:t>respectively.</w:t>
      </w:r>
    </w:p>
    <w:p>
      <w:pPr>
        <w:spacing w:after="0" w:line="1"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Revolving Credit Facility will mature on May 15, 2024.</w:t>
      </w:r>
    </w:p>
    <w:p>
      <w:pPr>
        <w:jc w:val="both"/>
        <w:ind w:firstLine="8"/>
        <w:spacing w:after="0" w:line="247" w:lineRule="auto"/>
        <w:tabs>
          <w:tab w:leader="none" w:pos="213"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construction draw schedule, commitment funding date or expiration date, as applicable, however we may be obligated to fund these commitments earlier than such date. Subsequent to September 30, 2021, on October 4, 2021, the ROV Credit Facility was terminated and no future commitments are due under such facility.</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expect the Venetian Acquisition to close in the first quarter of 2022 and the MGP Transactions to close in the first half of 2022, and expect to fund the purchases with a mix of cash on hand, proceeds from the physical settlement of our outstanding forward sale agreements, and debt (through additional long-term debt financing, under our Revolving Credit Facility, under our Venetian Acquisition Bridge Facility and/or under the MGP Transactions Bridge Facility, as the case may be). In particular, we currently intend to issue additional senior unsecured notes to fund a portion of the cash consideration for the Venetian Acquisition and the entire cash portion of the MGP Transactions, but, absent such a long-term debt financing, we may draw on the Venetian Acquisition Bridge Facility and/or MGP Transactions Bridge Facility in connection with the closing of the Venetian Acquisition or MGP Transactions, respectively, to fund a portion of the consideration and then, in the future, would expect to incur long-term debt financing to refinance such amounts borrowed under the Venetian Acquisition Bridge Facility or MGP Transactions Bridge Facility, as applicable, subject to market and other conditions. Our ability to raise long-term debt financing on favorable terms or at all may be adversely affected by market or economic conditions that change after the date of this Quarterly Report on Form 10-Q. If we draw upon the Venetian Acquisition Bridge Facility or MGP Transactions Bridge Facility, there can be no assurances that we would be able to refinance the Venetian Acquisition Bridge Facility or MGP Transactions Bridge Facility, as applicable, on terms satisfactory to us, or at all. We anticipate funding future transactions with a mix of debt, equity and available cash.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short-term investments, cash received under our Lease Agreements, borrowings from banks, including undrawn capacity under our Revolving Credit Facility, and proceeds from the issuance of debt and equity securities (including issuances under our outstanding forward sale agreements and our ATM Agreement).</w:t>
      </w:r>
    </w:p>
    <w:p>
      <w:pPr>
        <w:spacing w:after="0" w:line="134"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All of the Lease Agreements call for an initial term of between fifteen and twenty years with additional tenant renewal options and are designed to provide us with a reliable and predictable long-term revenue stream. However, the COVID-19 pandemic has adversely impacted our tenants and their financial condition, and may continue to do so, due to the impact of operating restrictions and limitations imposed from time to time, as well as potential property reclosures.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2024. For more information, refer to the risk factors incorporated by reference into </w:t>
      </w:r>
      <w:hyperlink w:anchor="page74">
        <w:r>
          <w:rPr>
            <w:rFonts w:ascii="Arial" w:cs="Arial" w:eastAsia="Arial" w:hAnsi="Arial"/>
            <w:sz w:val="17"/>
            <w:szCs w:val="17"/>
            <w:u w:val="single" w:color="auto"/>
            <w:color w:val="0000FF"/>
          </w:rPr>
          <w:t>Part II. Item 1A. 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herein from our </w:t>
      </w:r>
      <w:hyperlink r:id="rId82">
        <w:r>
          <w:rPr>
            <w:rFonts w:ascii="Arial" w:cs="Arial" w:eastAsia="Arial" w:hAnsi="Arial"/>
            <w:sz w:val="17"/>
            <w:szCs w:val="17"/>
            <w:u w:val="single" w:color="auto"/>
            <w:color w:val="0000FF"/>
          </w:rPr>
          <w:t>Annual Report on Form 10-K for the year ended December 31, 2020</w:t>
        </w:r>
      </w:hyperlink>
      <w:r>
        <w:rPr>
          <w:rFonts w:ascii="Arial" w:cs="Arial" w:eastAsia="Arial" w:hAnsi="Arial"/>
          <w:sz w:val="17"/>
          <w:szCs w:val="17"/>
          <w:color w:val="auto"/>
        </w:rPr>
        <w:t>.</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cash flows from operations and our ability to access capital resources could be adversely affected due to uncertain economic factors and volatility in the financial and credit markets, including as a result of the COVID-19 pandemic. In particular, in connection with the COVID-19 pandemic and its impact on our tenants’ operations and financial performance, we can provide no assurances that our tenants will not default on their leases or fail to make full rental payments if their businesses become challenged due to, among other things, current or future adverse economic conditions. In addition, any such tenant default or failure to make full rental payments could impact our operating performance and result in us not satisfying the financial covenants applicable to our outstanding indebtedness, which could result in us not being able to incur additional debt, including the available capacity under our Revolving Credit Facility, or result in a default. Further, current or future economic conditions could impact our tenants’ ability to meet capital improvement requirements or other obligations required in our Lease Agreements that could result in a decrease in the value of our properties.</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ability to raise funds through the issuance of debt and equity securities and access to other third-party sources of capital in the future will be dependent on, among other things, uncertainties related to COVID-19 and the impact of our response and our tenants’ responses to COVID-19,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nine months ended September 30,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5"/>
          </w:tcPr>
          <w:p>
            <w:pPr>
              <w:ind w:left="26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4"/>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3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32"/>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472"/>
              <w:spacing w:after="0" w:line="175" w:lineRule="exact"/>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9"/>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610,924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539,521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71,403</w:t>
            </w: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Provided by (used in) investing activities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4,576,205</w:t>
            </w: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(Used in) provided by financing activities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3,058,992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(3,336,251)</w:t>
            </w:r>
          </w:p>
        </w:tc>
      </w:tr>
      <w:tr>
        <w:trPr>
          <w:trHeight w:val="222"/>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1,311,357</w:t>
            </w: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(785,900)</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provided by operating activities increased $71.4 million for the nine months ended September 30, 2021 compared with the nine months ended September 30, 2020. The increase is primarily driven by an increase in cash rental and interest payments from the Eldorado Transaction in July 2020 and the addition of the Amended and Restated ROV Loan, the Chelsea Piers Mortgage Loan, the Forum Convention Center Mortgage Loan and the Great Wolf Mezzanine Loan to our real estate portfolio in July 2020, August 2020, September 2020 and June 2021, respectively. The increase was partially offset by the $64.2 million payment for early settlement of the outstanding interest rate swap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Net cash provided by investing activities increased $4,576.2 million for the nine months ended September 30, 2021 compared with the nine months ended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the primary sources and uses of cash from investing activities included:</w:t>
      </w:r>
    </w:p>
    <w:p>
      <w:pPr>
        <w:spacing w:after="0" w:line="116" w:lineRule="exact"/>
        <w:rPr>
          <w:sz w:val="20"/>
          <w:szCs w:val="20"/>
          <w:color w:val="auto"/>
        </w:rPr>
      </w:pPr>
    </w:p>
    <w:p>
      <w:pPr>
        <w:ind w:left="640" w:hanging="309"/>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Proceeds from partial repayment of the Amended and Restated ROV Loan and receipt of deferred fees of $30.4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$20.0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to fund a portion of the Great Wolf Mezzanine Loan in the amount of $19.2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Final payment of the funding of a new gaming patio amenity at JACK Thistledown Racino of $6.0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Capitalized transaction costs of $9.2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Proceeds from the sale of certain parcels of vacant land in the aggregate amount of $3.8 million; and</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Acquisition of property and equipment costs of $1.7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the primary sources and uses of cash from investing activities include:</w:t>
      </w:r>
    </w:p>
    <w:p>
      <w:pPr>
        <w:spacing w:after="0" w:line="116" w:lineRule="exact"/>
        <w:rPr>
          <w:sz w:val="20"/>
          <w:szCs w:val="20"/>
          <w:color w:val="auto"/>
        </w:rPr>
      </w:pPr>
    </w:p>
    <w:p>
      <w:pPr>
        <w:ind w:left="640" w:hanging="309"/>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JACK Cleveland/Thistledown Acquisition and the Eldorado Transaction for a total cost of $4,101.8 million, including acquisition costs;</w:t>
      </w:r>
    </w:p>
    <w:p>
      <w:pPr>
        <w:spacing w:after="0" w:line="127" w:lineRule="exact"/>
        <w:rPr>
          <w:rFonts w:ascii="Arial" w:cs="Arial" w:eastAsia="Arial" w:hAnsi="Arial"/>
          <w:sz w:val="17"/>
          <w:szCs w:val="17"/>
          <w:color w:val="auto"/>
        </w:rPr>
      </w:pPr>
    </w:p>
    <w:p>
      <w:pPr>
        <w:ind w:left="660" w:hanging="329"/>
        <w:spacing w:after="0" w:line="276"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ROV Loan, the Chelsea Piers Mortgage Loan and the Forum Convention Center Mortgage Loan for a total cost of $535.5 million, including loan origination costs;</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Proceeds from the sale of Harrah’s Reno in the aggregate amount of $31.1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$39.5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Capitalized transaction costs of $0.8 million; and</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Acquisition of property and equipment costs of $2.5 million.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Net cash used in financing activities decreased $3,336.3 million for the nine months ended September 30, 2021, compared with the nine months ended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the primary uses of cash in financing activities included:</w:t>
      </w:r>
    </w:p>
    <w:p>
      <w:pPr>
        <w:spacing w:after="0" w:line="116" w:lineRule="exact"/>
        <w:rPr>
          <w:sz w:val="20"/>
          <w:szCs w:val="20"/>
          <w:color w:val="auto"/>
        </w:rPr>
      </w:pPr>
    </w:p>
    <w:p>
      <w:pPr>
        <w:ind w:left="660" w:hanging="329"/>
        <w:spacing w:after="0" w:line="276"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proceeds from the sale of an aggregate of $2,386.1 million of our common stock from our September 2021 equity offering and pursuant to the full physical settlement of the June 2020 Forward Sale Agreement;</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Full repayment of the $2,100.0 million outstanding aggregate principal amount of our Term Loan B Facility;</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Dividend payments of $532.4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Debt issuance costs of $23.2 million; and</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Distributions of $6.2 million to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the primary sources and uses of cash from financing activities included:</w:t>
      </w:r>
    </w:p>
    <w:p>
      <w:pPr>
        <w:spacing w:after="0" w:line="116" w:lineRule="exact"/>
        <w:rPr>
          <w:sz w:val="20"/>
          <w:szCs w:val="20"/>
          <w:color w:val="auto"/>
        </w:rPr>
      </w:pPr>
    </w:p>
    <w:p>
      <w:pPr>
        <w:ind w:left="660" w:right="20" w:hanging="329"/>
        <w:spacing w:after="0" w:line="27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proceeds from the sale of an aggregate of $1,539.7 million of our common stock pursuant to the full physical settlement of the forward sale agreements entered into in June 2019 and our ATM Program;</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Gross proceeds from our February 2020 Senior Unsecured Notes offering of $2,500.0 million;</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Full redemption of the $498.5 million outstanding aggregate principal amount of our Second Lien Notes, as well as the $39.0 million Second Lien Notes Applicable Premium (as defined in the Second Lien Notes indenture), plus fees;</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 payments of $435.2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Debt issuance costs of $57.8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Reimbursement of the CPLV CMBS Debt prepayment penalty from Caesars in the amount of $55.4 million; and</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Distributions of $5.4 million to non-controlling 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summary of our debt obligations as of September 30, 2021, refer to </w:t>
      </w:r>
      <w:hyperlink w:anchor="page38">
        <w:r>
          <w:rPr>
            <w:rFonts w:ascii="Arial" w:cs="Arial" w:eastAsia="Arial" w:hAnsi="Arial"/>
            <w:sz w:val="18"/>
            <w:szCs w:val="18"/>
            <w:u w:val="single" w:color="auto"/>
            <w:color w:val="0000FF"/>
          </w:rPr>
          <w:t>Note 7 - Debt</w:t>
        </w:r>
      </w:hyperlink>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2021, we were in compliance with all debt-related covenants.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Non-Guarantor Subsidiaries of Senior Unsecured Notes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subsidiaries of the Operating Partnership that do not guarantee the Senior Unsecured Notes accounted for (i) 4.6% of the Operating Partnership’s revenue (or 4.5% of our consolidated revenue) for the nine months ended September 30, 2021 and (ii) 3.7% of the Operating Partnership’s total assets (or 3.7% of our consolidated total assets) as of September 30, 2021.</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5"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nine months ended September 30, 2021 and 2020 were as follows: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Nine Months Ended September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Payment Date</w:t>
            </w:r>
          </w:p>
        </w:tc>
        <w:tc>
          <w:tcPr>
            <w:tcW w:w="34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1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 2021 - March 31, 2021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29"/>
        </w:trPr>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2021</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24, 2021</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8, 2021</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April 1, 2021 - June 30, 2021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0.3300</w:t>
            </w:r>
          </w:p>
        </w:tc>
      </w:tr>
      <w:tr>
        <w:trPr>
          <w:trHeight w:val="229"/>
        </w:trPr>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4, 2021</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24, 2021</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7, 2021</w:t>
            </w:r>
          </w:p>
        </w:tc>
        <w:tc>
          <w:tcPr>
            <w:tcW w:w="3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2021 - September 30, 2021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0.3600</w:t>
            </w: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2020</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Dividend</w:t>
            </w:r>
          </w:p>
        </w:tc>
      </w:tr>
      <w:tr>
        <w:trPr>
          <w:trHeight w:val="225"/>
        </w:trPr>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April 9, 2020</w:t>
            </w:r>
          </w:p>
        </w:tc>
        <w:tc>
          <w:tcPr>
            <w:tcW w:w="10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2020 - March 31, 2020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r>
      <w:tr>
        <w:trPr>
          <w:trHeight w:val="229"/>
        </w:trPr>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11, 2020</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30, 2020</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10, 2020</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April 1, 2020 - June 30,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0.2975</w:t>
            </w:r>
          </w:p>
        </w:tc>
      </w:tr>
      <w:tr>
        <w:trPr>
          <w:trHeight w:val="229"/>
        </w:trPr>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10, 2020</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30, 2020</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8, 2020</w:t>
            </w: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 2020 - September 30, 2020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0.3300</w:t>
            </w:r>
          </w:p>
        </w:tc>
      </w:tr>
    </w:tbl>
    <w:p>
      <w:pPr>
        <w:spacing w:after="0" w:line="24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69" w:lineRule="exact"/>
        <w:rPr>
          <w:sz w:val="20"/>
          <w:szCs w:val="20"/>
          <w:color w:val="auto"/>
        </w:rPr>
      </w:pPr>
    </w:p>
    <w:p>
      <w:pPr>
        <w:jc w:val="both"/>
        <w:spacing w:after="0" w:line="306" w:lineRule="auto"/>
        <w:rPr>
          <w:rFonts w:ascii="Arial" w:cs="Arial" w:eastAsia="Arial" w:hAnsi="Arial"/>
          <w:sz w:val="17"/>
          <w:szCs w:val="17"/>
          <w:color w:val="0000FF"/>
        </w:rPr>
      </w:pPr>
      <w:hyperlink r:id="rId81">
        <w:r>
          <w:rPr>
            <w:rFonts w:ascii="Arial" w:cs="Arial" w:eastAsia="Arial" w:hAnsi="Arial"/>
            <w:sz w:val="17"/>
            <w:szCs w:val="17"/>
            <w:color w:val="auto"/>
          </w:rPr>
          <w:t xml:space="preserve">A complete discussion of our critical accounting policies and estimates is included in our </w:t>
        </w:r>
        <w:r>
          <w:rPr>
            <w:rFonts w:ascii="Arial" w:cs="Arial" w:eastAsia="Arial" w:hAnsi="Arial"/>
            <w:sz w:val="17"/>
            <w:szCs w:val="17"/>
            <w:u w:val="single" w:color="auto"/>
            <w:color w:val="0000FF"/>
          </w:rPr>
          <w:t>Annual Report on Form 10-K for the year ended December 31,</w:t>
        </w:r>
      </w:hyperlink>
      <w:r>
        <w:rPr>
          <w:rFonts w:ascii="Arial" w:cs="Arial" w:eastAsia="Arial" w:hAnsi="Arial"/>
          <w:sz w:val="17"/>
          <w:szCs w:val="17"/>
          <w:color w:val="auto"/>
        </w:rPr>
        <w:t xml:space="preserve"> </w:t>
      </w:r>
      <w:hyperlink r:id="rId81">
        <w:r>
          <w:rPr>
            <w:rFonts w:ascii="Arial" w:cs="Arial" w:eastAsia="Arial" w:hAnsi="Arial"/>
            <w:sz w:val="17"/>
            <w:szCs w:val="17"/>
            <w:u w:val="single" w:color="auto"/>
            <w:color w:val="0000FF"/>
          </w:rPr>
          <w:t>2020</w:t>
        </w:r>
        <w:r>
          <w:rPr>
            <w:rFonts w:ascii="Arial" w:cs="Arial" w:eastAsia="Arial" w:hAnsi="Arial"/>
            <w:sz w:val="17"/>
            <w:szCs w:val="17"/>
            <w:color w:val="000000"/>
          </w:rPr>
          <w:t>. There have been no significant changes in our critical policies and estimates for the nine months ended September 30, 2021.</w:t>
        </w:r>
      </w:hyperlink>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interest rate risk management objective is to limit the impact of future interest rate changes on our earnings and cash flows. To achieve this objective, our consolidated subsidiaries primarily borrow on a fixed-rate basis for longer-term debt issuances. At September 30, 2021, we had $4.8 billion aggregate principal amount of outstanding indebtedness, all of which has fixed rate interest. We are exposed to interest rate risk between the time we enter into a transaction and the time we finance the related transaction with long-term fixed-rate debt. In addition, when that long-term debt matures, we may have to refinance the real estate at a higher interest rate. Market interest rates are sensitive to many factors that are beyond our control.</w:t>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our principal executive officer and principal financial officer, as appropriate, to allow timely decisions regarding required disclosure.</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three months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32" w:lineRule="exact"/>
        <w:rPr>
          <w:sz w:val="20"/>
          <w:szCs w:val="20"/>
          <w:color w:val="auto"/>
        </w:rPr>
      </w:pPr>
    </w:p>
    <w:p>
      <w:pPr>
        <w:jc w:val="both"/>
        <w:ind w:right="20"/>
        <w:spacing w:after="0" w:line="245" w:lineRule="auto"/>
        <w:rPr>
          <w:rFonts w:ascii="Arial" w:cs="Arial" w:eastAsia="Arial" w:hAnsi="Arial"/>
          <w:sz w:val="18"/>
          <w:szCs w:val="18"/>
          <w:color w:val="auto"/>
        </w:rPr>
      </w:pPr>
      <w:r>
        <w:rPr>
          <w:rFonts w:ascii="Arial" w:cs="Arial" w:eastAsia="Arial" w:hAnsi="Arial"/>
          <w:sz w:val="18"/>
          <w:szCs w:val="18"/>
          <w:color w:val="auto"/>
        </w:rPr>
        <w:t xml:space="preserve">The information contained under the heading “Litigation” in </w:t>
      </w:r>
      <w:hyperlink w:anchor="page46">
        <w:r>
          <w:rPr>
            <w:rFonts w:ascii="Arial" w:cs="Arial" w:eastAsia="Arial" w:hAnsi="Arial"/>
            <w:sz w:val="18"/>
            <w:szCs w:val="18"/>
            <w:u w:val="single" w:color="auto"/>
            <w:color w:val="0000FF"/>
          </w:rPr>
          <w:t>Note 10 - Commitments and Contingent Liabilities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Financial Statements included in this report is incorporated by reference into this Item 1.</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4" w:lineRule="exact"/>
        <w:rPr>
          <w:sz w:val="20"/>
          <w:szCs w:val="20"/>
          <w:color w:val="auto"/>
        </w:rPr>
      </w:pPr>
    </w:p>
    <w:p>
      <w:pPr>
        <w:jc w:val="both"/>
        <w:spacing w:after="0" w:line="256" w:lineRule="auto"/>
        <w:rPr>
          <w:rFonts w:ascii="Arial" w:cs="Arial" w:eastAsia="Arial" w:hAnsi="Arial"/>
          <w:sz w:val="18"/>
          <w:szCs w:val="18"/>
          <w:color w:val="000000"/>
        </w:rPr>
      </w:pPr>
      <w:hyperlink r:id="rId81">
        <w:r>
          <w:rPr>
            <w:rFonts w:ascii="Arial" w:cs="Arial" w:eastAsia="Arial" w:hAnsi="Arial"/>
            <w:sz w:val="18"/>
            <w:szCs w:val="18"/>
            <w:color w:val="auto"/>
          </w:rPr>
          <w:t xml:space="preserve">A description of certain factors that may affect our future results and risk factors is set forth in our </w:t>
        </w:r>
        <w:r>
          <w:rPr>
            <w:rFonts w:ascii="Arial" w:cs="Arial" w:eastAsia="Arial" w:hAnsi="Arial"/>
            <w:sz w:val="18"/>
            <w:szCs w:val="18"/>
            <w:u w:val="single" w:color="auto"/>
            <w:color w:val="0000FF"/>
          </w:rPr>
          <w:t>Annual Report on Form 10-K for the year ended</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December 31, 2020</w:t>
        </w:r>
        <w:r>
          <w:rPr>
            <w:rFonts w:ascii="Arial" w:cs="Arial" w:eastAsia="Arial" w:hAnsi="Arial"/>
            <w:sz w:val="18"/>
            <w:szCs w:val="18"/>
            <w:color w:val="000000"/>
          </w:rPr>
          <w:t>. There have been no material changes to those factors for the nine months ended September 30, 2021, except as set forth below and in</w:t>
        </w:r>
      </w:hyperlink>
      <w:r>
        <w:rPr>
          <w:rFonts w:ascii="Arial" w:cs="Arial" w:eastAsia="Arial" w:hAnsi="Arial"/>
          <w:sz w:val="18"/>
          <w:szCs w:val="18"/>
          <w:color w:val="0000FF"/>
        </w:rPr>
        <w:t xml:space="preserve"> </w:t>
      </w:r>
      <w:r>
        <w:rPr>
          <w:rFonts w:ascii="Arial" w:cs="Arial" w:eastAsia="Arial" w:hAnsi="Arial"/>
          <w:sz w:val="18"/>
          <w:szCs w:val="18"/>
          <w:color w:val="000000"/>
        </w:rPr>
        <w:t xml:space="preserve">our </w:t>
      </w:r>
      <w:hyperlink r:id="rId105">
        <w:r>
          <w:rPr>
            <w:rFonts w:ascii="Arial" w:cs="Arial" w:eastAsia="Arial" w:hAnsi="Arial"/>
            <w:sz w:val="18"/>
            <w:szCs w:val="18"/>
            <w:u w:val="single" w:color="auto"/>
            <w:color w:val="0000FF"/>
          </w:rPr>
          <w:t>Quarterly Report on Form 10-Q for the quarter ended March 31, 2021</w:t>
        </w:r>
      </w:hyperlink>
      <w:r>
        <w:rPr>
          <w:rFonts w:ascii="Arial" w:cs="Arial" w:eastAsia="Arial" w:hAnsi="Arial"/>
          <w:sz w:val="18"/>
          <w:szCs w:val="18"/>
          <w:color w:val="000000"/>
        </w:rPr>
        <w:t xml:space="preserve">, which risk factors are incorporated herein by reference. The risk factors set forth below supplement, and should be read together with, the risk factors disclosed in our </w:t>
      </w:r>
      <w:hyperlink r:id="rId81">
        <w:r>
          <w:rPr>
            <w:rFonts w:ascii="Arial" w:cs="Arial" w:eastAsia="Arial" w:hAnsi="Arial"/>
            <w:sz w:val="18"/>
            <w:szCs w:val="18"/>
            <w:u w:val="single" w:color="auto"/>
            <w:color w:val="0000FF"/>
          </w:rPr>
          <w:t>Annual Report on Form 10-K for the year ended December 31, 2020</w:t>
        </w:r>
      </w:hyperlink>
      <w:r>
        <w:rPr>
          <w:rFonts w:ascii="Arial" w:cs="Arial" w:eastAsia="Arial" w:hAnsi="Arial"/>
          <w:sz w:val="18"/>
          <w:szCs w:val="18"/>
          <w:color w:val="000000"/>
        </w:rPr>
        <w:t xml:space="preserve"> and our </w:t>
      </w:r>
      <w:hyperlink r:id="rId105">
        <w:r>
          <w:rPr>
            <w:rFonts w:ascii="Arial" w:cs="Arial" w:eastAsia="Arial" w:hAnsi="Arial"/>
            <w:sz w:val="18"/>
            <w:szCs w:val="18"/>
            <w:u w:val="single" w:color="auto"/>
            <w:color w:val="0000FF"/>
          </w:rPr>
          <w:t>Quarterly Report on Form 10-Q for the quarter ended March 31, 2021</w:t>
        </w:r>
      </w:hyperlink>
      <w:r>
        <w:rPr>
          <w:rFonts w:ascii="Arial" w:cs="Arial" w:eastAsia="Arial" w:hAnsi="Arial"/>
          <w:sz w:val="18"/>
          <w:szCs w:val="18"/>
          <w:color w:val="000000"/>
        </w:rPr>
        <w:t>.</w:t>
      </w:r>
    </w:p>
    <w:p>
      <w:pPr>
        <w:spacing w:after="0" w:line="131" w:lineRule="exact"/>
        <w:rPr>
          <w:rFonts w:ascii="Arial" w:cs="Arial" w:eastAsia="Arial" w:hAnsi="Arial"/>
          <w:sz w:val="18"/>
          <w:szCs w:val="18"/>
          <w:color w:val="000000"/>
        </w:rPr>
      </w:pPr>
    </w:p>
    <w:p>
      <w:pPr>
        <w:spacing w:after="0"/>
        <w:rPr>
          <w:sz w:val="20"/>
          <w:szCs w:val="20"/>
          <w:color w:val="auto"/>
        </w:rPr>
      </w:pPr>
      <w:r>
        <w:rPr>
          <w:rFonts w:ascii="Arial" w:cs="Arial" w:eastAsia="Arial" w:hAnsi="Arial"/>
          <w:sz w:val="18"/>
          <w:szCs w:val="18"/>
          <w:b w:val="1"/>
          <w:bCs w:val="1"/>
          <w:color w:val="auto"/>
        </w:rPr>
        <w:t>Risks Related to the Mergers</w:t>
      </w:r>
    </w:p>
    <w:p>
      <w:pPr>
        <w:spacing w:after="0" w:line="174" w:lineRule="exact"/>
        <w:rPr>
          <w:rFonts w:ascii="Arial" w:cs="Arial" w:eastAsia="Arial" w:hAnsi="Arial"/>
          <w:sz w:val="18"/>
          <w:szCs w:val="18"/>
          <w:color w:val="000000"/>
        </w:rPr>
      </w:pPr>
    </w:p>
    <w:p>
      <w:pPr>
        <w:spacing w:after="0"/>
        <w:rPr>
          <w:sz w:val="20"/>
          <w:szCs w:val="20"/>
          <w:color w:val="auto"/>
        </w:rPr>
      </w:pPr>
      <w:r>
        <w:rPr>
          <w:rFonts w:ascii="Arial" w:cs="Arial" w:eastAsia="Arial" w:hAnsi="Arial"/>
          <w:sz w:val="15"/>
          <w:szCs w:val="15"/>
          <w:b w:val="1"/>
          <w:bCs w:val="1"/>
          <w:i w:val="1"/>
          <w:iCs w:val="1"/>
          <w:color w:val="auto"/>
        </w:rPr>
        <w:t>Failure to complete the Mergers in a timely manner or at all could adversely affect our business and operations and negatively affect our stock price.</w:t>
      </w:r>
    </w:p>
    <w:p>
      <w:pPr>
        <w:spacing w:after="0" w:line="205" w:lineRule="exact"/>
        <w:rPr>
          <w:rFonts w:ascii="Arial" w:cs="Arial" w:eastAsia="Arial" w:hAnsi="Arial"/>
          <w:sz w:val="18"/>
          <w:szCs w:val="18"/>
          <w:color w:val="000000"/>
        </w:rPr>
      </w:pPr>
    </w:p>
    <w:p>
      <w:pPr>
        <w:jc w:val="both"/>
        <w:spacing w:after="0" w:line="296" w:lineRule="auto"/>
        <w:rPr>
          <w:sz w:val="20"/>
          <w:szCs w:val="20"/>
          <w:color w:val="auto"/>
        </w:rPr>
      </w:pPr>
      <w:r>
        <w:rPr>
          <w:rFonts w:ascii="Arial" w:cs="Arial" w:eastAsia="Arial" w:hAnsi="Arial"/>
          <w:sz w:val="16"/>
          <w:szCs w:val="16"/>
          <w:color w:val="auto"/>
        </w:rPr>
        <w:t>Under the MGP Master Transaction Agreement, we are subject to certain restrictions on the conduct of our business prior to completing the Mergers. These restrictions, the waiver of which are subject to the written consent of the other party, and subject to certain exceptions and qualifications, may prevent us from pursuing certain strategic transactions, acquiring and disposing of assets, undertaking certain capital expenditure projects, undertaking certain financing transactions and otherwise pursuing other actions that are not in the ordinary course of business, even if such actions could prove beneficial. Additionally, the pendency of the Mergers may cause distractions from our strategies and day-to-day operations for employees and management.</w:t>
      </w:r>
    </w:p>
    <w:p>
      <w:pPr>
        <w:spacing w:after="0" w:line="105" w:lineRule="exact"/>
        <w:rPr>
          <w:rFonts w:ascii="Arial" w:cs="Arial" w:eastAsia="Arial" w:hAnsi="Arial"/>
          <w:sz w:val="18"/>
          <w:szCs w:val="18"/>
          <w:color w:val="000000"/>
        </w:rPr>
      </w:pPr>
    </w:p>
    <w:p>
      <w:pPr>
        <w:jc w:val="both"/>
        <w:spacing w:after="0" w:line="278" w:lineRule="auto"/>
        <w:rPr>
          <w:sz w:val="20"/>
          <w:szCs w:val="20"/>
          <w:color w:val="auto"/>
        </w:rPr>
      </w:pPr>
      <w:r>
        <w:rPr>
          <w:rFonts w:ascii="Arial" w:cs="Arial" w:eastAsia="Arial" w:hAnsi="Arial"/>
          <w:sz w:val="17"/>
          <w:szCs w:val="17"/>
          <w:color w:val="auto"/>
        </w:rPr>
        <w:t>Delays in completing the Mergers or the failure to complete the Mergers at all could adversely affect our business and operations, and, in that event, the market price of shares of our common stock may decline significantly, particularly to the extent that the current market price reflects a market assumption that the Mergers will be completed. If the Mergers are not completed for any reason, we will not achieve the expected benefits thereof. In addition, we will be required to pay certain costs relating to the Mergers, whether or not the Mergers are completed.</w:t>
      </w:r>
    </w:p>
    <w:p>
      <w:pPr>
        <w:spacing w:after="0" w:line="118" w:lineRule="exact"/>
        <w:rPr>
          <w:rFonts w:ascii="Arial" w:cs="Arial" w:eastAsia="Arial" w:hAnsi="Arial"/>
          <w:sz w:val="18"/>
          <w:szCs w:val="18"/>
          <w:color w:val="000000"/>
        </w:rPr>
      </w:pPr>
    </w:p>
    <w:p>
      <w:pPr>
        <w:spacing w:after="0"/>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the stock price of either us or MGP.</w:t>
      </w:r>
    </w:p>
    <w:p>
      <w:pPr>
        <w:spacing w:after="0" w:line="170" w:lineRule="exact"/>
        <w:rPr>
          <w:rFonts w:ascii="Arial" w:cs="Arial" w:eastAsia="Arial" w:hAnsi="Arial"/>
          <w:sz w:val="18"/>
          <w:szCs w:val="18"/>
          <w:color w:val="000000"/>
        </w:rPr>
      </w:pPr>
    </w:p>
    <w:p>
      <w:pPr>
        <w:jc w:val="both"/>
        <w:spacing w:after="0" w:line="258" w:lineRule="auto"/>
        <w:rPr>
          <w:sz w:val="20"/>
          <w:szCs w:val="20"/>
          <w:color w:val="auto"/>
        </w:rPr>
      </w:pPr>
      <w:r>
        <w:rPr>
          <w:rFonts w:ascii="Arial" w:cs="Arial" w:eastAsia="Arial" w:hAnsi="Arial"/>
          <w:sz w:val="18"/>
          <w:szCs w:val="18"/>
          <w:color w:val="auto"/>
        </w:rPr>
        <w:t>At the effective time of the REIT Merger, each outstanding MGP Common Share (other than shares held by MGP or any wholly-owned subsidiary of MGP) will be converted into the right to receive the REIT Merger Consideration, consisting of 1.366 shares of our common stock, plus the right, if any, to receive cash in lieu of fractional shares of our common stock into which such MGP Common Shares would have been converted pursuant to the terms and subject to the conditions set forth in the MGP Master Transaction Agreement.</w:t>
      </w:r>
    </w:p>
    <w:p>
      <w:pPr>
        <w:spacing w:after="0" w:line="134" w:lineRule="exact"/>
        <w:rPr>
          <w:rFonts w:ascii="Arial" w:cs="Arial" w:eastAsia="Arial" w:hAnsi="Arial"/>
          <w:sz w:val="18"/>
          <w:szCs w:val="18"/>
          <w:color w:val="000000"/>
        </w:rPr>
      </w:pPr>
    </w:p>
    <w:p>
      <w:pPr>
        <w:jc w:val="both"/>
        <w:spacing w:after="0" w:line="255" w:lineRule="auto"/>
        <w:rPr>
          <w:sz w:val="20"/>
          <w:szCs w:val="20"/>
          <w:color w:val="auto"/>
        </w:rPr>
      </w:pPr>
      <w:r>
        <w:rPr>
          <w:rFonts w:ascii="Arial" w:cs="Arial" w:eastAsia="Arial" w:hAnsi="Arial"/>
          <w:sz w:val="18"/>
          <w:szCs w:val="18"/>
          <w:color w:val="auto"/>
        </w:rPr>
        <w:t>The Exchange Ratio of 1.366 shares of our common stock per MGP Common Share was fixed in the MGP Master Transaction Agreement and, except for certain adjustments on account of changes in the capitalization of us or MGP, or the payment of certain dividends by us or MGP that are necessary to maintain our or MGP’s respective status as a REIT, will not be adjusted for changes in the market prices of our common stock or MGP Common Shares. Changes in the market price of shares of our common stock prior to the Mergers will affect the market value of the REIT Merger Consideration that MGP shareholders will be entitled to receive on the closing date of the Mergers. Stock price changes may result from a variety of factors (many of which are beyond the control of us and MGP), including the following:</w:t>
      </w:r>
    </w:p>
    <w:p>
      <w:pPr>
        <w:spacing w:after="0" w:line="135" w:lineRule="exact"/>
        <w:rPr>
          <w:rFonts w:ascii="Arial" w:cs="Arial" w:eastAsia="Arial" w:hAnsi="Arial"/>
          <w:sz w:val="18"/>
          <w:szCs w:val="18"/>
          <w:color w:val="000000"/>
        </w:rPr>
      </w:pPr>
    </w:p>
    <w:p>
      <w:pPr>
        <w:ind w:left="640" w:hanging="309"/>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respective businesses, operations, assets, liabilities and prospects of us and MGP;</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financial position and prospects of us or MGP;</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assessments of the likelihood that the Mergers will be completed;</w:t>
      </w:r>
    </w:p>
    <w:p>
      <w:pPr>
        <w:spacing w:after="0" w:line="170"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 rates, general market and economic conditions and other factors generally affecting the market prices of our common stock and MGP Common Shares;</w:t>
      </w:r>
    </w:p>
    <w:p>
      <w:pPr>
        <w:spacing w:after="0" w:line="200" w:lineRule="exact"/>
        <w:rPr>
          <w:rFonts w:ascii="Arial" w:cs="Arial" w:eastAsia="Arial" w:hAnsi="Arial"/>
          <w:sz w:val="18"/>
          <w:szCs w:val="18"/>
          <w:color w:val="000000"/>
        </w:rPr>
      </w:pPr>
    </w:p>
    <w:p>
      <w:pPr>
        <w:spacing w:after="0" w:line="348" w:lineRule="exact"/>
        <w:rPr>
          <w:rFonts w:ascii="Arial" w:cs="Arial" w:eastAsia="Arial" w:hAnsi="Arial"/>
          <w:sz w:val="18"/>
          <w:szCs w:val="18"/>
          <w:color w:val="000000"/>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rFonts w:ascii="Arial" w:cs="Arial" w:eastAsia="Arial" w:hAnsi="Arial"/>
          <w:sz w:val="18"/>
          <w:szCs w:val="18"/>
          <w:color w:val="000000"/>
        </w:rPr>
      </w:pPr>
      <w:r>
        <w:rPr>
          <w:rFonts w:ascii="Arial" w:cs="Arial" w:eastAsia="Arial" w:hAnsi="Arial"/>
          <w:sz w:val="18"/>
          <w:szCs w:val="18"/>
          <w:color w:val="000000"/>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309"/>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federal, state and local legislation, governmental regulation and legal developments in the business in which we and MGP operate; and</w:t>
      </w:r>
    </w:p>
    <w:p>
      <w:pPr>
        <w:spacing w:after="0" w:line="181" w:lineRule="exact"/>
        <w:rPr>
          <w:rFonts w:ascii="Arial" w:cs="Arial" w:eastAsia="Arial" w:hAnsi="Arial"/>
          <w:sz w:val="17"/>
          <w:szCs w:val="17"/>
          <w:color w:val="auto"/>
        </w:rPr>
      </w:pPr>
    </w:p>
    <w:p>
      <w:pPr>
        <w:ind w:left="640" w:hanging="309"/>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other factors, including those described or referred to elsewhere under this </w:t>
      </w:r>
      <w:hyperlink w:anchor="page74">
        <w:r>
          <w:rPr>
            <w:rFonts w:ascii="Arial" w:cs="Arial" w:eastAsia="Arial" w:hAnsi="Arial"/>
            <w:sz w:val="18"/>
            <w:szCs w:val="18"/>
            <w:u w:val="single" w:color="auto"/>
            <w:color w:val="0000FF"/>
          </w:rPr>
          <w:t>Item 1A “Risk Factors.”</w:t>
        </w:r>
      </w:hyperlink>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market price of our common stock at the closing of the Mergers may vary from its price on the date the MGP Master Transaction Agreement was executed and on the date of the special meeting of our stockholders in connection with the Mergers (the “VICI Special Meeting”) and may be greater than, less than or the same as the price per share of our common stock at each of the aforementioned times. As a result, the market value of the REIT Merger Consideration represented by the Exchange Ratio will also vary.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Because the Exchange Ratio is fixed:</w:t>
      </w:r>
    </w:p>
    <w:p>
      <w:pPr>
        <w:spacing w:after="0" w:line="170" w:lineRule="exact"/>
        <w:rPr>
          <w:sz w:val="20"/>
          <w:szCs w:val="20"/>
          <w:color w:val="auto"/>
        </w:rPr>
      </w:pPr>
    </w:p>
    <w:p>
      <w:pPr>
        <w:jc w:val="both"/>
        <w:ind w:left="660" w:hanging="329"/>
        <w:spacing w:after="0" w:line="311"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price of our common stock increases between the date the MGP Master Transaction Agreement was executed and the closing of the Mergers, MGP shareholders will receive shares of our common stock that have a market value upon completion of the Mergers that is greater than the market value of such shares calculated pursuant to the Exchange Ratio on the date the MGP Master Transaction Agreement was executed; and</w:t>
      </w:r>
    </w:p>
    <w:p>
      <w:pPr>
        <w:spacing w:after="0" w:line="92" w:lineRule="exact"/>
        <w:rPr>
          <w:rFonts w:ascii="Arial" w:cs="Arial" w:eastAsia="Arial" w:hAnsi="Arial"/>
          <w:sz w:val="16"/>
          <w:szCs w:val="16"/>
          <w:color w:val="auto"/>
        </w:rPr>
      </w:pPr>
    </w:p>
    <w:p>
      <w:pPr>
        <w:jc w:val="both"/>
        <w:ind w:left="660" w:hanging="329"/>
        <w:spacing w:after="0" w:line="311"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price of our common stock declines between the date the MGP Master Transaction Agreement was executed and the closing of the Mergers, MGP shareholders will receive shares of our common stock that have a market value upon the completion of the Mergers that is less than the market value of such shares calculated pursuant to the Exchange Ratio on the date the MGP Master Transaction Agreement was executed.</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Therefore, while the number of shares of our common stock to be issued per MGP Common Share is fixed, VICI stockholders cannot be sure of the market value of the REIT Merger Consideration that MGP shareholders will receive upon the closing of the REIT Merger. The market price of our common stock is subject to general price fluctuations in the market for publicly traded equity securities and has experienced volatility in the past. You should obtain current market price quotations for our common stock; however, as noted above, the prices at the effective time of the REIT Merger may be greater than, the same as or less than such price quotations.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unexpected delays in the completion of the Mergers or the Mergers may not be completed at all.</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Mergers are currently expected to close in the first half of 2022, assuming that all of the conditions in the MGP Master Transaction Agreement are either satisfied or waived. The MGP Master Transaction Agreement provides that either we or MGP may terminate the MGP Master Transaction Agreement, subject to certain conditions set forth in the MGP Master Transaction Agreement, if the Mergers have not occurred on or before the fifteen month anniversary of the date of the MGP Master Transaction Agreement, which is November 4, 2022 (the “Outside Date”). Certain events may delay the completion of the Mergers or result in a termination of the MGP Master Transaction Agreement. Some of these events are outside the control of VICI and MGP. In particular, completion of the Mergers requires the affirmative vote on the proposal to approve the issuance of our common stock to holders of MGP Common Shares of the majority of the votes cast by our stockholders on such proposal at the VICI Special Meeting of Stockholders to be held on October 29, 2021 (the “VICI Special Meeting”), assuming a quorum is present. If the requisite shareholder approval is not obtained at the VICI Special Meeting (including any postponement or adjournment thereof), either we or MGP may terminate the MGP Master Transaction Agreement.</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incur significant additional costs in connection with any delay in completing the Mergers or the termination of the MGP Master Transaction Agreement, in addition to significant transaction costs, including legal, financial advisory, accounting and other costs we have already incurred. In addition, if the Mergers are terminated under certain circumstances specified in the MGP Master Transaction Agreement, we will be required to pay to MGP a termination fee of up to $709.0 million. We cannot assure you that the conditions to the completion of the MGP Master Transaction Agreement will be satisfied or waived or that any adverse change, effect, event, circumstance, occurrence or state of facts that could give rise to the termination of the MGP Master Transaction Agreement will not occur.</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stockholders will have a substantially smaller ownership and voting interest in VICI upon completion of the Mergers, compared to their ownership and voting interest in VICI prior to the Mergers.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Upon completion of the Mergers, based on the number of MGP Common Shares and shares of our common stock outstanding on September 17, 2021, we estimate that, after giving effect to the settlement of the March 2021 Forward Sale Agreements and the September 2021 Forward Sale Agreements, continuing stockholders will own approximately 78% of the issued and outstanding shares of our common stock, and former MGP shareholders will own approximately 22% of the issued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outstanding shares of our common stock. Accordingly, our current stockholders will exercise significantly less influence over us after the Mergers relative to their influence over us prior to the Mergers, and thus will have a less significant impact on the approval or rejection of our future proposals submitted to a stockholder vote.</w:t>
      </w:r>
    </w:p>
    <w:p>
      <w:pPr>
        <w:spacing w:after="0" w:line="1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There can be no assurance that we will be able to secure the financing in connection with the Redemption on acceptable terms, in a timely manner, or at all, and therefore may be compelled to consummate the MGP Transactions without obtaining financing on attractive terms.</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required to finance the cash required in connection with the Redemption with long-term debt financing or proceeds from the MGP Transactions Bridge Facility in accordance with the terms of the MGP Transactions Commitment Letter. The MGP Transactions Commitment Letter provides for funding to the Operating Partnership of up to $5,008.0 million, which can be used to fund the Redemption and pay transaction costs, following the termination of $4,242.0 million in committed financing representing the second tranche of the MGP Transactions Bridge Facility in accordance with the terms of the MGP Transactions Commitment Letter. Additionally, we may continue to evaluate alternative financing structures and amounts based on our needs and capital markets conditions. The availability of the borrowings under the MGP Transactions Bridge Facility is subject to the satisfaction of certain customary conditions, including the substantially concurrent consummation of the Mergers.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consummation of the MGP Transactions is not conditioned on our ability to obtain financing or on the consummation of the transactions contemplated by the MGP Transactions Commitment Letter. If we are unable to obtain funding contemplated by the MGP Transactions Commitment Letter from our financing sources for the cash required in connection with the Redemption, we may be compelled to specifically perform our obligations to consummate the MGP Transactions with financing that is not on attractive terms or could otherwise be subject to claims under the MGP Master Transaction Agreement, each of which could have a material adverse effect on us.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MGP Master Transaction Agreement contains provisions that could discourage a potential acquirer of VICI from making a favorable proposal, could result in any such proposal being at a lower price than it might otherwise be and, in specified circumstances, could require us to make a substantial termination payment to MGP.</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MGP Master Transaction Agreement, we and MGP have, subject to certain exceptions, agreed not to (i) solicit proposals relating to certain alternative transactions, (ii) enter into discussions or negotiations or provide non-public information concerning proposals relating to an alternative business combination transaction, (iii) approve or recommend any agreements providing for any such alternative business combination transaction, (iv) enter into any letter of intent, agreement in principle, merger agreement or other similar definitive agreements related to an alternative business combination transaction, (v) grant any waiver, amendment or release of any standstill under any standstill or confidentiality agreement or any takeover statute, or (vi) agree to do any of the foregoing. Notwithstanding such “no-shop” restrictions, prior to obtaining stockholder approval of the issuance of our common stock to holders of MGP Common Shares in the REIT Merger pursuant to the MGP Master Transaction Agreement, under certain specified circumstances and in accordance with their respective duties as directors under applicable law, our board of directors may change its recommendation and terminate the MGP Master Transaction Agreement to accept a superior proposal upon payment of the respective termination fees described below.</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MGP Master Transaction Agreement also provides that, in connection with the termination of the MGP Master Transaction Agreement by us under certain specified circumstances, we will be required to pay to MGP a termination fee of up to $709 million.</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provisions could discourage a potential acquirer that might have an interest in acquiring all or a significant part of VICI from considering or proposing such an acquisition, or might result in a potential acquirer proposing to pay a lower per share value than it might otherwise have proposed to pay because of the added expense of the termination fee that may become payable in certain circumstances under the MGP Master Transaction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Mergers are not consummated by the Outside Date, either we or MGP may terminate the MGP Master Transaction Agreement.</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Either we or MGP may terminate the MGP Master Transaction Agreement if the Mergers have not been consummated by the Outside Date, which is November 4, 2022. However, this termination right will not be available to a party if that party’s failure to comply with any provision of the MGP Master Transaction Agreement has been the principal cause of, or resulted in, the failure of the Mergers to occur by the Outside Date. In the event the MGP Master Transaction Agreement is terminated by either party due to the failure of the Mergers to close by the Outside Date, we will have incurred significant costs and will have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diverted significant management focus and resources from other strategic opportunities without realizing the anticipated benefits of the Mergers.</w:t>
      </w:r>
    </w:p>
    <w:p>
      <w:pPr>
        <w:spacing w:after="0" w:line="18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Gaming regulatory approvals may not be received, may take longer than expected or may impose conditions that are not presently anticipated or cannot be met.</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Consummation of the Mergers is conditioned on the receipt of approvals from a number of gaming regulatory authorities, including, among others, the Illinois Gaming Control Board, the Indiana Gaming Commission, the Louisiana Gaming Control Board, the Maryland Lottery and Gaming Control Agency, the Maryland Lottery and Gaming Control Commission, the Massachusetts Gaming Commission, the Michigan Gaming Control Board, the Mississippi Gaming Commission, the Missouri Gaming Commission, the Nevada Gaming Commission, the Nevada Gaming Control Board, the New Jersey Casino Control Commission, the New Jersey Division of Gaming Enforcement, the New York State Gaming Commission, the Ohio Casino Control Commission, the Ohio Lottery Commission, the Ohio State Racing Commission, the Pennsylvania Gaming Control Board and the Pennsylvania Racing Commission. In some instances, these approvals may also include findings of suitability for our officers and members of our board of directors. These approvals and findings may not be received at all, may not be received in a timely fashion and/or may contain conditions on the consummation of the Mergers. In addition, these regulatory bodies may impose conditions on the granting of such approvals and findings. Such conditions and the process of obtaining such regulatory approvals could have the effect of delaying or impeding consummation of the Mergers or of imposing additional costs or limitations on us following the Mergers. In addition, to the extent any of our officers or a member of our board of directors is found unsuitable, we would need to find a replacement, which may take time and could adversely impact our financial and operational performance, including our ability to successfully consummate the Mergers and integrate MGP into VICI. Any such finding of unsuitability by regulatory authorities and resulting resignation or removal of an officer of VICI or a member of our board of directors could also impact our governance structure following the Mergers.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An adverse judgment in any litigation challenging the Mergers may prevent the Mergers from becoming effective or from becoming effective within the expected timeframe.</w:t>
      </w:r>
    </w:p>
    <w:p>
      <w:pPr>
        <w:spacing w:after="0" w:line="117" w:lineRule="exact"/>
        <w:rPr>
          <w:sz w:val="20"/>
          <w:szCs w:val="20"/>
          <w:color w:val="auto"/>
        </w:rPr>
      </w:pPr>
    </w:p>
    <w:p>
      <w:pPr>
        <w:jc w:val="both"/>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Securities class action lawsuits and derivative lawsuits are often brought against companies that have entered into merger agreements or other agreements similar to the MGP Master Transaction Agreement. As of the date of this Quarterly Report on Form 10-Q, six lawsuits have been filed by purported MGP shareholders and three lawsuits have been filed by purported VICI stockholders challenging the disclosures made, as applicable, in the Registration Statement on Form S-4 filed on September 8, 2021 and the Prospectus on Form 424B3 filed on September 23, 2021, each in connection with the Mergers. </w:t>
      </w:r>
      <w:hyperlink w:anchor="page46">
        <w:r>
          <w:rPr>
            <w:rFonts w:ascii="Arial" w:cs="Arial" w:eastAsia="Arial" w:hAnsi="Arial"/>
            <w:sz w:val="17"/>
            <w:szCs w:val="17"/>
            <w:color w:val="auto"/>
          </w:rPr>
          <w:t xml:space="preserve">Additional lawsuits arising out of the Mergers may be filed in the future. For a more detailed description of this litigation, see “Litigation” in </w:t>
        </w:r>
        <w:r>
          <w:rPr>
            <w:rFonts w:ascii="Arial" w:cs="Arial" w:eastAsia="Arial" w:hAnsi="Arial"/>
            <w:sz w:val="17"/>
            <w:szCs w:val="17"/>
            <w:u w:val="single" w:color="auto"/>
            <w:color w:val="0000FF"/>
          </w:rPr>
          <w:t>Note 10 -</w:t>
        </w:r>
      </w:hyperlink>
      <w:r>
        <w:rPr>
          <w:rFonts w:ascii="Arial" w:cs="Arial" w:eastAsia="Arial" w:hAnsi="Arial"/>
          <w:sz w:val="17"/>
          <w:szCs w:val="17"/>
          <w:color w:val="auto"/>
        </w:rPr>
        <w:t xml:space="preserve"> </w:t>
      </w:r>
      <w:hyperlink w:anchor="page46">
        <w:r>
          <w:rPr>
            <w:rFonts w:ascii="Arial" w:cs="Arial" w:eastAsia="Arial" w:hAnsi="Arial"/>
            <w:sz w:val="17"/>
            <w:szCs w:val="17"/>
            <w:u w:val="single" w:color="auto"/>
            <w:color w:val="0000FF"/>
          </w:rPr>
          <w:t>Commitments and Contingent Liabilities</w:t>
        </w:r>
        <w:r>
          <w:rPr>
            <w:rFonts w:ascii="Arial" w:cs="Arial" w:eastAsia="Arial" w:hAnsi="Arial"/>
            <w:sz w:val="17"/>
            <w:szCs w:val="17"/>
            <w:color w:val="0000FF"/>
          </w:rPr>
          <w:t xml:space="preserve"> </w:t>
        </w:r>
        <w:r>
          <w:rPr>
            <w:rFonts w:ascii="Arial" w:cs="Arial" w:eastAsia="Arial" w:hAnsi="Arial"/>
            <w:sz w:val="17"/>
            <w:szCs w:val="17"/>
            <w:color w:val="000000"/>
          </w:rPr>
          <w:t>to our Financial Statements included in this report.</w:t>
        </w:r>
      </w:hyperlink>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assure you as to the outcome of these lawsuits or any other lawsuit that may be filed, including the amount of costs associated with defending these claims or any other liabilities that may be incurred in connection with the litigation of these claims. If any of the plaintiffs are successful in obtaining an injunction prohibiting the parties from completing the MGP Transactions on the agreed-upon terms, such an injunction may delay the consummation of the MGP Transactions in the expected timeframe, or could indefinitely enjoin the MGP Transactions from being consummated altogether. Whether or not any plaintiff’s claim is successful, this type of litigation may result in significant costs and divert management’s attention and resources, which could adversely affect the operation of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REIT Merger does not qualify as a reorganization there may be adverse tax consequences.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parties intend that the REIT Merger will be treated as a reorganization within the meaning of Section 368(a) of the Code, and it is a condition to the consummation of the Mergers that we and MGP receive opinions from Hogan Lovells US LLP and Weil, Gotshal &amp; Manges LLP, respectively, to the effect that, for U.S. federal income tax purposes, the REIT Merger will constitute a reorganization within the meaning of Section 368(a) of the Code. These tax opinions represent the legal judgment of counsel rendering the opinion and are not binding on the Internal Revenue Service (the “IRS”) or the courts. If the REIT Merger were to fail to qualify as a reorganization, U.S. holders of MGP Common Shares generally would recognize gain or loss, as applicable, equal to the difference between (i) the sum of the fair market value of our common stock and the cash in lieu of fraction shares, if any, received by such holder in the REIT Merger; and (ii) such holder’s adjusted tax basis in its MGP Common Shares.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VICI Following the MGP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substantial expenses related to the MGP Transactions</w:t>
      </w:r>
      <w:r>
        <w:rPr>
          <w:rFonts w:ascii="Arial" w:cs="Arial" w:eastAsia="Arial" w:hAnsi="Arial"/>
          <w:sz w:val="18"/>
          <w:szCs w:val="18"/>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to incur substantial expenses in completing the MGP Transactions and integrating the business, operations, systems, technologies, policies and procedures of MGP with our own. While we have assumed that a certain level of expenses would be incurred, there are a number of factors beyond our control that could affect the total amount or the timing of the expenses relating to the completion of the MGP Transactions and the integration of our and MGP’s operations. Many of the expenses that will be incurred, by their nature, are difficult to estimate accurately at the present time. As a result, the expenses associated with the MGP Transactions could, particularly in the near term, reduce the savings that we expect to achieve from the elimination of duplicative expenses and the realization of economies of scale and cost savings following the completion of the MGP Transactions and impact our business and operations and the market price of our common stock.</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Following the Mergers, we may be unable to integrate the current operations of MGP and VICI successfully and fail to realize the anticipated synergies and other benefits of the Mergers or do so within the anticipated timeframe.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Mergers involve the combination of two companies which currently operate as independent public companies. We are expected to benefit from the elimination of duplicative costs associated with general and administrative expenses, including those related to supporting a public company platform and the leveraging of technology and systems. However, we will be required to devote significant management attention and resources to integrating the business practices and operations of MGP into VICI. Potential difficulties we may encounter in the integration process include, among others, the following:</w:t>
      </w:r>
    </w:p>
    <w:p>
      <w:pPr>
        <w:spacing w:after="0" w:line="135" w:lineRule="exact"/>
        <w:rPr>
          <w:sz w:val="20"/>
          <w:szCs w:val="20"/>
          <w:color w:val="auto"/>
        </w:rPr>
      </w:pPr>
    </w:p>
    <w:p>
      <w:pPr>
        <w:ind w:left="660" w:hanging="329"/>
        <w:spacing w:after="0" w:line="341"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inability to successfully combine the operations of VICI and MGP in a manner that permits us to achieve the cost savings anticipated to result from the Mergers, which would result in the anticipated benefits of the Mergers not being realized in the timeframe currently anticipated or at all;</w:t>
      </w:r>
    </w:p>
    <w:p>
      <w:pPr>
        <w:spacing w:after="0" w:line="69" w:lineRule="exact"/>
        <w:rPr>
          <w:rFonts w:ascii="Arial" w:cs="Arial" w:eastAsia="Arial" w:hAnsi="Arial"/>
          <w:sz w:val="16"/>
          <w:szCs w:val="16"/>
          <w:color w:val="auto"/>
        </w:rPr>
      </w:pPr>
    </w:p>
    <w:p>
      <w:pPr>
        <w:ind w:left="660" w:right="20" w:hanging="329"/>
        <w:spacing w:after="0" w:line="27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additional complexities of increasing the number of properties owned by us and the additional tenants, including additional time and attention required by management;</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retain key employees of VICI; and</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additional complexities of combining two companies with different histories, regulatory restrictions, markets and tenants.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all these reasons, you should be aware that it is possible that the integration process could result in the distraction of our management, the disruption of our ongoing business or inconsistencies in our operations, services, standards, controls, procedures and policies, any of which could adversely affect our ability to maintain relationships with tenants, customers, vendors and employees or to achieve the anticipated benefits of the Mergers, or could otherwise adversely affect our business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anticipated level of indebtedness will increase upon completion of the MGP Transactions and will increase the related risks we now face.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Contemporaneously with the execution of the MGP Master Transaction Agreement, we entered into the MGP Transactions Commitment Letter with the MGP Transactions Bridge Lender pursuant to which it has committed to provide the Operating Partnership with bridge financing for the MGP Transactions in the amount of $5,008.0 million, following the termination of $4,242.0 million in committed financing representing the second tranche of the MGP Transactions Bridge Facility in accordance with the terms of the MGP Transactions Commitment Letter. We will also assume and/or refinance certain indebtedness of MGP in connection with the MGP Transactions and will be subject to increased risks associated with debt financing, including an increased risk that our cash flow could be insufficient to meet required payments on our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increased indebtedness could have important consequences to holders of our common stock, including:</w:t>
      </w:r>
    </w:p>
    <w:p>
      <w:pPr>
        <w:spacing w:after="0" w:line="170" w:lineRule="exact"/>
        <w:rPr>
          <w:sz w:val="20"/>
          <w:szCs w:val="20"/>
          <w:color w:val="auto"/>
        </w:rPr>
      </w:pPr>
    </w:p>
    <w:p>
      <w:pPr>
        <w:ind w:left="640" w:hanging="309"/>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to fund future working capital, capital expenditures and other general corporate requirements;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309"/>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floating rate indebtedness, risks associated with increases in interest rates;</w:t>
      </w:r>
    </w:p>
    <w:p>
      <w:pPr>
        <w:spacing w:after="0" w:line="170" w:lineRule="exact"/>
        <w:rPr>
          <w:rFonts w:ascii="Arial" w:cs="Arial" w:eastAsia="Arial" w:hAnsi="Arial"/>
          <w:sz w:val="18"/>
          <w:szCs w:val="18"/>
          <w:color w:val="auto"/>
        </w:rPr>
      </w:pPr>
    </w:p>
    <w:p>
      <w:pPr>
        <w:ind w:left="660" w:right="20" w:hanging="329"/>
        <w:spacing w:after="0" w:line="341"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requiring the use of a substantial portion of our cash flow from operations for the payment of principal and interest on our indebtedness, thereby reducing our ability to use our cash flow to fund working capital, acquisitions, capital expenditures and general corporate requirements;</w:t>
      </w:r>
    </w:p>
    <w:p>
      <w:pPr>
        <w:spacing w:after="0" w:line="69" w:lineRule="exact"/>
        <w:rPr>
          <w:rFonts w:ascii="Arial" w:cs="Arial" w:eastAsia="Arial" w:hAnsi="Arial"/>
          <w:sz w:val="16"/>
          <w:szCs w:val="16"/>
          <w:color w:val="auto"/>
        </w:rPr>
      </w:pPr>
    </w:p>
    <w:p>
      <w:pPr>
        <w:ind w:left="640" w:hanging="309"/>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limiting our ability to pay dividends to our stockholders;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 and</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putting us at a disadvantage compared to our competitors with less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Counterparties to certain significant agreements with MGP may exercise contractual rights under such agreements in connection with the Mergers.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MGP is a party to certain agreements that give the applicable counterparty certain rights following a “change in control.” In certain of these agreements, such rights may be triggered upon the closing of the Mergers and may trigger a consent or the right to terminate the agreement. It is not a condition to completion of the Mergers that the counterparties consent to the Mergers or waive their contractual rights. Certain counterparties may also require modifications to their respective agreements or the execution of new agreements as a condition to granting a waiver or consent under their agreement. The pursuit of such rights by the counterparties may result in us suffering a loss of potential future revenue or incurring liabilities and may result in the loss or modification of rights that are material to our business. There can be no assurances that such counterparties will not exercise their rights under these agreements, including termination rights where available, or that the exercise of any such rights under, or modification of, these agreements will not adversely affect our business or operations.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depend on key senior executives and employees for our future success, and the loss of key personnel or inability to attract and retain key personnel could significantly harm our business.</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ability to maintain our competitive position depends on the efforts and abilities of our senior executives and employees. Finding suitable replacements for senior executives and other key employees can be difficult, time consuming and expensive. Losing the services of one or more of these senior executives or key employees following consummation of the Mergers could adversely affect our business, results of operations, strategic relationships, including relationships with tenants, joint venture partners and vendors, and limit our ability to execute our business strategies.</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are and will always be significantly dependent on our tenants for our revenues, including MGM following the MGP Transactions, and unless or until we substantially diversify our portfolio an event that has a material adverse effect on any of our significant tenants’ businesses, financial condition, liquidity, results of operations or prospects could have a material adverse effect on our business, financial condition, liquidity, results of operations and prospects.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depend on our tenants to operate the properties that we own in a manner that generates revenues sufficient to allow the tenants to meet their obligations to us. Currently, a substantial majority of our revenue comes from our leases with subsidiaries of Caesars, Penn National, Hard Rock, JACK Entertainment, Century Casinos and EBCI, with the most significant percentage of our revenues coming from Caesars. Following the completion of the MGP Transactions, MGM will also become a significant tenant of VICI, with Caesars representing approximately 41% of total estimated annualized cash rent and MGM representing approximately 40% of total estimated annualized cash rent. Accordingly, the risks to us described under the Risk Factor titled “We are and will always be significantly dependent on our tenants for our revenues, and unless or until we substantially diversify our portfolio an event that has a material adverse effect on any of our tenants’ businesses, financial condition, liquidity, results of operations or prospects could have a material adverse effect on our business, financial condition, liquidity, results of operations and prospects.” in our Annual Report on Form 10-K for the year ended December 31, 2020, which Risk Factor is incorporated herein by reference, will also apply with respect to MGM following the completion of the MGP Transactions, and an event that has a material adverse effect on MGM’s businesses, financial condition, liquidity, results of operations or prospects could have a material adverse effect on our business, financial condition, liquidity, results of operations and prospects.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VICI Following the MGP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United States stock markets, including the NYSE, on which our common stock will continue to be listed under the symbol “VICI” after the Mergers, have experienced significant price and volume fluctuations. As a result, the market price of shares of our common stock is likely to be similarly volatile, and investors in shares of our common stock may experience a decrease in the value of their shares, including decreases unrelated to our operating performance or prospects. We cannot assure you that the market price of our common stock will not fluctuate or decline significantly in the future.</w:t>
      </w:r>
    </w:p>
    <w:p>
      <w:pPr>
        <w:spacing w:after="0" w:line="101" w:lineRule="exact"/>
        <w:rPr>
          <w:sz w:val="20"/>
          <w:szCs w:val="20"/>
          <w:color w:val="auto"/>
        </w:rPr>
      </w:pPr>
    </w:p>
    <w:p>
      <w:pPr>
        <w:jc w:val="both"/>
        <w:spacing w:after="0" w:line="276" w:lineRule="auto"/>
        <w:rPr>
          <w:rFonts w:ascii="Arial" w:cs="Arial" w:eastAsia="Arial" w:hAnsi="Arial"/>
          <w:sz w:val="18"/>
          <w:szCs w:val="18"/>
          <w:color w:val="auto"/>
        </w:rPr>
      </w:pPr>
      <w:r>
        <w:rPr>
          <w:rFonts w:ascii="Arial" w:cs="Arial" w:eastAsia="Arial" w:hAnsi="Arial"/>
          <w:sz w:val="18"/>
          <w:szCs w:val="18"/>
          <w:color w:val="auto"/>
        </w:rPr>
        <w:t xml:space="preserve">In addition to the risks listed in this </w:t>
      </w:r>
      <w:hyperlink w:anchor="page74">
        <w:r>
          <w:rPr>
            <w:rFonts w:ascii="Arial" w:cs="Arial" w:eastAsia="Arial" w:hAnsi="Arial"/>
            <w:sz w:val="18"/>
            <w:szCs w:val="18"/>
            <w:u w:val="single" w:color="auto"/>
            <w:color w:val="0000FF"/>
          </w:rPr>
          <w:t>Item 1A “Risk Factors”</w:t>
        </w:r>
      </w:hyperlink>
      <w:r>
        <w:rPr>
          <w:rFonts w:ascii="Arial" w:cs="Arial" w:eastAsia="Arial" w:hAnsi="Arial"/>
          <w:sz w:val="18"/>
          <w:szCs w:val="18"/>
          <w:color w:val="auto"/>
        </w:rPr>
        <w:t>, a number of factors could negatively affect our share price or result in fluctuations in the price or trading volume of our common stock, including:</w:t>
      </w:r>
    </w:p>
    <w:p>
      <w:pPr>
        <w:spacing w:after="0" w:line="117" w:lineRule="exact"/>
        <w:rPr>
          <w:sz w:val="20"/>
          <w:szCs w:val="20"/>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annual yield from distributions on our common stock as compared to yields on other financial instruments;</w:t>
      </w:r>
    </w:p>
    <w:p>
      <w:pPr>
        <w:spacing w:after="0" w:line="170"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equity issuances by us, or future sales of substantial amounts of our common stock by our existing or future stockholders, or the perception that such issuances or future sales may occur;</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market interest rates or a decrease in our distributions to stockholders that lead purchasers of our common stock to demand a higher yield;</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stock market prices and volumes;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additions or departures of executive officers or other key employees;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anticipated differences in our quarterly operating results;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by securities analysts;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qualify as a REIT for U.S. federal income tax purposes;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 market reaction to any indebtedness we incur in the future;</w:t>
      </w:r>
    </w:p>
    <w:p>
      <w:pPr>
        <w:spacing w:after="0" w:line="170"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divestments, spin-offs, joint ventures, strategic investments or changes in business strategy;</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legislative or other regulatory developments that adversely affect us or our industry;</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our earnings;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satisfy the listing requirements of the NYSE;</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comply with the requirements of the Sarbanes Oxley Act of 2002, as amended;</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actions by our institutional stockholders;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and/or market conditions, including factors unrelated to our performance.</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the past, securities class action litigation has often been instituted against companies following periods of volatility in the price of their common stock. This type of litigation could result in substantial costs and divert our management’s attention and resources, which could have a material adverse effect on our cash flows, our ability to execute our business strategy and our ability to make distributions to our stockholders.</w:t>
      </w:r>
    </w:p>
    <w:p>
      <w:pPr>
        <w:sectPr>
          <w:pgSz w:w="11900" w:h="16838" w:orient="portrait"/>
          <w:cols w:equalWidth="0" w:num="1">
            <w:col w:w="11240"/>
          </w:cols>
          <w:pgMar w:left="320" w:top="529"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The market price of our common stock following the consummation of the MGP Transactions may be affected by factors different from those affecting the price of our common stock before the consummation of the MGP Transactions.</w:t>
      </w:r>
    </w:p>
    <w:p>
      <w:pPr>
        <w:spacing w:after="0" w:line="11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The results of our operations, as well as the market price of our common stock, after the consummation of the MGP Transactions may be affected by factors different from those currently affecting our results of operations and the market prices of our common stock. These factors include:</w:t>
      </w:r>
    </w:p>
    <w:p>
      <w:pPr>
        <w:spacing w:after="0" w:line="94" w:lineRule="exact"/>
        <w:rPr>
          <w:sz w:val="20"/>
          <w:szCs w:val="20"/>
          <w:color w:val="auto"/>
        </w:rPr>
      </w:pPr>
    </w:p>
    <w:p>
      <w:pPr>
        <w:ind w:left="640" w:hanging="309"/>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greater number of shares of our common stock outstanding;</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different stockholders in us; and</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 owning new assets with different tenants and capitalization structures.</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Accordingly, the historical market prices and financial results of us and MGP may not be indicative of these matters for us after consummation of the MGP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decline as a result of the MGP Transactions.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price of our common stock may decline as a result of the MGP Transactions if we do not achieve the perceived benefits of the MGP Transactions as rapidly or to the extent anticipated by financial or industry analysts, or the effect of the MGP Transactions on our financial results is not consistent with the expectations of financial or industry analysts.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upon consummation of the MGP Transactions, our stockholders will own interests in a company operating an expanded business with a different mix of properties, risks and liabilities. Current stockholders may not wish to continue to invest in VICI, or for other reasons may wish to dispose of some or all of their shares of our common stock. If, following the closing of the MGP Transactions, significant amounts of our common stock are sold, the price of our common stock could decline.</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issuance of our common stock in connection with the MGP Master Transaction Agreement may cause the market price of our common stock to decline.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consummation of the Mergers, based on the number of MGP Common Shares outstanding on September 17, 2021, we expect to issue approximately 214.5 million shares of our common stock, which, after giving effect to the settlement of the March 2021 Forward Sale Agreements and the September 2021 Forward Sale Agreements, will represent approximately 29% of the issued and outstanding shares of our common stock prior to the consummation of the Mergers and approximately 22% of the issued and outstanding shares of our common stock after consummation of the Mergers. We expect that some MGP shareholders who receive shares of our common stock are likely to sell such shares promptly after the consummation of the Mergers. Both the issuance of this amount of new shares and any subsequent sales of these shares may cause the market price of our common stock to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Following the MGP Transactions, we may not continue to pay dividends at or above the rate we currently pay.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Following the MGP Transactions, our stockholders may not receive dividends at the same rate they received dividends as our stockholders prior to the MGP Transactions for various reasons, including the following:</w:t>
      </w:r>
    </w:p>
    <w:p>
      <w:pPr>
        <w:spacing w:after="0" w:line="117" w:lineRule="exact"/>
        <w:rPr>
          <w:sz w:val="20"/>
          <w:szCs w:val="20"/>
          <w:color w:val="auto"/>
        </w:rPr>
      </w:pPr>
    </w:p>
    <w:p>
      <w:pPr>
        <w:ind w:left="660" w:hanging="329"/>
        <w:spacing w:after="0" w:line="27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not have enough cash to pay such dividends due to changes in our cash requirements, capital spending plans, cash flow or financial position;</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decisions on whether, when and in which amounts to make any future distributions will remain at all times entirely at the discretion of our board of directors, which reserves the right to change our current dividend practices at any time and for any reason;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desire to retain cash to maintain or improve our credit ratings; and</w:t>
      </w:r>
    </w:p>
    <w:p>
      <w:pPr>
        <w:spacing w:after="0" w:line="170"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of dividends that our subsidiaries may distribute to us may be subject to restrictions imposed by state law and restrictions imposed by the terms of any current or future indebtedness that these subsidiaries may incur.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 will have no contractual or other legal right to dividends that have not been declared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incur additional indebtedness in the future.</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executing our business strategies in advance of, or following, the MGP Transactions, we expect to continue to evaluate additional acquisitions and other strategic investment opportunities, and we may elect to finance these endeavors by incurring additional indebtedness. For example, we expect to incur additional long-term indebtedness in connection with the pending Venetian Acquisition. The amount of such indebtedness could have material adverse consequences for us, including:</w:t>
      </w:r>
    </w:p>
    <w:p>
      <w:pPr>
        <w:spacing w:after="0" w:line="134" w:lineRule="exact"/>
        <w:rPr>
          <w:sz w:val="20"/>
          <w:szCs w:val="20"/>
          <w:color w:val="auto"/>
        </w:rPr>
      </w:pPr>
    </w:p>
    <w:p>
      <w:pPr>
        <w:ind w:left="640" w:hanging="309"/>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hindering our ability to adjust to changing market, industry or economic conditions;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limiting our ability to access the capital markets to refinance maturing debt or to fund acquisitions or emerging businesses;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limiting the amount of free cash flow available for future operations, acquisitions, dividends, stock repurchases or other uses;</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making us more vulnerable to economic or industry downturns, including interest rate increases; and</w:t>
      </w:r>
    </w:p>
    <w:p>
      <w:pPr>
        <w:spacing w:after="0" w:line="170" w:lineRule="exact"/>
        <w:rPr>
          <w:rFonts w:ascii="Arial" w:cs="Arial" w:eastAsia="Arial" w:hAnsi="Arial"/>
          <w:sz w:val="18"/>
          <w:szCs w:val="18"/>
          <w:color w:val="auto"/>
        </w:rPr>
      </w:pPr>
    </w:p>
    <w:p>
      <w:pPr>
        <w:ind w:left="640" w:hanging="309"/>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less leveraged competitors.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impact of any of these potential adverse consequences could have a material adverse effect on our results of operations, financial condition and liquidity.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Taxes Following the MGP Transactions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MGM Tax Protection Agreement, during its term, imposes certain limits on our operations and could require New VICI Operating Company to indemnify MGM for certain tax liabilities.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agreed with MGM to enter into the MGM Tax Protection Agreement pursuant to which New VICI Operating Company will agree, subject to certain exceptions, to indemnify the Protected Parties (as defined in the MGM Tax Protection Agreement) for certain tax liabilities resulting from, during the Protected Period (as defined in the MGM Tax Protection Agreement), (1) the sale, transfer, exchange or other disposition of Protected Property (as defined in the MGM Tax Protection Agreement), (2) a merger, consolidation, or transfer of all of the assets of, or certain other transactions undertaken by, New VICI Operating Company pursuant to which the ownership interests of the Protected Parties in New VICI Operating Company are required to be exchanged in whole or in part for cash or other property, (3) the failure of New VICI Operating Company to maintain approximately $8.5 billion of nonrecourse indebtedness allocable to the Protected Parties, which amount may be reduced over time in accordance with the MGM Tax Protection Agreement, and (4) the failure of New VICI Operating Company or us to comply with certain tax covenants that would impact the tax liabilities of the Protected Parties. In the event that we or New VICI Operating Company breach restrictions in the MGM Tax Protection Agreement, New VICI Operating Company will be liable for grossed-up tax amounts (based on an assumed effective tax rate) associated with the income or gain recognized as a result of such breach. In addition, the BREIT JV previously entered into a tax protection agreement with MGM with respect to built-in gain and debt maintenance related to MGM Grand Las Vegas and Mandalay Bay, which is effective through mid-2029, and by acquiring MGP, we will bear MGP’s approximate 50.1% proportionate share in the BREIT JV of any indemnity under this existing tax protection agreement.</w:t>
      </w:r>
    </w:p>
    <w:p>
      <w:pPr>
        <w:spacing w:after="0" w:line="11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Therefore, although it may be in the best interests of our stockholders for us to sell a Protected Property, enter into certain significant transactions involving New VICI Operating Company, reduce nonrecourse indebtedness of New VICI Operating Company allocable to MGM or otherwise not comply with certain tax covenants, it may be economically prohibitive for us to do so during the Protected Period because of these indemnity obligations.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adverse tax consequences if we have failed or fail, or if MGP has failed, to qualify as a REIT for U.S. federal income tax purposes.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operated in a manner that we believe has allowed us to qualify as a REIT for U.S. federal income tax purposes under the Code and intend to continue to do so through the time of the REIT Merger. We intend to operate in a manner that we believe allows us to qualify as a REIT after the REIT Merger. Neither we nor MGP has requested or plans to request a ruling from the IRS that it qualifies as a REIT. Qualification as a REIT involves the application of highly technical and complex Code provisions for which there are only limited judicial and administrative interpretations. The complexity of these provisions and of the applicable treasury regulations that have been promulgated under the Code is greater in the case of a REIT that holds its assets through a partnership (such as we will after the Mergers). The determination of various factual matters and circumstances not entirely within the control of us or MGP may affect its ability to qualify as a REIT. In order to qualify as a REIT, each of us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and MGP must satisfy a number of requirements, including requirements regarding the ownership of its stock and the composition of its gross income and assets. Also, a REIT must make distributions to stockholders aggregating annually at least 90% of its net taxable income, excluding any net capital gains.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If we lose our REIT status, or are determined to have lost our REIT status in a prior year, we will face material tax consequences that would substantially reduce our cash available for distribution, including cash available to pay dividends to our stockholders, because:</w:t>
      </w:r>
    </w:p>
    <w:p>
      <w:pPr>
        <w:spacing w:after="0" w:line="117" w:lineRule="exact"/>
        <w:rPr>
          <w:sz w:val="20"/>
          <w:szCs w:val="20"/>
          <w:color w:val="auto"/>
        </w:rPr>
      </w:pPr>
    </w:p>
    <w:p>
      <w:pPr>
        <w:jc w:val="both"/>
        <w:ind w:left="660" w:hanging="329"/>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would be subject to U.S. federal income tax and state and local income taxes on our net income at regular corporate rates for the years we did not qualify for taxation as a REIT (and, for such years, would not be allowed a deduction for dividends paid to stockholders in computing our taxable income);</w:t>
      </w:r>
    </w:p>
    <w:p>
      <w:pPr>
        <w:spacing w:after="0" w:line="127" w:lineRule="exact"/>
        <w:rPr>
          <w:rFonts w:ascii="Arial" w:cs="Arial" w:eastAsia="Arial" w:hAnsi="Arial"/>
          <w:sz w:val="18"/>
          <w:szCs w:val="18"/>
          <w:color w:val="auto"/>
        </w:rPr>
      </w:pPr>
    </w:p>
    <w:p>
      <w:pPr>
        <w:ind w:left="660" w:right="20" w:hanging="329"/>
        <w:spacing w:after="0" w:line="276"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we are entitled to relief under applicable statutory provisions, neither we nor any “successor” corporation, trust or association could elect to be taxed as a REIT until the fifth taxable year following the year during which we were disqualified;</w:t>
      </w:r>
    </w:p>
    <w:p>
      <w:pPr>
        <w:spacing w:after="0" w:line="116" w:lineRule="exact"/>
        <w:rPr>
          <w:rFonts w:ascii="Arial" w:cs="Arial" w:eastAsia="Arial" w:hAnsi="Arial"/>
          <w:sz w:val="18"/>
          <w:szCs w:val="18"/>
          <w:color w:val="auto"/>
        </w:rPr>
      </w:pPr>
    </w:p>
    <w:p>
      <w:pPr>
        <w:ind w:left="660" w:right="20" w:hanging="329"/>
        <w:spacing w:after="0" w:line="276"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were to re-elect REIT status, we would have to distribute all earnings and profits from non-REIT years before the end of the first new REIT taxable year;</w:t>
      </w:r>
    </w:p>
    <w:p>
      <w:pPr>
        <w:spacing w:after="0" w:line="116" w:lineRule="exact"/>
        <w:rPr>
          <w:rFonts w:ascii="Arial" w:cs="Arial" w:eastAsia="Arial" w:hAnsi="Arial"/>
          <w:sz w:val="18"/>
          <w:szCs w:val="18"/>
          <w:color w:val="auto"/>
        </w:rPr>
      </w:pPr>
    </w:p>
    <w:p>
      <w:pPr>
        <w:ind w:left="660" w:right="20" w:hanging="329"/>
        <w:spacing w:after="0" w:line="276"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five years following re-election of REIT status, upon a taxable disposition of an asset owned as of such re-election, we would be subject to corporate-level tax with respect to any built-in gain inherent in such asset at the time of re-election.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retain our REIT status, if MGP loses its REIT status for a taxable year ending on or before the effective time of the REIT Merger, we would be subject to adverse tax consequences that would substantially reduce our cash available for distribution, including cash available to pay dividends to our stockholders, because:</w:t>
      </w:r>
    </w:p>
    <w:p>
      <w:pPr>
        <w:spacing w:after="0" w:line="128" w:lineRule="exact"/>
        <w:rPr>
          <w:sz w:val="20"/>
          <w:szCs w:val="20"/>
          <w:color w:val="auto"/>
        </w:rPr>
      </w:pPr>
    </w:p>
    <w:p>
      <w:pPr>
        <w:ind w:left="660" w:hanging="329"/>
        <w:spacing w:after="0" w:line="306"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unless we are entitled to relief under applicable statutory provisions, VICI, as the “successor” by merger to MGP for U.S. federal income tax purposes, could not elect to be taxed as a REIT until the fifth taxable year following the year during which MGP was disqualified;</w:t>
      </w:r>
    </w:p>
    <w:p>
      <w:pPr>
        <w:spacing w:after="0" w:line="94" w:lineRule="exact"/>
        <w:rPr>
          <w:rFonts w:ascii="Arial" w:cs="Arial" w:eastAsia="Arial" w:hAnsi="Arial"/>
          <w:sz w:val="17"/>
          <w:szCs w:val="17"/>
          <w:color w:val="auto"/>
        </w:rPr>
      </w:pPr>
    </w:p>
    <w:p>
      <w:pPr>
        <w:ind w:left="640" w:hanging="309"/>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VICI, as the successor by merger to MGP, would be subject to any corporate income tax liabilities of MGP, including penalties and interest;</w:t>
      </w:r>
    </w:p>
    <w:p>
      <w:pPr>
        <w:spacing w:after="0" w:line="181" w:lineRule="exact"/>
        <w:rPr>
          <w:rFonts w:ascii="Arial" w:cs="Arial" w:eastAsia="Arial" w:hAnsi="Arial"/>
          <w:sz w:val="17"/>
          <w:szCs w:val="17"/>
          <w:color w:val="auto"/>
        </w:rPr>
      </w:pPr>
    </w:p>
    <w:p>
      <w:pPr>
        <w:jc w:val="both"/>
        <w:ind w:left="660" w:hanging="329"/>
        <w:spacing w:after="0" w:line="263"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assuming that we otherwise maintained our REIT qualification, we would be subject to corporate-level tax on the built-in gain in each asset of MGP existing at the time of the REIT Merger if we were to dispose of such MGP asset during the five-year period following the REIT Merger; and</w:t>
      </w:r>
    </w:p>
    <w:p>
      <w:pPr>
        <w:spacing w:after="0" w:line="127" w:lineRule="exact"/>
        <w:rPr>
          <w:rFonts w:ascii="Arial" w:cs="Arial" w:eastAsia="Arial" w:hAnsi="Arial"/>
          <w:sz w:val="18"/>
          <w:szCs w:val="18"/>
          <w:color w:val="auto"/>
        </w:rPr>
      </w:pPr>
    </w:p>
    <w:p>
      <w:pPr>
        <w:jc w:val="both"/>
        <w:ind w:left="660" w:hanging="329"/>
        <w:spacing w:after="0" w:line="25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assuming that we otherwise maintained our REIT qualification, we would succeed to any earnings and profits accumulated by MGP for taxable periods that it did not qualify as a REIT, and we would have to pay a special dividend and/or employ applicable deficiency dividend procedures (including interest payments to the IRS) to eliminate such earnings and profits (or if we do not timely distribute those earnings and profits, we could fail to qualify as a REIT).</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if there is an adjustment to MGP’s taxable income or dividends paid deductions, we could elect to use the deficiency dividend procedure in order to maintain MGP’s REIT status. That deficiency dividend procedure could require us to make significant distributions to our stockholders and to pay significant interest to the IRS.</w:t>
      </w:r>
    </w:p>
    <w:p>
      <w:pPr>
        <w:spacing w:after="0" w:line="128"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As a result of these factors, our failure (before or after the REIT Merger) or MGP’s failure (before the REIT Merger) to qualify as a REIT could impair our ability after the REIT Merger to expand our business and raise capital, and would materially adversely affect the market value of our common stock.</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2021, we did not repurchase any equity securities registered pursuant to Section 12 of the Exchange Act.</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0"/>
          <w:szCs w:val="20"/>
          <w:b w:val="1"/>
          <w:bCs w:val="1"/>
          <w:color w:val="auto"/>
        </w:rPr>
        <w:t>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80"/>
          </w:cols>
          <w:pgMar w:left="320" w:top="367" w:right="69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4780" w:type="dxa"/>
            <w:vAlign w:val="bottom"/>
          </w:tcPr>
          <w:p>
            <w:pPr>
              <w:ind w:left="260"/>
              <w:spacing w:after="0"/>
              <w:rPr>
                <w:sz w:val="20"/>
                <w:szCs w:val="20"/>
                <w:color w:val="auto"/>
              </w:rPr>
            </w:pPr>
            <w:r>
              <w:rPr>
                <w:rFonts w:ascii="Arial" w:cs="Arial" w:eastAsia="Arial" w:hAnsi="Arial"/>
                <w:sz w:val="22"/>
                <w:szCs w:val="22"/>
                <w:b w:val="1"/>
                <w:bCs w:val="1"/>
                <w:color w:val="auto"/>
              </w:rPr>
              <w:t>Exhibits</w:t>
            </w: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0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21"/>
        </w:trPr>
        <w:tc>
          <w:tcPr>
            <w:tcW w:w="1040" w:type="dxa"/>
            <w:vAlign w:val="bottom"/>
          </w:tcPr>
          <w:p>
            <w:pPr>
              <w:jc w:val="center"/>
              <w:spacing w:after="0" w:line="121" w:lineRule="exact"/>
              <w:rPr>
                <w:sz w:val="20"/>
                <w:szCs w:val="20"/>
                <w:color w:val="auto"/>
              </w:rPr>
            </w:pPr>
            <w:r>
              <w:rPr>
                <w:rFonts w:ascii="Arial" w:cs="Arial" w:eastAsia="Arial" w:hAnsi="Arial"/>
                <w:sz w:val="14"/>
                <w:szCs w:val="14"/>
                <w:b w:val="1"/>
                <w:bCs w:val="1"/>
                <w:color w:val="auto"/>
                <w:w w:val="98"/>
              </w:rPr>
              <w:t>Exhibit</w:t>
            </w:r>
          </w:p>
        </w:tc>
        <w:tc>
          <w:tcPr>
            <w:tcW w:w="478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Exhibit Description</w:t>
            </w:r>
          </w:p>
        </w:tc>
        <w:tc>
          <w:tcPr>
            <w:tcW w:w="2100" w:type="dxa"/>
            <w:vAlign w:val="bottom"/>
          </w:tcPr>
          <w:p>
            <w:pPr>
              <w:jc w:val="center"/>
              <w:ind w:left="908"/>
              <w:spacing w:after="0" w:line="121" w:lineRule="exact"/>
              <w:rPr>
                <w:sz w:val="20"/>
                <w:szCs w:val="20"/>
                <w:color w:val="auto"/>
              </w:rPr>
            </w:pPr>
            <w:r>
              <w:rPr>
                <w:rFonts w:ascii="Arial" w:cs="Arial" w:eastAsia="Arial" w:hAnsi="Arial"/>
                <w:sz w:val="14"/>
                <w:szCs w:val="14"/>
                <w:b w:val="1"/>
                <w:bCs w:val="1"/>
                <w:color w:val="auto"/>
                <w:w w:val="97"/>
              </w:rPr>
              <w:t>Filed</w:t>
            </w:r>
          </w:p>
        </w:tc>
        <w:tc>
          <w:tcPr>
            <w:tcW w:w="7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13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Exhibit</w:t>
            </w:r>
          </w:p>
        </w:tc>
        <w:tc>
          <w:tcPr>
            <w:tcW w:w="1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6"/>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780" w:type="dxa"/>
            <w:vAlign w:val="bottom"/>
            <w:vMerge w:val="continue"/>
          </w:tcPr>
          <w:p>
            <w:pPr>
              <w:spacing w:after="0"/>
              <w:rPr>
                <w:sz w:val="16"/>
                <w:szCs w:val="16"/>
                <w:color w:val="auto"/>
              </w:rPr>
            </w:pPr>
          </w:p>
        </w:tc>
        <w:tc>
          <w:tcPr>
            <w:tcW w:w="2100" w:type="dxa"/>
            <w:vAlign w:val="bottom"/>
          </w:tcPr>
          <w:p>
            <w:pPr>
              <w:jc w:val="center"/>
              <w:ind w:left="888"/>
              <w:spacing w:after="0"/>
              <w:rPr>
                <w:sz w:val="20"/>
                <w:szCs w:val="20"/>
                <w:color w:val="auto"/>
              </w:rPr>
            </w:pPr>
            <w:r>
              <w:rPr>
                <w:rFonts w:ascii="Arial" w:cs="Arial" w:eastAsia="Arial" w:hAnsi="Arial"/>
                <w:sz w:val="14"/>
                <w:szCs w:val="14"/>
                <w:b w:val="1"/>
                <w:bCs w:val="1"/>
                <w:color w:val="auto"/>
                <w:w w:val="98"/>
              </w:rPr>
              <w:t>Herewith</w:t>
            </w:r>
          </w:p>
        </w:tc>
        <w:tc>
          <w:tcPr>
            <w:tcW w:w="7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5025390</wp:posOffset>
            </wp:positionH>
            <wp:positionV relativeFrom="paragraph">
              <wp:posOffset>1905</wp:posOffset>
            </wp:positionV>
            <wp:extent cx="21126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2112645" cy="825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auto"/>
            </w:tcBorders>
            <w:gridSpan w:val="7"/>
          </w:tcPr>
          <w:p>
            <w:pPr>
              <w:jc w:val="center"/>
              <w:spacing w:after="0" w:line="185" w:lineRule="exact"/>
              <w:rPr>
                <w:rFonts w:ascii="Arial" w:cs="Arial" w:eastAsia="Arial" w:hAnsi="Arial"/>
                <w:sz w:val="18"/>
                <w:szCs w:val="18"/>
                <w:color w:val="0000FF"/>
              </w:rPr>
            </w:pPr>
            <w:hyperlink r:id="rId118">
              <w:r>
                <w:rPr>
                  <w:rFonts w:ascii="Arial" w:cs="Arial" w:eastAsia="Arial" w:hAnsi="Arial"/>
                  <w:sz w:val="18"/>
                  <w:szCs w:val="18"/>
                  <w:color w:val="0000FF"/>
                </w:rPr>
                <w:t>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120" w:type="dxa"/>
            <w:vAlign w:val="bottom"/>
          </w:tcPr>
          <w:p>
            <w:pPr>
              <w:spacing w:after="0"/>
              <w:rPr>
                <w:sz w:val="17"/>
                <w:szCs w:val="17"/>
                <w:color w:val="auto"/>
              </w:rPr>
            </w:pPr>
          </w:p>
        </w:tc>
        <w:tc>
          <w:tcPr>
            <w:tcW w:w="5820" w:type="dxa"/>
            <w:vAlign w:val="bottom"/>
            <w:tcBorders>
              <w:top w:val="single" w:sz="8" w:color="auto"/>
            </w:tcBorders>
            <w:gridSpan w:val="17"/>
          </w:tcPr>
          <w:p>
            <w:pPr>
              <w:spacing w:after="0" w:line="185" w:lineRule="exact"/>
              <w:rPr>
                <w:rFonts w:ascii="Arial" w:cs="Arial" w:eastAsia="Arial" w:hAnsi="Arial"/>
                <w:sz w:val="18"/>
                <w:szCs w:val="18"/>
                <w:color w:val="0000FF"/>
              </w:rPr>
            </w:pPr>
            <w:hyperlink r:id="rId118">
              <w:r>
                <w:rPr>
                  <w:rFonts w:ascii="Arial" w:cs="Arial" w:eastAsia="Arial" w:hAnsi="Arial"/>
                  <w:sz w:val="18"/>
                  <w:szCs w:val="18"/>
                  <w:color w:val="0000FF"/>
                </w:rPr>
                <w:t>Master Transaction Agreement, dated August 4, 2021 by and among the</w:t>
              </w:r>
            </w:hyperlink>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60" w:type="dxa"/>
            <w:vAlign w:val="bottom"/>
            <w:tcBorders>
              <w:top w:val="single" w:sz="8" w:color="0000FF"/>
            </w:tcBorders>
            <w:gridSpan w:val="9"/>
          </w:tcPr>
          <w:p>
            <w:pPr>
              <w:spacing w:after="0" w:line="149" w:lineRule="exact"/>
              <w:rPr>
                <w:rFonts w:ascii="Arial" w:cs="Arial" w:eastAsia="Arial" w:hAnsi="Arial"/>
                <w:sz w:val="17"/>
                <w:szCs w:val="17"/>
                <w:color w:val="0000FF"/>
              </w:rPr>
            </w:pPr>
            <w:hyperlink r:id="rId118">
              <w:r>
                <w:rPr>
                  <w:rFonts w:ascii="Arial" w:cs="Arial" w:eastAsia="Arial" w:hAnsi="Arial"/>
                  <w:sz w:val="17"/>
                  <w:szCs w:val="17"/>
                  <w:color w:val="0000FF"/>
                </w:rPr>
                <w:t>Company, MGP, MGP OP, REIT Merger Sub, Existing VICI OP, New VICI</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2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118">
              <w:r>
                <w:rPr>
                  <w:rFonts w:ascii="Arial" w:cs="Arial" w:eastAsia="Arial" w:hAnsi="Arial"/>
                  <w:sz w:val="18"/>
                  <w:szCs w:val="18"/>
                  <w:color w:val="0000FF"/>
                </w:rPr>
                <w:t>Operating Company and MGM</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60" w:type="dxa"/>
            <w:vAlign w:val="bottom"/>
            <w:gridSpan w:val="6"/>
          </w:tcPr>
          <w:p>
            <w:pPr>
              <w:jc w:val="center"/>
              <w:ind w:left="270"/>
              <w:spacing w:after="0"/>
              <w:rPr>
                <w:rFonts w:ascii="Arial" w:cs="Arial" w:eastAsia="Arial" w:hAnsi="Arial"/>
                <w:sz w:val="18"/>
                <w:szCs w:val="18"/>
                <w:color w:val="0000FF"/>
                <w:w w:val="87"/>
              </w:rPr>
            </w:pPr>
            <w:hyperlink r:id="rId11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17"/>
          </w:tcPr>
          <w:p>
            <w:pPr>
              <w:spacing w:after="0"/>
              <w:rPr>
                <w:rFonts w:ascii="Arial" w:cs="Arial" w:eastAsia="Arial" w:hAnsi="Arial"/>
                <w:sz w:val="18"/>
                <w:szCs w:val="18"/>
                <w:color w:val="0000FF"/>
              </w:rPr>
            </w:pPr>
            <w:hyperlink r:id="rId119">
              <w:r>
                <w:rPr>
                  <w:rFonts w:ascii="Arial" w:cs="Arial" w:eastAsia="Arial" w:hAnsi="Arial"/>
                  <w:sz w:val="18"/>
                  <w:szCs w:val="18"/>
                  <w:color w:val="0000FF"/>
                </w:rPr>
                <w:t>Articles of Amendment to the Articles of Amendment and Restatement of</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8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VICI Properties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020" w:type="dxa"/>
            <w:vAlign w:val="bottom"/>
            <w:gridSpan w:val="7"/>
          </w:tcPr>
          <w:p>
            <w:pPr>
              <w:jc w:val="cente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20" w:type="dxa"/>
            <w:vAlign w:val="bottom"/>
          </w:tcPr>
          <w:p>
            <w:pPr>
              <w:spacing w:after="0"/>
              <w:rPr>
                <w:sz w:val="24"/>
                <w:szCs w:val="24"/>
                <w:color w:val="auto"/>
              </w:rPr>
            </w:pPr>
          </w:p>
        </w:tc>
        <w:tc>
          <w:tcPr>
            <w:tcW w:w="5820" w:type="dxa"/>
            <w:vAlign w:val="bottom"/>
            <w:gridSpan w:val="17"/>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Debt Commitment Letter, dated August 4, 2021, from Morgan Stanley Senior</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6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8"/>
              </w:rPr>
            </w:pPr>
            <w:hyperlink r:id="rId120">
              <w:r>
                <w:rPr>
                  <w:rFonts w:ascii="Arial" w:cs="Arial" w:eastAsia="Arial" w:hAnsi="Arial"/>
                  <w:sz w:val="18"/>
                  <w:szCs w:val="18"/>
                  <w:color w:val="0000FF"/>
                  <w:w w:val="98"/>
                </w:rPr>
                <w:t>Funding, Inc., JPMorgan Chase Bank, N.A. and Citigroup Global Markets</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0000FF"/>
            </w:tcBorders>
          </w:tcPr>
          <w:p>
            <w:pPr>
              <w:spacing w:after="0" w:line="169"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Inc.</w:t>
              </w:r>
            </w:hyperlink>
          </w:p>
        </w:tc>
        <w:tc>
          <w:tcPr>
            <w:tcW w:w="550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020" w:type="dxa"/>
            <w:vAlign w:val="bottom"/>
            <w:gridSpan w:val="7"/>
          </w:tcPr>
          <w:p>
            <w:pPr>
              <w:jc w:val="center"/>
              <w:spacing w:after="0"/>
              <w:rPr>
                <w:rFonts w:ascii="Arial" w:cs="Arial" w:eastAsia="Arial" w:hAnsi="Arial"/>
                <w:sz w:val="18"/>
                <w:szCs w:val="18"/>
                <w:color w:val="0000FF"/>
                <w:w w:val="91"/>
              </w:rPr>
            </w:pPr>
            <w:hyperlink w:anchor="page8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20" w:type="dxa"/>
            <w:vAlign w:val="bottom"/>
          </w:tcPr>
          <w:p>
            <w:pPr>
              <w:spacing w:after="0"/>
              <w:rPr>
                <w:sz w:val="24"/>
                <w:szCs w:val="24"/>
                <w:color w:val="auto"/>
              </w:rPr>
            </w:pPr>
          </w:p>
        </w:tc>
        <w:tc>
          <w:tcPr>
            <w:tcW w:w="5820" w:type="dxa"/>
            <w:vAlign w:val="bottom"/>
            <w:gridSpan w:val="17"/>
          </w:tcPr>
          <w:p>
            <w:pPr>
              <w:spacing w:after="0"/>
              <w:rPr>
                <w:rFonts w:ascii="Arial" w:cs="Arial" w:eastAsia="Arial" w:hAnsi="Arial"/>
                <w:sz w:val="18"/>
                <w:szCs w:val="18"/>
                <w:color w:val="0000FF"/>
                <w:w w:val="97"/>
              </w:rPr>
            </w:pPr>
            <w:hyperlink w:anchor="page87">
              <w:r>
                <w:rPr>
                  <w:rFonts w:ascii="Arial" w:cs="Arial" w:eastAsia="Arial" w:hAnsi="Arial"/>
                  <w:sz w:val="18"/>
                  <w:szCs w:val="18"/>
                  <w:color w:val="0000FF"/>
                  <w:w w:val="97"/>
                </w:rPr>
                <w:t>Letter dated August 3, 2021 re: Purchase and Sale Agreement dated as of</w:t>
              </w:r>
            </w:hyperlink>
          </w:p>
        </w:tc>
        <w:tc>
          <w:tcPr>
            <w:tcW w:w="840" w:type="dxa"/>
            <w:vAlign w:val="bottom"/>
            <w:vMerge w:val="restart"/>
          </w:tcPr>
          <w:p>
            <w:pPr>
              <w:ind w:left="3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60" w:type="dxa"/>
            <w:vAlign w:val="bottom"/>
            <w:tcBorders>
              <w:top w:val="single" w:sz="8" w:color="0000FF"/>
              <w:bottom w:val="single" w:sz="8" w:color="0000FF"/>
            </w:tcBorders>
            <w:gridSpan w:val="9"/>
          </w:tcPr>
          <w:p>
            <w:pPr>
              <w:spacing w:after="0" w:line="135" w:lineRule="exact"/>
              <w:rPr>
                <w:rFonts w:ascii="Arial" w:cs="Arial" w:eastAsia="Arial" w:hAnsi="Arial"/>
                <w:sz w:val="15"/>
                <w:szCs w:val="15"/>
                <w:color w:val="0000FF"/>
              </w:rPr>
            </w:pPr>
            <w:hyperlink w:anchor="page87">
              <w:r>
                <w:rPr>
                  <w:rFonts w:ascii="Arial" w:cs="Arial" w:eastAsia="Arial" w:hAnsi="Arial"/>
                  <w:sz w:val="15"/>
                  <w:szCs w:val="15"/>
                  <w:color w:val="0000FF"/>
                </w:rPr>
                <w:t>March 2, 2021 by and among Las Vegas Sands Corp., Pioneer OpCo, LLC</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bottom w:val="single" w:sz="8" w:color="0000FF"/>
            </w:tcBorders>
            <w:gridSpan w:val="3"/>
          </w:tcPr>
          <w:p>
            <w:pPr>
              <w:spacing w:after="0" w:line="155" w:lineRule="exact"/>
              <w:rPr>
                <w:rFonts w:ascii="Arial" w:cs="Arial" w:eastAsia="Arial" w:hAnsi="Arial"/>
                <w:sz w:val="17"/>
                <w:szCs w:val="17"/>
                <w:color w:val="0000FF"/>
                <w:w w:val="95"/>
              </w:rPr>
            </w:pPr>
            <w:hyperlink w:anchor="page87">
              <w:r>
                <w:rPr>
                  <w:rFonts w:ascii="Arial" w:cs="Arial" w:eastAsia="Arial" w:hAnsi="Arial"/>
                  <w:sz w:val="17"/>
                  <w:szCs w:val="17"/>
                  <w:color w:val="0000FF"/>
                  <w:w w:val="95"/>
                </w:rPr>
                <w:t>and VICI Properties L.P.</w:t>
              </w:r>
            </w:hyperlink>
          </w:p>
        </w:tc>
        <w:tc>
          <w:tcPr>
            <w:tcW w:w="39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020" w:type="dxa"/>
            <w:vAlign w:val="bottom"/>
            <w:gridSpan w:val="7"/>
          </w:tcPr>
          <w:p>
            <w:pPr>
              <w:jc w:val="center"/>
              <w:spacing w:after="0"/>
              <w:rPr>
                <w:rFonts w:ascii="Arial" w:cs="Arial" w:eastAsia="Arial" w:hAnsi="Arial"/>
                <w:sz w:val="18"/>
                <w:szCs w:val="18"/>
                <w:color w:val="0000FF"/>
                <w:w w:val="91"/>
              </w:rPr>
            </w:pPr>
            <w:hyperlink w:anchor="page9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20" w:type="dxa"/>
            <w:vAlign w:val="bottom"/>
          </w:tcPr>
          <w:p>
            <w:pPr>
              <w:spacing w:after="0"/>
              <w:rPr>
                <w:sz w:val="24"/>
                <w:szCs w:val="24"/>
                <w:color w:val="auto"/>
              </w:rPr>
            </w:pPr>
          </w:p>
        </w:tc>
        <w:tc>
          <w:tcPr>
            <w:tcW w:w="5820" w:type="dxa"/>
            <w:vAlign w:val="bottom"/>
            <w:gridSpan w:val="17"/>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Amendment dated October 7, 2021 to Letter dated August 3, 2021 re:</w:t>
              </w:r>
            </w:hyperlink>
          </w:p>
        </w:tc>
        <w:tc>
          <w:tcPr>
            <w:tcW w:w="840" w:type="dxa"/>
            <w:vAlign w:val="bottom"/>
            <w:vMerge w:val="restart"/>
          </w:tcPr>
          <w:p>
            <w:pPr>
              <w:ind w:left="3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0" w:type="dxa"/>
            <w:vAlign w:val="bottom"/>
            <w:tcBorders>
              <w:top w:val="single" w:sz="8" w:color="0000FF"/>
            </w:tcBorders>
            <w:gridSpan w:val="16"/>
          </w:tcPr>
          <w:p>
            <w:pPr>
              <w:spacing w:after="0" w:line="135" w:lineRule="exact"/>
              <w:rPr>
                <w:rFonts w:ascii="Arial" w:cs="Arial" w:eastAsia="Arial" w:hAnsi="Arial"/>
                <w:sz w:val="15"/>
                <w:szCs w:val="15"/>
                <w:color w:val="0000FF"/>
              </w:rPr>
            </w:pPr>
            <w:hyperlink w:anchor="page95">
              <w:r>
                <w:rPr>
                  <w:rFonts w:ascii="Arial" w:cs="Arial" w:eastAsia="Arial" w:hAnsi="Arial"/>
                  <w:sz w:val="15"/>
                  <w:szCs w:val="15"/>
                  <w:color w:val="0000FF"/>
                </w:rPr>
                <w:t>Purchase and Sale Agreement dated as of March 2, 2021 by and among Las</w:t>
              </w:r>
            </w:hyperlink>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5"/>
          </w:tcPr>
          <w:p>
            <w:pPr>
              <w:spacing w:after="0" w:line="155" w:lineRule="exact"/>
              <w:rPr>
                <w:rFonts w:ascii="Arial" w:cs="Arial" w:eastAsia="Arial" w:hAnsi="Arial"/>
                <w:sz w:val="17"/>
                <w:szCs w:val="17"/>
                <w:color w:val="0000FF"/>
                <w:w w:val="95"/>
              </w:rPr>
            </w:pPr>
            <w:hyperlink w:anchor="page95">
              <w:r>
                <w:rPr>
                  <w:rFonts w:ascii="Arial" w:cs="Arial" w:eastAsia="Arial" w:hAnsi="Arial"/>
                  <w:sz w:val="17"/>
                  <w:szCs w:val="17"/>
                  <w:color w:val="0000FF"/>
                  <w:w w:val="95"/>
                </w:rPr>
                <w:t>Vegas Sands Corp., Pioneer OpCo, LLC and VICI Properties L.P.</w:t>
              </w:r>
            </w:hyperlink>
          </w:p>
        </w:tc>
        <w:tc>
          <w:tcPr>
            <w:tcW w:w="920" w:type="dxa"/>
            <w:vAlign w:val="bottom"/>
            <w:tcBorders>
              <w:top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gridSpan w:val="7"/>
          </w:tcPr>
          <w:p>
            <w:pPr>
              <w:jc w:val="center"/>
              <w:spacing w:after="0"/>
              <w:rPr>
                <w:rFonts w:ascii="Arial" w:cs="Arial" w:eastAsia="Arial" w:hAnsi="Arial"/>
                <w:sz w:val="18"/>
                <w:szCs w:val="18"/>
                <w:color w:val="0000FF"/>
                <w:w w:val="91"/>
              </w:rPr>
            </w:pPr>
            <w:hyperlink w:anchor="page9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120" w:type="dxa"/>
            <w:vAlign w:val="bottom"/>
          </w:tcPr>
          <w:p>
            <w:pPr>
              <w:spacing w:after="0"/>
              <w:rPr>
                <w:sz w:val="22"/>
                <w:szCs w:val="22"/>
                <w:color w:val="auto"/>
              </w:rPr>
            </w:pPr>
          </w:p>
        </w:tc>
        <w:tc>
          <w:tcPr>
            <w:tcW w:w="5820" w:type="dxa"/>
            <w:vAlign w:val="bottom"/>
            <w:gridSpan w:val="17"/>
          </w:tcPr>
          <w:p>
            <w:pPr>
              <w:spacing w:after="0"/>
              <w:rPr>
                <w:rFonts w:ascii="Arial" w:cs="Arial" w:eastAsia="Arial" w:hAnsi="Arial"/>
                <w:sz w:val="18"/>
                <w:szCs w:val="18"/>
                <w:color w:val="0000FF"/>
                <w:w w:val="93"/>
              </w:rPr>
            </w:pPr>
            <w:hyperlink w:anchor="page99">
              <w:r>
                <w:rPr>
                  <w:rFonts w:ascii="Arial" w:cs="Arial" w:eastAsia="Arial" w:hAnsi="Arial"/>
                  <w:sz w:val="18"/>
                  <w:szCs w:val="18"/>
                  <w:color w:val="0000FF"/>
                  <w:w w:val="93"/>
                </w:rPr>
                <w:t>Fifth Amendment to Las Vegas Lease, dated as of September 3, 2021, by and</w:t>
              </w:r>
            </w:hyperlink>
          </w:p>
        </w:tc>
        <w:tc>
          <w:tcPr>
            <w:tcW w:w="840" w:type="dxa"/>
            <w:vAlign w:val="bottom"/>
            <w:vMerge w:val="restart"/>
          </w:tcPr>
          <w:p>
            <w:pPr>
              <w:ind w:left="3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7"/>
              </w:rPr>
            </w:pPr>
            <w:hyperlink w:anchor="page99">
              <w:r>
                <w:rPr>
                  <w:rFonts w:ascii="Arial" w:cs="Arial" w:eastAsia="Arial" w:hAnsi="Arial"/>
                  <w:sz w:val="18"/>
                  <w:szCs w:val="18"/>
                  <w:color w:val="0000FF"/>
                  <w:w w:val="97"/>
                </w:rPr>
                <w:t>among CPLV Property Owner LLC and Claudine Propco LLC as Landlord</w:t>
              </w:r>
            </w:hyperlink>
          </w:p>
        </w:tc>
        <w:tc>
          <w:tcPr>
            <w:tcW w:w="20" w:type="dxa"/>
            <w:vAlign w:val="bottom"/>
            <w:tcBorders>
              <w:bottom w:val="single" w:sz="8" w:color="0000FF"/>
            </w:tcBorders>
          </w:tcPr>
          <w:p>
            <w:pPr>
              <w:spacing w:after="0"/>
              <w:rPr>
                <w:sz w:val="14"/>
                <w:szCs w:val="14"/>
                <w:color w:val="auto"/>
              </w:rPr>
            </w:pPr>
          </w:p>
        </w:tc>
        <w:tc>
          <w:tcPr>
            <w:tcW w:w="80" w:type="dxa"/>
            <w:vAlign w:val="bottom"/>
            <w:gridSpan w:val="4"/>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gridSpan w:val="13"/>
          </w:tcPr>
          <w:p>
            <w:pPr>
              <w:spacing w:after="0" w:line="169" w:lineRule="exact"/>
              <w:rPr>
                <w:rFonts w:ascii="Arial" w:cs="Arial" w:eastAsia="Arial" w:hAnsi="Arial"/>
                <w:sz w:val="18"/>
                <w:szCs w:val="18"/>
                <w:color w:val="0000FF"/>
              </w:rPr>
            </w:pPr>
            <w:hyperlink w:anchor="page99">
              <w:r>
                <w:rPr>
                  <w:rFonts w:ascii="Arial" w:cs="Arial" w:eastAsia="Arial" w:hAnsi="Arial"/>
                  <w:sz w:val="18"/>
                  <w:szCs w:val="18"/>
                  <w:color w:val="0000FF"/>
                </w:rPr>
                <w:t>and, Desert Palace LLC, CEOC, LLC and Harrah’s Las Vegas LLC</w:t>
              </w:r>
            </w:hyperlink>
          </w:p>
        </w:tc>
        <w:tc>
          <w:tcPr>
            <w:tcW w:w="80" w:type="dxa"/>
            <w:vAlign w:val="bottom"/>
            <w:gridSpan w:val="4"/>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87"/>
              </w:rPr>
              <w:t>2.1</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8/5/2021</w:t>
            </w:r>
          </w:p>
        </w:tc>
      </w:tr>
      <w:tr>
        <w:trPr>
          <w:trHeight w:val="485"/>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87"/>
              </w:rPr>
              <w:t>3.1</w:t>
            </w:r>
          </w:p>
        </w:tc>
        <w:tc>
          <w:tcPr>
            <w:tcW w:w="1060" w:type="dxa"/>
            <w:vAlign w:val="bottom"/>
          </w:tcPr>
          <w:p>
            <w:pPr>
              <w:jc w:val="center"/>
              <w:ind w:left="230"/>
              <w:spacing w:after="0"/>
              <w:rPr>
                <w:sz w:val="20"/>
                <w:szCs w:val="20"/>
                <w:color w:val="auto"/>
              </w:rPr>
            </w:pPr>
            <w:r>
              <w:rPr>
                <w:rFonts w:ascii="Arial" w:cs="Arial" w:eastAsia="Arial" w:hAnsi="Arial"/>
                <w:sz w:val="18"/>
                <w:szCs w:val="18"/>
                <w:color w:val="auto"/>
                <w:w w:val="92"/>
              </w:rPr>
              <w:t>9/14/2021</w:t>
            </w:r>
          </w:p>
        </w:tc>
      </w:tr>
      <w:tr>
        <w:trPr>
          <w:trHeight w:val="673"/>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210"/>
              <w:spacing w:after="0"/>
              <w:rPr>
                <w:sz w:val="20"/>
                <w:szCs w:val="20"/>
                <w:color w:val="auto"/>
              </w:rPr>
            </w:pPr>
            <w:r>
              <w:rPr>
                <w:rFonts w:ascii="Arial" w:cs="Arial" w:eastAsia="Arial" w:hAnsi="Arial"/>
                <w:sz w:val="18"/>
                <w:szCs w:val="18"/>
                <w:color w:val="auto"/>
                <w:w w:val="91"/>
              </w:rPr>
              <w:t>8/5/2021</w:t>
            </w:r>
          </w:p>
        </w:tc>
      </w:tr>
    </w:tbl>
    <w:p>
      <w:pPr>
        <w:spacing w:after="0" w:line="1974" w:lineRule="exact"/>
        <w:rPr>
          <w:sz w:val="20"/>
          <w:szCs w:val="20"/>
          <w:color w:val="auto"/>
        </w:rPr>
      </w:pPr>
    </w:p>
    <w:p>
      <w:pPr>
        <w:sectPr>
          <w:pgSz w:w="11900" w:h="16838" w:orient="portrait"/>
          <w:cols w:equalWidth="0" w:num="2">
            <w:col w:w="7800" w:space="480"/>
            <w:col w:w="2960"/>
          </w:cols>
          <w:pgMar w:left="320" w:top="529" w:right="339" w:bottom="1440" w:gutter="0" w:footer="0" w:header="0"/>
          <w:type w:val="continuous"/>
        </w:sectPr>
      </w:pPr>
    </w:p>
    <w:tbl>
      <w:tblPr>
        <w:tblLayout w:type="fixed"/>
        <w:tblInd w:w="360" w:type="dxa"/>
        <w:tblCellMar>
          <w:top w:w="0" w:type="dxa"/>
          <w:left w:w="0" w:type="dxa"/>
          <w:bottom w:w="0" w:type="dxa"/>
          <w:right w:w="0" w:type="dxa"/>
        </w:tblCellMar>
      </w:tblPr>
      <w:tr>
        <w:trPr>
          <w:trHeight w:val="207"/>
        </w:trPr>
        <w:tc>
          <w:tcPr>
            <w:tcW w:w="800" w:type="dxa"/>
            <w:vAlign w:val="bottom"/>
            <w:gridSpan w:val="2"/>
          </w:tcPr>
          <w:p>
            <w:pPr>
              <w:jc w:val="right"/>
              <w:ind w:right="480"/>
              <w:spacing w:after="0"/>
              <w:rPr>
                <w:rFonts w:ascii="Arial" w:cs="Arial" w:eastAsia="Arial" w:hAnsi="Arial"/>
                <w:sz w:val="18"/>
                <w:szCs w:val="18"/>
                <w:color w:val="0000FF"/>
                <w:w w:val="85"/>
              </w:rPr>
            </w:pPr>
            <w:hyperlink w:anchor="page10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5880" w:type="dxa"/>
            <w:vAlign w:val="bottom"/>
            <w:gridSpan w:val="4"/>
          </w:tcPr>
          <w:p>
            <w:pPr>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Eighth Amendment to Regional Lease, dated as of September 3, 2021, by and</w:t>
              </w:r>
            </w:hyperlink>
          </w:p>
        </w:tc>
        <w:tc>
          <w:tcPr>
            <w:tcW w:w="380" w:type="dxa"/>
            <w:vAlign w:val="bottom"/>
            <w:vMerge w:val="restart"/>
          </w:tcPr>
          <w:p>
            <w:pPr>
              <w:ind w:lef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30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920" w:type="dxa"/>
            <w:vAlign w:val="bottom"/>
            <w:gridSpan w:val="2"/>
            <w:vMerge w:val="restart"/>
          </w:tcPr>
          <w:p>
            <w:pPr>
              <w:spacing w:after="0" w:line="149" w:lineRule="exact"/>
              <w:rPr>
                <w:rFonts w:ascii="Arial" w:cs="Arial" w:eastAsia="Arial" w:hAnsi="Arial"/>
                <w:sz w:val="17"/>
                <w:szCs w:val="17"/>
                <w:color w:val="0000FF"/>
                <w:w w:val="94"/>
              </w:rPr>
            </w:pPr>
            <w:hyperlink w:anchor="page107">
              <w:r>
                <w:rPr>
                  <w:rFonts w:ascii="Arial" w:cs="Arial" w:eastAsia="Arial" w:hAnsi="Arial"/>
                  <w:sz w:val="17"/>
                  <w:szCs w:val="17"/>
                  <w:color w:val="0000FF"/>
                  <w:w w:val="94"/>
                </w:rPr>
                <w:t>among the entities listed on Schedules A and B thereto</w:t>
              </w:r>
            </w:hyperlink>
          </w:p>
        </w:tc>
        <w:tc>
          <w:tcPr>
            <w:tcW w:w="1960" w:type="dxa"/>
            <w:vAlign w:val="bottom"/>
            <w:gridSpan w:val="2"/>
            <w:vMerge w:val="restart"/>
          </w:tcPr>
          <w:p>
            <w:pPr>
              <w:spacing w:after="0"/>
              <w:rPr>
                <w:sz w:val="8"/>
                <w:szCs w:val="8"/>
                <w:color w:val="auto"/>
              </w:rPr>
            </w:pP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920" w:type="dxa"/>
            <w:vAlign w:val="bottom"/>
            <w:tcBorders>
              <w:bottom w:val="single" w:sz="8" w:color="0000FF"/>
            </w:tcBorders>
            <w:gridSpan w:val="2"/>
            <w:vMerge w:val="continue"/>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00" w:type="dxa"/>
            <w:vAlign w:val="bottom"/>
            <w:gridSpan w:val="2"/>
          </w:tcPr>
          <w:p>
            <w:pPr>
              <w:jc w:val="right"/>
              <w:ind w:right="480"/>
              <w:spacing w:after="0"/>
              <w:rPr>
                <w:rFonts w:ascii="Arial" w:cs="Arial" w:eastAsia="Arial" w:hAnsi="Arial"/>
                <w:sz w:val="18"/>
                <w:szCs w:val="18"/>
                <w:color w:val="0000FF"/>
                <w:w w:val="85"/>
              </w:rPr>
            </w:pPr>
            <w:hyperlink w:anchor="page14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5880" w:type="dxa"/>
            <w:vAlign w:val="bottom"/>
            <w:gridSpan w:val="4"/>
          </w:tcPr>
          <w:p>
            <w:pPr>
              <w:spacing w:after="0"/>
              <w:rPr>
                <w:rFonts w:ascii="Arial" w:cs="Arial" w:eastAsia="Arial" w:hAnsi="Arial"/>
                <w:sz w:val="18"/>
                <w:szCs w:val="18"/>
                <w:color w:val="0000FF"/>
                <w:w w:val="99"/>
              </w:rPr>
            </w:pPr>
            <w:hyperlink w:anchor="page146">
              <w:r>
                <w:rPr>
                  <w:rFonts w:ascii="Arial" w:cs="Arial" w:eastAsia="Arial" w:hAnsi="Arial"/>
                  <w:sz w:val="18"/>
                  <w:szCs w:val="18"/>
                  <w:color w:val="0000FF"/>
                  <w:w w:val="99"/>
                </w:rPr>
                <w:t>Fifth Amendment to Lease (Joliet), dated as of September 3, 2021, by and</w:t>
              </w:r>
            </w:hyperlink>
          </w:p>
        </w:tc>
        <w:tc>
          <w:tcPr>
            <w:tcW w:w="380" w:type="dxa"/>
            <w:vAlign w:val="bottom"/>
            <w:vMerge w:val="restart"/>
          </w:tcPr>
          <w:p>
            <w:pPr>
              <w:ind w:lef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300" w:type="dxa"/>
            <w:vAlign w:val="bottom"/>
            <w:tcBorders>
              <w:top w:val="single" w:sz="8" w:color="0000FF"/>
            </w:tcBorders>
          </w:tcPr>
          <w:p>
            <w:pPr>
              <w:spacing w:after="0"/>
              <w:rPr>
                <w:sz w:val="14"/>
                <w:szCs w:val="14"/>
                <w:color w:val="auto"/>
              </w:rPr>
            </w:pPr>
          </w:p>
        </w:tc>
        <w:tc>
          <w:tcPr>
            <w:tcW w:w="500" w:type="dxa"/>
            <w:vAlign w:val="bottom"/>
          </w:tcPr>
          <w:p>
            <w:pPr>
              <w:spacing w:after="0"/>
              <w:rPr>
                <w:sz w:val="14"/>
                <w:szCs w:val="14"/>
                <w:color w:val="auto"/>
              </w:rPr>
            </w:pPr>
          </w:p>
        </w:tc>
        <w:tc>
          <w:tcPr>
            <w:tcW w:w="5620" w:type="dxa"/>
            <w:vAlign w:val="bottom"/>
            <w:tcBorders>
              <w:top w:val="single" w:sz="8" w:color="0000FF"/>
            </w:tcBorders>
            <w:gridSpan w:val="3"/>
          </w:tcPr>
          <w:p>
            <w:pPr>
              <w:spacing w:after="0" w:line="169" w:lineRule="exact"/>
              <w:rPr>
                <w:rFonts w:ascii="Arial" w:cs="Arial" w:eastAsia="Arial" w:hAnsi="Arial"/>
                <w:sz w:val="18"/>
                <w:szCs w:val="18"/>
                <w:color w:val="0000FF"/>
                <w:w w:val="92"/>
              </w:rPr>
            </w:pPr>
            <w:hyperlink w:anchor="page146">
              <w:r>
                <w:rPr>
                  <w:rFonts w:ascii="Arial" w:cs="Arial" w:eastAsia="Arial" w:hAnsi="Arial"/>
                  <w:sz w:val="18"/>
                  <w:szCs w:val="18"/>
                  <w:color w:val="0000FF"/>
                  <w:w w:val="92"/>
                </w:rPr>
                <w:t>between Harrah’s Joliet Landco LLC and Des Plaines Development Limited</w:t>
              </w:r>
            </w:hyperlink>
          </w:p>
        </w:tc>
        <w:tc>
          <w:tcPr>
            <w:tcW w:w="2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2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w:anchor="page146">
              <w:r>
                <w:rPr>
                  <w:rFonts w:ascii="Arial" w:cs="Arial" w:eastAsia="Arial" w:hAnsi="Arial"/>
                  <w:sz w:val="18"/>
                  <w:szCs w:val="18"/>
                  <w:color w:val="0000FF"/>
                </w:rPr>
                <w:t>Partnership</w:t>
              </w:r>
            </w:hyperlink>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529" w:right="3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960" w:type="dxa"/>
            <w:vAlign w:val="bottom"/>
            <w:gridSpan w:val="3"/>
          </w:tcPr>
          <w:p>
            <w:pPr>
              <w:jc w:val="center"/>
              <w:ind w:right="280"/>
              <w:spacing w:after="0"/>
              <w:rPr>
                <w:rFonts w:ascii="Arial" w:cs="Arial" w:eastAsia="Arial" w:hAnsi="Arial"/>
                <w:sz w:val="18"/>
                <w:szCs w:val="18"/>
                <w:color w:val="0000FF"/>
                <w:w w:val="91"/>
              </w:rPr>
            </w:pPr>
            <w:hyperlink w:anchor="page15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5440" w:type="dxa"/>
            <w:vAlign w:val="bottom"/>
            <w:gridSpan w:val="5"/>
          </w:tcPr>
          <w:p>
            <w:pPr>
              <w:spacing w:after="0"/>
              <w:rPr>
                <w:rFonts w:ascii="Arial" w:cs="Arial" w:eastAsia="Arial" w:hAnsi="Arial"/>
                <w:sz w:val="18"/>
                <w:szCs w:val="18"/>
                <w:color w:val="0000FF"/>
                <w:w w:val="93"/>
              </w:rPr>
            </w:pPr>
            <w:hyperlink w:anchor="page157">
              <w:r>
                <w:rPr>
                  <w:rFonts w:ascii="Arial" w:cs="Arial" w:eastAsia="Arial" w:hAnsi="Arial"/>
                  <w:sz w:val="18"/>
                  <w:szCs w:val="18"/>
                  <w:color w:val="0000FF"/>
                  <w:w w:val="93"/>
                </w:rPr>
                <w:t>Certification of Principal Executive Officer Pursuant to Section 302 of the</w:t>
              </w:r>
            </w:hyperlink>
          </w:p>
        </w:tc>
      </w:tr>
      <w:tr>
        <w:trPr>
          <w:trHeight w:val="155"/>
        </w:trPr>
        <w:tc>
          <w:tcPr>
            <w:tcW w:w="1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8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w w:val="94"/>
              </w:rPr>
            </w:pPr>
            <w:hyperlink w:anchor="page157">
              <w:r>
                <w:rPr>
                  <w:rFonts w:ascii="Arial" w:cs="Arial" w:eastAsia="Arial" w:hAnsi="Arial"/>
                  <w:sz w:val="17"/>
                  <w:szCs w:val="17"/>
                  <w:color w:val="0000FF"/>
                  <w:w w:val="94"/>
                </w:rPr>
                <w:t>Sarbanes-Oxley Act of 2002.</w:t>
              </w:r>
            </w:hyperlink>
          </w:p>
        </w:tc>
        <w:tc>
          <w:tcPr>
            <w:tcW w:w="324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960" w:type="dxa"/>
            <w:vAlign w:val="bottom"/>
            <w:gridSpan w:val="3"/>
          </w:tcPr>
          <w:p>
            <w:pPr>
              <w:jc w:val="center"/>
              <w:ind w:right="280"/>
              <w:spacing w:after="0"/>
              <w:rPr>
                <w:rFonts w:ascii="Arial" w:cs="Arial" w:eastAsia="Arial" w:hAnsi="Arial"/>
                <w:sz w:val="18"/>
                <w:szCs w:val="18"/>
                <w:color w:val="0000FF"/>
                <w:w w:val="91"/>
              </w:rPr>
            </w:pPr>
            <w:hyperlink w:anchor="page15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5440" w:type="dxa"/>
            <w:vAlign w:val="bottom"/>
            <w:gridSpan w:val="5"/>
          </w:tcPr>
          <w:p>
            <w:pPr>
              <w:spacing w:after="0"/>
              <w:rPr>
                <w:rFonts w:ascii="Arial" w:cs="Arial" w:eastAsia="Arial" w:hAnsi="Arial"/>
                <w:sz w:val="18"/>
                <w:szCs w:val="18"/>
                <w:color w:val="0000FF"/>
                <w:w w:val="94"/>
              </w:rPr>
            </w:pPr>
            <w:hyperlink w:anchor="page158">
              <w:r>
                <w:rPr>
                  <w:rFonts w:ascii="Arial" w:cs="Arial" w:eastAsia="Arial" w:hAnsi="Arial"/>
                  <w:sz w:val="18"/>
                  <w:szCs w:val="18"/>
                  <w:color w:val="0000FF"/>
                  <w:w w:val="94"/>
                </w:rPr>
                <w:t>Certification of Principal Financial Officer Pursuant to Section 302 of the</w:t>
              </w:r>
            </w:hyperlink>
          </w:p>
        </w:tc>
      </w:tr>
      <w:tr>
        <w:trPr>
          <w:trHeight w:val="155"/>
        </w:trPr>
        <w:tc>
          <w:tcPr>
            <w:tcW w:w="1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8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w w:val="94"/>
              </w:rPr>
            </w:pPr>
            <w:hyperlink w:anchor="page158">
              <w:r>
                <w:rPr>
                  <w:rFonts w:ascii="Arial" w:cs="Arial" w:eastAsia="Arial" w:hAnsi="Arial"/>
                  <w:sz w:val="17"/>
                  <w:szCs w:val="17"/>
                  <w:color w:val="0000FF"/>
                  <w:w w:val="94"/>
                </w:rPr>
                <w:t>Sarbanes-Oxley Act of 2002.</w:t>
              </w:r>
            </w:hyperlink>
          </w:p>
        </w:tc>
        <w:tc>
          <w:tcPr>
            <w:tcW w:w="3180" w:type="dxa"/>
            <w:vAlign w:val="bottom"/>
            <w:tcBorders>
              <w:top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63"/>
        </w:trPr>
        <w:tc>
          <w:tcPr>
            <w:tcW w:w="960" w:type="dxa"/>
            <w:vAlign w:val="bottom"/>
            <w:gridSpan w:val="3"/>
          </w:tcPr>
          <w:p>
            <w:pPr>
              <w:jc w:val="center"/>
              <w:ind w:right="280"/>
              <w:spacing w:after="0"/>
              <w:rPr>
                <w:rFonts w:ascii="Arial" w:cs="Arial" w:eastAsia="Arial" w:hAnsi="Arial"/>
                <w:sz w:val="18"/>
                <w:szCs w:val="18"/>
                <w:color w:val="0000FF"/>
                <w:w w:val="91"/>
              </w:rPr>
            </w:pPr>
            <w:hyperlink w:anchor="page15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5440" w:type="dxa"/>
            <w:vAlign w:val="bottom"/>
            <w:gridSpan w:val="5"/>
          </w:tcPr>
          <w:p>
            <w:pPr>
              <w:spacing w:after="0"/>
              <w:rPr>
                <w:rFonts w:ascii="Arial" w:cs="Arial" w:eastAsia="Arial" w:hAnsi="Arial"/>
                <w:sz w:val="18"/>
                <w:szCs w:val="18"/>
                <w:color w:val="0000FF"/>
                <w:w w:val="93"/>
              </w:rPr>
            </w:pPr>
            <w:hyperlink w:anchor="page159">
              <w:r>
                <w:rPr>
                  <w:rFonts w:ascii="Arial" w:cs="Arial" w:eastAsia="Arial" w:hAnsi="Arial"/>
                  <w:sz w:val="18"/>
                  <w:szCs w:val="18"/>
                  <w:color w:val="0000FF"/>
                  <w:w w:val="93"/>
                </w:rPr>
                <w:t>Certification of Principal Executive Officer Pursuant to Section 906 of the</w:t>
              </w:r>
            </w:hyperlink>
          </w:p>
        </w:tc>
      </w:tr>
      <w:tr>
        <w:trPr>
          <w:trHeight w:val="155"/>
        </w:trPr>
        <w:tc>
          <w:tcPr>
            <w:tcW w:w="1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8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w w:val="94"/>
              </w:rPr>
            </w:pPr>
            <w:hyperlink w:anchor="page159">
              <w:r>
                <w:rPr>
                  <w:rFonts w:ascii="Arial" w:cs="Arial" w:eastAsia="Arial" w:hAnsi="Arial"/>
                  <w:sz w:val="17"/>
                  <w:szCs w:val="17"/>
                  <w:color w:val="0000FF"/>
                  <w:w w:val="94"/>
                </w:rPr>
                <w:t>Sarbanes-Oxley Act of 2002.</w:t>
              </w:r>
            </w:hyperlink>
          </w:p>
        </w:tc>
        <w:tc>
          <w:tcPr>
            <w:tcW w:w="324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960" w:type="dxa"/>
            <w:vAlign w:val="bottom"/>
            <w:gridSpan w:val="3"/>
          </w:tcPr>
          <w:p>
            <w:pPr>
              <w:jc w:val="center"/>
              <w:ind w:right="280"/>
              <w:spacing w:after="0"/>
              <w:rPr>
                <w:rFonts w:ascii="Arial" w:cs="Arial" w:eastAsia="Arial" w:hAnsi="Arial"/>
                <w:sz w:val="18"/>
                <w:szCs w:val="18"/>
                <w:color w:val="0000FF"/>
                <w:w w:val="91"/>
              </w:rPr>
            </w:pPr>
            <w:hyperlink w:anchor="page16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5440" w:type="dxa"/>
            <w:vAlign w:val="bottom"/>
            <w:gridSpan w:val="5"/>
          </w:tcPr>
          <w:p>
            <w:pPr>
              <w:spacing w:after="0"/>
              <w:rPr>
                <w:rFonts w:ascii="Arial" w:cs="Arial" w:eastAsia="Arial" w:hAnsi="Arial"/>
                <w:sz w:val="18"/>
                <w:szCs w:val="18"/>
                <w:color w:val="0000FF"/>
                <w:w w:val="94"/>
              </w:rPr>
            </w:pPr>
            <w:hyperlink w:anchor="page160">
              <w:r>
                <w:rPr>
                  <w:rFonts w:ascii="Arial" w:cs="Arial" w:eastAsia="Arial" w:hAnsi="Arial"/>
                  <w:sz w:val="18"/>
                  <w:szCs w:val="18"/>
                  <w:color w:val="0000FF"/>
                  <w:w w:val="94"/>
                </w:rPr>
                <w:t>Certification of Principal Financial Officer Pursuant to Section 906 of the</w:t>
              </w:r>
            </w:hyperlink>
          </w:p>
        </w:tc>
      </w:tr>
      <w:tr>
        <w:trPr>
          <w:trHeight w:val="155"/>
        </w:trPr>
        <w:tc>
          <w:tcPr>
            <w:tcW w:w="1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8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w w:val="94"/>
              </w:rPr>
            </w:pPr>
            <w:hyperlink w:anchor="page160">
              <w:r>
                <w:rPr>
                  <w:rFonts w:ascii="Arial" w:cs="Arial" w:eastAsia="Arial" w:hAnsi="Arial"/>
                  <w:sz w:val="17"/>
                  <w:szCs w:val="17"/>
                  <w:color w:val="0000FF"/>
                  <w:w w:val="94"/>
                </w:rPr>
                <w:t>Sarbanes-Oxley Act of 2002.</w:t>
              </w:r>
            </w:hyperlink>
          </w:p>
        </w:tc>
        <w:tc>
          <w:tcPr>
            <w:tcW w:w="3180" w:type="dxa"/>
            <w:vAlign w:val="bottom"/>
            <w:tcBorders>
              <w:top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49"/>
        </w:trPr>
        <w:tc>
          <w:tcPr>
            <w:tcW w:w="96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101.INS</w:t>
            </w:r>
          </w:p>
        </w:tc>
        <w:tc>
          <w:tcPr>
            <w:tcW w:w="5440" w:type="dxa"/>
            <w:vAlign w:val="bottom"/>
            <w:gridSpan w:val="5"/>
          </w:tcPr>
          <w:p>
            <w:pPr>
              <w:spacing w:after="0"/>
              <w:rPr>
                <w:sz w:val="20"/>
                <w:szCs w:val="20"/>
                <w:color w:val="auto"/>
              </w:rPr>
            </w:pPr>
            <w:r>
              <w:rPr>
                <w:rFonts w:ascii="Arial" w:cs="Arial" w:eastAsia="Arial" w:hAnsi="Arial"/>
                <w:sz w:val="18"/>
                <w:szCs w:val="18"/>
                <w:color w:val="auto"/>
                <w:w w:val="92"/>
              </w:rPr>
              <w:t>XBRL Instance Document - the instance document does not appear in the</w:t>
            </w:r>
          </w:p>
        </w:tc>
      </w:tr>
      <w:tr>
        <w:trPr>
          <w:trHeight w:val="175"/>
        </w:trPr>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40" w:type="dxa"/>
            <w:vAlign w:val="bottom"/>
            <w:gridSpan w:val="5"/>
          </w:tcPr>
          <w:p>
            <w:pPr>
              <w:spacing w:after="0" w:line="176" w:lineRule="exact"/>
              <w:rPr>
                <w:sz w:val="20"/>
                <w:szCs w:val="20"/>
                <w:color w:val="auto"/>
              </w:rPr>
            </w:pPr>
            <w:r>
              <w:rPr>
                <w:rFonts w:ascii="Arial" w:cs="Arial" w:eastAsia="Arial" w:hAnsi="Arial"/>
                <w:sz w:val="18"/>
                <w:szCs w:val="18"/>
                <w:color w:val="auto"/>
                <w:w w:val="90"/>
              </w:rPr>
              <w:t>Interactive Data File because its XBRL tags are embedded within the Inline</w:t>
            </w:r>
          </w:p>
        </w:tc>
      </w:tr>
      <w:tr>
        <w:trPr>
          <w:trHeight w:val="230"/>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XBRL document</w:t>
            </w:r>
          </w:p>
        </w:tc>
      </w:tr>
      <w:tr>
        <w:trPr>
          <w:trHeight w:val="282"/>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101.SCH</w:t>
            </w:r>
          </w:p>
        </w:tc>
        <w:tc>
          <w:tcPr>
            <w:tcW w:w="54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101.CAL</w:t>
            </w:r>
          </w:p>
        </w:tc>
        <w:tc>
          <w:tcPr>
            <w:tcW w:w="54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101.DEF</w:t>
            </w:r>
          </w:p>
        </w:tc>
        <w:tc>
          <w:tcPr>
            <w:tcW w:w="54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96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101.LAB</w:t>
            </w:r>
          </w:p>
        </w:tc>
        <w:tc>
          <w:tcPr>
            <w:tcW w:w="54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96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101.PRE</w:t>
            </w:r>
          </w:p>
        </w:tc>
        <w:tc>
          <w:tcPr>
            <w:tcW w:w="54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140" w:right="420" w:hanging="762"/>
        <w:spacing w:after="0" w:line="234" w:lineRule="auto"/>
        <w:tabs>
          <w:tab w:leader="none" w:pos="11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8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62" w:lineRule="exact"/>
        <w:rPr>
          <w:rFonts w:ascii="Arial" w:cs="Arial" w:eastAsia="Arial" w:hAnsi="Arial"/>
          <w:sz w:val="18"/>
          <w:szCs w:val="18"/>
          <w:color w:val="auto"/>
        </w:rPr>
      </w:pPr>
    </w:p>
    <w:p>
      <w:pPr>
        <w:ind w:left="240" w:hanging="232"/>
        <w:spacing w:after="0"/>
        <w:tabs>
          <w:tab w:leader="none" w:pos="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Pursuant to Item 601(a)(5) of Regulation S-K, certain schedules and exhibits have been omitted.</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21" w:lineRule="exact"/>
        <w:rPr>
          <w:sz w:val="20"/>
          <w:szCs w:val="20"/>
          <w:color w:val="auto"/>
        </w:rPr>
      </w:pPr>
    </w:p>
    <w:p>
      <w:pPr>
        <w:sectPr>
          <w:pgSz w:w="11900" w:h="16838" w:orient="portrait"/>
          <w:cols w:equalWidth="0" w:num="2">
            <w:col w:w="7140" w:space="140"/>
            <w:col w:w="3960"/>
          </w:cols>
          <w:pgMar w:left="320" w:top="529"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VICI PROPERTIES INC.</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5"/>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October 27, 2021</w:t>
            </w:r>
          </w:p>
        </w:tc>
      </w:tr>
      <w:tr>
        <w:trPr>
          <w:trHeight w:val="227"/>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80" w:type="dxa"/>
            <w:vAlign w:val="bottom"/>
          </w:tcPr>
          <w:p>
            <w:pPr>
              <w:spacing w:after="0"/>
              <w:rPr>
                <w:sz w:val="19"/>
                <w:szCs w:val="19"/>
                <w:color w:val="auto"/>
              </w:rPr>
            </w:pPr>
          </w:p>
        </w:tc>
      </w:tr>
      <w:tr>
        <w:trPr>
          <w:trHeight w:val="480"/>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October 27, 2021</w:t>
            </w:r>
          </w:p>
        </w:tc>
      </w:tr>
      <w:tr>
        <w:trPr>
          <w:trHeight w:val="227"/>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80" w:type="dxa"/>
            <w:vAlign w:val="bottom"/>
          </w:tcPr>
          <w:p>
            <w:pPr>
              <w:spacing w:after="0"/>
              <w:rPr>
                <w:sz w:val="19"/>
                <w:szCs w:val="19"/>
                <w:color w:val="auto"/>
              </w:rPr>
            </w:pPr>
          </w:p>
        </w:tc>
      </w:tr>
      <w:tr>
        <w:trPr>
          <w:trHeight w:val="480"/>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October 27, 2021</w:t>
            </w:r>
          </w:p>
        </w:tc>
      </w:tr>
      <w:tr>
        <w:trPr>
          <w:trHeight w:val="227"/>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9"/>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Accounting Officer)</w:t>
            </w: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529"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1992630" cy="897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1992630" cy="89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August 3, 2021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Pioneer OpCo, LLC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c/o Apollo Management Holdings, L.P.</w:t>
      </w:r>
    </w:p>
    <w:p>
      <w:pPr>
        <w:spacing w:after="0" w:line="195" w:lineRule="auto"/>
        <w:rPr>
          <w:sz w:val="20"/>
          <w:szCs w:val="20"/>
          <w:color w:val="auto"/>
        </w:rPr>
      </w:pPr>
      <w:r>
        <w:rPr>
          <w:rFonts w:ascii="Arial" w:cs="Arial" w:eastAsia="Arial" w:hAnsi="Arial"/>
          <w:sz w:val="20"/>
          <w:szCs w:val="20"/>
          <w:color w:val="auto"/>
        </w:rPr>
        <w:t>9 West 57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 34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10019</w:t>
      </w:r>
    </w:p>
    <w:p>
      <w:pPr>
        <w:spacing w:after="0" w:line="29" w:lineRule="exact"/>
        <w:rPr>
          <w:sz w:val="20"/>
          <w:szCs w:val="20"/>
          <w:color w:val="auto"/>
        </w:rPr>
      </w:pPr>
    </w:p>
    <w:p>
      <w:pPr>
        <w:jc w:val="both"/>
        <w:ind w:left="20"/>
        <w:spacing w:after="0"/>
        <w:tabs>
          <w:tab w:leader="none" w:pos="17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0"/>
          <w:szCs w:val="20"/>
          <w:color w:val="auto"/>
        </w:rPr>
        <w:t>Alex Van Hoek</w:t>
      </w:r>
    </w:p>
    <w:p>
      <w:pPr>
        <w:spacing w:after="0" w:line="51" w:lineRule="exact"/>
        <w:rPr>
          <w:sz w:val="20"/>
          <w:szCs w:val="20"/>
          <w:color w:val="auto"/>
        </w:rPr>
      </w:pPr>
    </w:p>
    <w:p>
      <w:pPr>
        <w:jc w:val="right"/>
        <w:ind w:right="8320"/>
        <w:spacing w:after="0"/>
        <w:rPr>
          <w:sz w:val="20"/>
          <w:szCs w:val="20"/>
          <w:color w:val="auto"/>
        </w:rPr>
      </w:pPr>
      <w:r>
        <w:rPr>
          <w:rFonts w:ascii="Arial" w:cs="Arial" w:eastAsia="Arial" w:hAnsi="Arial"/>
          <w:sz w:val="20"/>
          <w:szCs w:val="20"/>
          <w:color w:val="auto"/>
        </w:rPr>
        <w:t>David Sambur</w:t>
      </w:r>
    </w:p>
    <w:p>
      <w:pPr>
        <w:spacing w:after="0" w:line="53"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sambur@apollo.com</w:t>
      </w:r>
    </w:p>
    <w:p>
      <w:pPr>
        <w:spacing w:after="0" w:line="5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avanhoek@apollo.com</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VICI Properties L.P.</w:t>
      </w:r>
    </w:p>
    <w:p>
      <w:pPr>
        <w:spacing w:after="0" w:line="203" w:lineRule="auto"/>
        <w:rPr>
          <w:sz w:val="20"/>
          <w:szCs w:val="20"/>
          <w:color w:val="auto"/>
        </w:rPr>
      </w:pPr>
      <w:r>
        <w:rPr>
          <w:rFonts w:ascii="Arial" w:cs="Arial" w:eastAsia="Arial" w:hAnsi="Arial"/>
          <w:sz w:val="20"/>
          <w:szCs w:val="20"/>
          <w:color w:val="auto"/>
        </w:rPr>
        <w:t>535 Madison Avenue,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10022</w:t>
      </w:r>
    </w:p>
    <w:p>
      <w:pPr>
        <w:spacing w:after="0" w:line="29"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0"/>
          <w:szCs w:val="20"/>
          <w:color w:val="auto"/>
        </w:rPr>
        <w:t>Samantha S. Gallagher</w:t>
      </w:r>
    </w:p>
    <w:p>
      <w:pPr>
        <w:spacing w:after="0" w:line="51"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corplaw@viciproperties.com</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Project Pioneer: Letter Agreement Re Raiders Seats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1" w:lineRule="exact"/>
        <w:rPr>
          <w:sz w:val="20"/>
          <w:szCs w:val="20"/>
          <w:color w:val="auto"/>
        </w:rPr>
      </w:pPr>
    </w:p>
    <w:p>
      <w:pPr>
        <w:jc w:val="both"/>
        <w:ind w:firstLine="646"/>
        <w:spacing w:after="0" w:line="243" w:lineRule="auto"/>
        <w:rPr>
          <w:sz w:val="20"/>
          <w:szCs w:val="20"/>
          <w:color w:val="auto"/>
        </w:rPr>
      </w:pPr>
      <w:r>
        <w:rPr>
          <w:rFonts w:ascii="Arial" w:cs="Arial" w:eastAsia="Arial" w:hAnsi="Arial"/>
          <w:sz w:val="20"/>
          <w:szCs w:val="20"/>
          <w:color w:val="auto"/>
        </w:rPr>
        <w:t>Reference is made to that certain Purchase and Sale Agreement, dated as of March 2, 2021 (as amended, restated, modified or supplemented, the “</w:t>
      </w:r>
      <w:r>
        <w:rPr>
          <w:rFonts w:ascii="Arial" w:cs="Arial" w:eastAsia="Arial" w:hAnsi="Arial"/>
          <w:sz w:val="20"/>
          <w:szCs w:val="20"/>
          <w:u w:val="single" w:color="auto"/>
          <w:color w:val="auto"/>
        </w:rPr>
        <w:t>Agreement</w:t>
      </w:r>
      <w:r>
        <w:rPr>
          <w:rFonts w:ascii="Arial" w:cs="Arial" w:eastAsia="Arial" w:hAnsi="Arial"/>
          <w:sz w:val="20"/>
          <w:szCs w:val="20"/>
          <w:color w:val="auto"/>
        </w:rPr>
        <w:t>”), by and among Las Vegas Sands Corp., a Nevada corporation (“</w:t>
      </w:r>
      <w:r>
        <w:rPr>
          <w:rFonts w:ascii="Arial" w:cs="Arial" w:eastAsia="Arial" w:hAnsi="Arial"/>
          <w:sz w:val="20"/>
          <w:szCs w:val="20"/>
          <w:u w:val="single" w:color="auto"/>
          <w:color w:val="auto"/>
        </w:rPr>
        <w:t>Seller</w:t>
      </w:r>
      <w:r>
        <w:rPr>
          <w:rFonts w:ascii="Arial" w:cs="Arial" w:eastAsia="Arial" w:hAnsi="Arial"/>
          <w:sz w:val="20"/>
          <w:szCs w:val="20"/>
          <w:color w:val="auto"/>
        </w:rPr>
        <w:t>”), Pioneer OpCo, LLC, a Nevada limited liability company (“</w:t>
      </w:r>
      <w:r>
        <w:rPr>
          <w:rFonts w:ascii="Arial" w:cs="Arial" w:eastAsia="Arial" w:hAnsi="Arial"/>
          <w:sz w:val="20"/>
          <w:szCs w:val="20"/>
          <w:u w:val="single" w:color="auto"/>
          <w:color w:val="auto"/>
        </w:rPr>
        <w:t>OpCo Purchaser</w:t>
      </w:r>
      <w:r>
        <w:rPr>
          <w:rFonts w:ascii="Arial" w:cs="Arial" w:eastAsia="Arial" w:hAnsi="Arial"/>
          <w:sz w:val="20"/>
          <w:szCs w:val="20"/>
          <w:color w:val="auto"/>
        </w:rPr>
        <w:t>”) and VICI Properties L.P., a Delaware limited partnership (“</w:t>
      </w:r>
      <w:r>
        <w:rPr>
          <w:rFonts w:ascii="Arial" w:cs="Arial" w:eastAsia="Arial" w:hAnsi="Arial"/>
          <w:sz w:val="20"/>
          <w:szCs w:val="20"/>
          <w:u w:val="single" w:color="auto"/>
          <w:color w:val="auto"/>
        </w:rPr>
        <w:t>PropCo Purchaser</w:t>
      </w:r>
      <w:r>
        <w:rPr>
          <w:rFonts w:ascii="Arial" w:cs="Arial" w:eastAsia="Arial" w:hAnsi="Arial"/>
          <w:sz w:val="20"/>
          <w:szCs w:val="20"/>
          <w:color w:val="auto"/>
        </w:rPr>
        <w:t>”), which provides that the Agreement (and the Exhibits and Schedules thereto) may be amended by an instrument in writing executed by each of the parties thereto. Capitalized terms used and not otherwise defined in this letter agreement (the “</w:t>
      </w:r>
      <w:r>
        <w:rPr>
          <w:rFonts w:ascii="Arial" w:cs="Arial" w:eastAsia="Arial" w:hAnsi="Arial"/>
          <w:sz w:val="20"/>
          <w:szCs w:val="20"/>
          <w:u w:val="single" w:color="auto"/>
          <w:color w:val="auto"/>
        </w:rPr>
        <w:t>Second Letter Agreement</w:t>
      </w:r>
      <w:r>
        <w:rPr>
          <w:rFonts w:ascii="Arial" w:cs="Arial" w:eastAsia="Arial" w:hAnsi="Arial"/>
          <w:sz w:val="20"/>
          <w:szCs w:val="20"/>
          <w:color w:val="auto"/>
        </w:rPr>
        <w:t>”) shall have the meanings ascribed to them in the Agreement.</w:t>
      </w:r>
    </w:p>
    <w:p>
      <w:pPr>
        <w:spacing w:after="0" w:line="192" w:lineRule="exact"/>
        <w:rPr>
          <w:sz w:val="20"/>
          <w:szCs w:val="20"/>
          <w:color w:val="auto"/>
        </w:rPr>
      </w:pPr>
    </w:p>
    <w:p>
      <w:pPr>
        <w:jc w:val="both"/>
        <w:ind w:right="20" w:firstLine="646"/>
        <w:spacing w:after="0" w:line="315"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and sufficiency of which are hereby acknowledged, Seller, OpCo Purchaser and PropCo Purchaser (the “</w:t>
      </w:r>
      <w:r>
        <w:rPr>
          <w:rFonts w:ascii="Arial" w:cs="Arial" w:eastAsia="Arial" w:hAnsi="Arial"/>
          <w:sz w:val="18"/>
          <w:szCs w:val="18"/>
          <w:u w:val="single" w:color="auto"/>
          <w:color w:val="auto"/>
        </w:rPr>
        <w:t>Parties</w:t>
      </w:r>
      <w:r>
        <w:rPr>
          <w:rFonts w:ascii="Arial" w:cs="Arial" w:eastAsia="Arial" w:hAnsi="Arial"/>
          <w:sz w:val="18"/>
          <w:szCs w:val="18"/>
          <w:color w:val="auto"/>
        </w:rPr>
        <w:t>”) hereby agree as follows:</w:t>
      </w:r>
    </w:p>
    <w:p>
      <w:pPr>
        <w:spacing w:after="0" w:line="130" w:lineRule="exact"/>
        <w:rPr>
          <w:sz w:val="20"/>
          <w:szCs w:val="20"/>
          <w:color w:val="auto"/>
        </w:rPr>
      </w:pPr>
    </w:p>
    <w:p>
      <w:pPr>
        <w:ind w:left="980" w:hanging="326"/>
        <w:spacing w:after="0"/>
        <w:tabs>
          <w:tab w:leader="none" w:pos="98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Second Letter Agreement shall be effective as of July 14,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ind w:left="980" w:hanging="326"/>
        <w:spacing w:after="0"/>
        <w:tabs>
          <w:tab w:leader="none" w:pos="98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Acquisition of Additional Specified Acquired Assets</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ind w:left="1620" w:hanging="323"/>
        <w:spacing w:after="0" w:line="259" w:lineRule="auto"/>
        <w:rPr>
          <w:rFonts w:ascii="Arial" w:cs="Arial" w:eastAsia="Arial" w:hAnsi="Arial"/>
          <w:sz w:val="20"/>
          <w:szCs w:val="20"/>
          <w:color w:val="auto"/>
        </w:rPr>
      </w:pPr>
      <w:r>
        <w:rPr>
          <w:rFonts w:ascii="Arial" w:cs="Arial" w:eastAsia="Arial" w:hAnsi="Arial"/>
          <w:sz w:val="20"/>
          <w:szCs w:val="20"/>
          <w:color w:val="auto"/>
        </w:rPr>
        <w:t>a. Pursuant to Section 5(b) of the Agreement, OpCo Purchaser consents, as of the Effective Date, to Seller or one of its Affiliates entering into (i) the Personal Seat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4991100</wp:posOffset>
            </wp:positionH>
            <wp:positionV relativeFrom="paragraph">
              <wp:posOffset>-748665</wp:posOffset>
            </wp:positionV>
            <wp:extent cx="31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left="966"/>
        <w:spacing w:after="0" w:line="249" w:lineRule="auto"/>
        <w:rPr>
          <w:sz w:val="20"/>
          <w:szCs w:val="20"/>
          <w:color w:val="auto"/>
        </w:rPr>
      </w:pPr>
      <w:r>
        <w:rPr>
          <w:rFonts w:ascii="Arial" w:cs="Arial" w:eastAsia="Arial" w:hAnsi="Arial"/>
          <w:sz w:val="20"/>
          <w:szCs w:val="20"/>
          <w:color w:val="auto"/>
        </w:rPr>
        <w:t xml:space="preserve">License Agreement with Clark County Stadium Authority dated as of June 1, 2021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(ii) the Personal Seat License Agreement with Clark County Stadium Authority dated as of June 1, 2021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Raiders Contracts</w:t>
      </w:r>
      <w:r>
        <w:rPr>
          <w:rFonts w:ascii="Arial" w:cs="Arial" w:eastAsia="Arial" w:hAnsi="Arial"/>
          <w:sz w:val="20"/>
          <w:szCs w:val="20"/>
          <w:color w:val="auto"/>
        </w:rPr>
        <w:t>”).</w:t>
      </w:r>
    </w:p>
    <w:p>
      <w:pPr>
        <w:spacing w:after="0" w:line="187" w:lineRule="exact"/>
        <w:rPr>
          <w:sz w:val="20"/>
          <w:szCs w:val="20"/>
          <w:color w:val="auto"/>
        </w:rPr>
      </w:pPr>
    </w:p>
    <w:p>
      <w:pPr>
        <w:ind w:left="326" w:hanging="326"/>
        <w:spacing w:after="0" w:line="259" w:lineRule="auto"/>
        <w:tabs>
          <w:tab w:leader="none" w:pos="326"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Pursuant to and in accordance with Section 24(f) of the Agreement, the Parties agree, as of the Effective Date, as follows:</w:t>
      </w:r>
    </w:p>
    <w:p>
      <w:pPr>
        <w:spacing w:after="0" w:line="177" w:lineRule="exact"/>
        <w:rPr>
          <w:sz w:val="20"/>
          <w:szCs w:val="20"/>
          <w:color w:val="auto"/>
        </w:rPr>
      </w:pPr>
    </w:p>
    <w:p>
      <w:pPr>
        <w:ind w:left="966" w:hanging="319"/>
        <w:spacing w:after="0" w:line="259" w:lineRule="auto"/>
        <w:tabs>
          <w:tab w:leader="none" w:pos="954" w:val="left"/>
        </w:tabs>
        <w:numPr>
          <w:ilvl w:val="0"/>
          <w:numId w:val="70"/>
        </w:numPr>
        <w:rPr>
          <w:rFonts w:ascii="Arial" w:cs="Arial" w:eastAsia="Arial" w:hAnsi="Arial"/>
          <w:sz w:val="20"/>
          <w:szCs w:val="20"/>
          <w:color w:val="auto"/>
        </w:rPr>
      </w:pPr>
      <w:r>
        <w:rPr>
          <w:rFonts w:ascii="Arial" w:cs="Arial" w:eastAsia="Arial" w:hAnsi="Arial"/>
          <w:sz w:val="20"/>
          <w:szCs w:val="20"/>
          <w:color w:val="auto"/>
        </w:rPr>
        <w:t>Section 1 of the Agreement is amended by adding the following definitions and by amending and restating certain definitions thereto:</w:t>
      </w:r>
    </w:p>
    <w:p>
      <w:pPr>
        <w:spacing w:after="0" w:line="171" w:lineRule="exact"/>
        <w:rPr>
          <w:sz w:val="20"/>
          <w:szCs w:val="20"/>
          <w:color w:val="auto"/>
        </w:rPr>
      </w:pPr>
    </w:p>
    <w:p>
      <w:pPr>
        <w:jc w:val="both"/>
        <w:ind w:left="1286"/>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Raiders Amount</w:t>
      </w:r>
      <w:r>
        <w:rPr>
          <w:rFonts w:ascii="Arial" w:cs="Arial" w:eastAsia="Arial" w:hAnsi="Arial"/>
          <w:sz w:val="20"/>
          <w:szCs w:val="20"/>
          <w:color w:val="auto"/>
        </w:rPr>
        <w:t>” means the sum of all payments made by Seller and its Affiliates prior to Closing to Clark County Stadium Authority, Raiders Football Club, LLC and/or their respective designees pursuant to the Raiders Contracts.</w:t>
      </w:r>
    </w:p>
    <w:p>
      <w:pPr>
        <w:spacing w:after="0" w:line="178" w:lineRule="exact"/>
        <w:rPr>
          <w:sz w:val="20"/>
          <w:szCs w:val="20"/>
          <w:color w:val="auto"/>
        </w:rPr>
      </w:pPr>
    </w:p>
    <w:p>
      <w:pPr>
        <w:ind w:left="1286"/>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CapEx True-Up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4(c)</w:t>
      </w:r>
      <w:r>
        <w:rPr>
          <w:rFonts w:ascii="Arial" w:cs="Arial" w:eastAsia="Arial" w:hAnsi="Arial"/>
          <w:sz w:val="20"/>
          <w:szCs w:val="20"/>
          <w:color w:val="auto"/>
        </w:rPr>
        <w:t>.</w:t>
      </w:r>
    </w:p>
    <w:p>
      <w:pPr>
        <w:spacing w:after="0" w:line="214" w:lineRule="exact"/>
        <w:rPr>
          <w:sz w:val="20"/>
          <w:szCs w:val="20"/>
          <w:color w:val="auto"/>
        </w:rPr>
      </w:pPr>
    </w:p>
    <w:p>
      <w:pPr>
        <w:ind w:left="1286"/>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Closing Raiders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4(c)</w:t>
      </w:r>
      <w:r>
        <w:rPr>
          <w:rFonts w:ascii="Arial" w:cs="Arial" w:eastAsia="Arial" w:hAnsi="Arial"/>
          <w:sz w:val="20"/>
          <w:szCs w:val="20"/>
          <w:color w:val="auto"/>
        </w:rPr>
        <w:t>.</w:t>
      </w:r>
    </w:p>
    <w:p>
      <w:pPr>
        <w:spacing w:after="0" w:line="214" w:lineRule="exact"/>
        <w:rPr>
          <w:sz w:val="20"/>
          <w:szCs w:val="20"/>
          <w:color w:val="auto"/>
        </w:rPr>
      </w:pPr>
    </w:p>
    <w:p>
      <w:pPr>
        <w:ind w:left="1286"/>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CapEx True-Up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4(d)(ii)</w:t>
      </w:r>
      <w:r>
        <w:rPr>
          <w:rFonts w:ascii="Arial" w:cs="Arial" w:eastAsia="Arial" w:hAnsi="Arial"/>
          <w:sz w:val="20"/>
          <w:szCs w:val="20"/>
          <w:color w:val="auto"/>
        </w:rPr>
        <w:t>.</w:t>
      </w:r>
    </w:p>
    <w:p>
      <w:pPr>
        <w:spacing w:after="0" w:line="214" w:lineRule="exact"/>
        <w:rPr>
          <w:sz w:val="20"/>
          <w:szCs w:val="20"/>
          <w:color w:val="auto"/>
        </w:rPr>
      </w:pPr>
    </w:p>
    <w:p>
      <w:pPr>
        <w:ind w:left="1286"/>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Closing Raiders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4(d)(ii)</w:t>
      </w:r>
      <w:r>
        <w:rPr>
          <w:rFonts w:ascii="Arial" w:cs="Arial" w:eastAsia="Arial" w:hAnsi="Arial"/>
          <w:sz w:val="20"/>
          <w:szCs w:val="20"/>
          <w:color w:val="auto"/>
        </w:rPr>
        <w:t>.</w:t>
      </w:r>
    </w:p>
    <w:p>
      <w:pPr>
        <w:spacing w:after="0" w:line="214" w:lineRule="exact"/>
        <w:rPr>
          <w:sz w:val="20"/>
          <w:szCs w:val="20"/>
          <w:color w:val="auto"/>
        </w:rPr>
      </w:pPr>
    </w:p>
    <w:p>
      <w:pPr>
        <w:jc w:val="both"/>
        <w:ind w:left="1286"/>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Raiders Contracts</w:t>
      </w:r>
      <w:r>
        <w:rPr>
          <w:rFonts w:ascii="Arial" w:cs="Arial" w:eastAsia="Arial" w:hAnsi="Arial"/>
          <w:sz w:val="19"/>
          <w:szCs w:val="19"/>
          <w:color w:val="auto"/>
        </w:rPr>
        <w:t xml:space="preserve">” means (i) the Personal Seat License Agreement with Clark County Stadium Authority, dated as of June 1, 2021,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that certain Letter Agreement, effective as of July 14, 2021 by and among Seller, OpCo Purchaser and PropCo Purchaser and (ii) the Personal Seat License Agreement with Clark County Stadium Authority, dated as of June 1,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that certain Letter Agreement, effective as of July 27, 2021 by and among Seller, OpCo Purchaser and PropCo Purchaser.</w:t>
      </w:r>
    </w:p>
    <w:p>
      <w:pPr>
        <w:spacing w:after="0" w:line="178" w:lineRule="exact"/>
        <w:rPr>
          <w:sz w:val="20"/>
          <w:szCs w:val="20"/>
          <w:color w:val="auto"/>
        </w:rPr>
      </w:pPr>
    </w:p>
    <w:p>
      <w:pPr>
        <w:ind w:left="646"/>
        <w:spacing w:after="0"/>
        <w:tabs>
          <w:tab w:leader="none" w:pos="945"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The following definitions are amended and restated in their entirety:</w:t>
      </w:r>
    </w:p>
    <w:p>
      <w:pPr>
        <w:spacing w:after="0" w:line="208" w:lineRule="exact"/>
        <w:rPr>
          <w:sz w:val="20"/>
          <w:szCs w:val="20"/>
          <w:color w:val="auto"/>
        </w:rPr>
      </w:pPr>
    </w:p>
    <w:p>
      <w:pPr>
        <w:jc w:val="both"/>
        <w:ind w:left="1286"/>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OpCo Cash Consideration</w:t>
      </w:r>
      <w:r>
        <w:rPr>
          <w:rFonts w:ascii="Arial" w:cs="Arial" w:eastAsia="Arial" w:hAnsi="Arial"/>
          <w:sz w:val="20"/>
          <w:szCs w:val="20"/>
          <w:color w:val="auto"/>
        </w:rPr>
        <w:t xml:space="preserve">” means the (i) OpCo Base Cash Amount, (ii)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Estimated Closing Net Working Capital Adjustment Amount, (iii)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Estimated Closing Indebtedness, (iv)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Estimated Closing Raiders Amount and (v)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Estimated CapEx True-Up.</w:t>
      </w:r>
    </w:p>
    <w:p>
      <w:pPr>
        <w:spacing w:after="0" w:line="178" w:lineRule="exact"/>
        <w:rPr>
          <w:sz w:val="20"/>
          <w:szCs w:val="20"/>
          <w:color w:val="auto"/>
        </w:rPr>
      </w:pPr>
    </w:p>
    <w:p>
      <w:pPr>
        <w:jc w:val="both"/>
        <w:ind w:left="128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OpCo Cash Consideration</w:t>
      </w:r>
      <w:r>
        <w:rPr>
          <w:rFonts w:ascii="Arial" w:cs="Arial" w:eastAsia="Arial" w:hAnsi="Arial"/>
          <w:sz w:val="20"/>
          <w:szCs w:val="20"/>
          <w:color w:val="auto"/>
        </w:rPr>
        <w:t xml:space="preserve">” means (i) the OpCo Base Cash Amount, (ii)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Final Closing Net Working Capital Adjustment Amount determined in accordance with </w:t>
      </w:r>
      <w:r>
        <w:rPr>
          <w:rFonts w:ascii="Arial" w:cs="Arial" w:eastAsia="Arial" w:hAnsi="Arial"/>
          <w:sz w:val="20"/>
          <w:szCs w:val="20"/>
          <w:u w:val="single" w:color="auto"/>
          <w:color w:val="auto"/>
        </w:rPr>
        <w:t>Section 4(d)(i)</w:t>
      </w:r>
      <w:r>
        <w:rPr>
          <w:rFonts w:ascii="Arial" w:cs="Arial" w:eastAsia="Arial" w:hAnsi="Arial"/>
          <w:sz w:val="20"/>
          <w:szCs w:val="20"/>
          <w:color w:val="auto"/>
        </w:rPr>
        <w:t xml:space="preserve">, (iii)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Final Closing Indebtedness determined in accordance with </w:t>
      </w:r>
      <w:r>
        <w:rPr>
          <w:rFonts w:ascii="Arial" w:cs="Arial" w:eastAsia="Arial" w:hAnsi="Arial"/>
          <w:sz w:val="20"/>
          <w:szCs w:val="20"/>
          <w:u w:val="single" w:color="auto"/>
          <w:color w:val="auto"/>
        </w:rPr>
        <w:t>Section 4(d)(i)</w:t>
      </w:r>
      <w:r>
        <w:rPr>
          <w:rFonts w:ascii="Arial" w:cs="Arial" w:eastAsia="Arial" w:hAnsi="Arial"/>
          <w:sz w:val="20"/>
          <w:szCs w:val="20"/>
          <w:color w:val="auto"/>
        </w:rPr>
        <w:t xml:space="preserve">, (iv)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Final Closing Raiders Amount determined in accordance with </w:t>
      </w:r>
      <w:r>
        <w:rPr>
          <w:rFonts w:ascii="Arial" w:cs="Arial" w:eastAsia="Arial" w:hAnsi="Arial"/>
          <w:sz w:val="20"/>
          <w:szCs w:val="20"/>
          <w:u w:val="single" w:color="auto"/>
          <w:color w:val="auto"/>
        </w:rPr>
        <w:t>Section 4(d)(i)</w:t>
      </w:r>
      <w:r>
        <w:rPr>
          <w:rFonts w:ascii="Arial" w:cs="Arial" w:eastAsia="Arial" w:hAnsi="Arial"/>
          <w:sz w:val="20"/>
          <w:szCs w:val="20"/>
          <w:color w:val="auto"/>
        </w:rPr>
        <w:t xml:space="preserve">, and (v)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Final CapEx True-Up determined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4(d)(i)</w:t>
      </w:r>
      <w:r>
        <w:rPr>
          <w:rFonts w:ascii="Arial" w:cs="Arial" w:eastAsia="Arial" w:hAnsi="Arial"/>
          <w:sz w:val="20"/>
          <w:szCs w:val="20"/>
          <w:color w:val="auto"/>
        </w:rPr>
        <w:t>.</w:t>
      </w:r>
    </w:p>
    <w:p>
      <w:pPr>
        <w:spacing w:after="0" w:line="192" w:lineRule="exact"/>
        <w:rPr>
          <w:sz w:val="20"/>
          <w:szCs w:val="20"/>
          <w:color w:val="auto"/>
        </w:rPr>
      </w:pPr>
    </w:p>
    <w:p>
      <w:pPr>
        <w:ind w:left="966" w:hanging="319"/>
        <w:spacing w:after="0"/>
        <w:tabs>
          <w:tab w:leader="none" w:pos="966" w:val="left"/>
        </w:tabs>
        <w:numPr>
          <w:ilvl w:val="0"/>
          <w:numId w:val="71"/>
        </w:numPr>
        <w:rPr>
          <w:rFonts w:ascii="Arial" w:cs="Arial" w:eastAsia="Arial" w:hAnsi="Arial"/>
          <w:sz w:val="20"/>
          <w:szCs w:val="20"/>
          <w:color w:val="auto"/>
        </w:rPr>
      </w:pPr>
      <w:r>
        <w:rPr>
          <w:rFonts w:ascii="Arial" w:cs="Arial" w:eastAsia="Arial" w:hAnsi="Arial"/>
          <w:sz w:val="20"/>
          <w:szCs w:val="20"/>
          <w:color w:val="auto"/>
        </w:rPr>
        <w:t>Schedule 1.1 (</w:t>
      </w:r>
      <w:r>
        <w:rPr>
          <w:rFonts w:ascii="Arial" w:cs="Arial" w:eastAsia="Arial" w:hAnsi="Arial"/>
          <w:sz w:val="20"/>
          <w:szCs w:val="20"/>
          <w:i w:val="1"/>
          <w:iCs w:val="1"/>
          <w:color w:val="auto"/>
        </w:rPr>
        <w:t>Specified Acquired Assets</w:t>
      </w:r>
      <w:r>
        <w:rPr>
          <w:rFonts w:ascii="Arial" w:cs="Arial" w:eastAsia="Arial" w:hAnsi="Arial"/>
          <w:sz w:val="20"/>
          <w:szCs w:val="20"/>
          <w:color w:val="auto"/>
        </w:rPr>
        <w:t>) of the Agreement is amended by adding a new item 12 as follows:</w:t>
      </w:r>
    </w:p>
    <w:p>
      <w:pPr>
        <w:spacing w:after="0" w:line="214" w:lineRule="exact"/>
        <w:rPr>
          <w:rFonts w:ascii="Arial" w:cs="Arial" w:eastAsia="Arial" w:hAnsi="Arial"/>
          <w:sz w:val="20"/>
          <w:szCs w:val="20"/>
          <w:color w:val="auto"/>
        </w:rPr>
      </w:pPr>
    </w:p>
    <w:p>
      <w:pPr>
        <w:ind w:left="1786" w:hanging="493"/>
        <w:spacing w:after="0"/>
        <w:tabs>
          <w:tab w:leader="none" w:pos="1786"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Raiders Contracts.</w:t>
      </w:r>
    </w:p>
    <w:p>
      <w:pPr>
        <w:sectPr>
          <w:pgSz w:w="11900" w:h="16838" w:orient="portrait"/>
          <w:cols w:equalWidth="0" w:num="1">
            <w:col w:w="10586"/>
          </w:cols>
          <w:pgMar w:left="974" w:top="1281" w:right="339" w:bottom="1440" w:gutter="0" w:footer="0" w:header="0"/>
        </w:sectPr>
      </w:pPr>
    </w:p>
    <w:bookmarkStart w:id="88" w:name="page89"/>
    <w:bookmarkEnd w:id="88"/>
    <w:p>
      <w:pPr>
        <w:ind w:left="500" w:hanging="319"/>
        <w:spacing w:after="0"/>
        <w:tabs>
          <w:tab w:leader="none" w:pos="5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Section 4(c) of the Agreement is amended and restated as follows:</w:t>
      </w:r>
    </w:p>
    <w:p>
      <w:pPr>
        <w:spacing w:after="0" w:line="214" w:lineRule="exact"/>
        <w:rPr>
          <w:rFonts w:ascii="Arial" w:cs="Arial" w:eastAsia="Arial" w:hAnsi="Arial"/>
          <w:sz w:val="20"/>
          <w:szCs w:val="20"/>
          <w:color w:val="auto"/>
        </w:rPr>
      </w:pPr>
    </w:p>
    <w:p>
      <w:pPr>
        <w:jc w:val="both"/>
        <w:ind w:left="820" w:firstLine="7"/>
        <w:spacing w:after="0" w:line="268" w:lineRule="auto"/>
        <w:tabs>
          <w:tab w:leader="none" w:pos="1331"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No less than five (5) Business Days prior to the Closing Date, Seller shall prepare and deliver (or cause to be prepared and delivered) to OpCo Purchaser a certificate (the “</w:t>
      </w:r>
      <w:r>
        <w:rPr>
          <w:rFonts w:ascii="Arial" w:cs="Arial" w:eastAsia="Arial" w:hAnsi="Arial"/>
          <w:sz w:val="18"/>
          <w:szCs w:val="18"/>
          <w:b w:val="1"/>
          <w:bCs w:val="1"/>
          <w:color w:val="auto"/>
        </w:rPr>
        <w:t>Closing Certificate</w:t>
      </w:r>
      <w:r>
        <w:rPr>
          <w:rFonts w:ascii="Arial" w:cs="Arial" w:eastAsia="Arial" w:hAnsi="Arial"/>
          <w:sz w:val="18"/>
          <w:szCs w:val="18"/>
          <w:color w:val="auto"/>
        </w:rPr>
        <w:t>”) of an executive officer of Seller setting forth Seller’s good faith estimate and a reasonably detailed calculation of the Closing Net Working Capital (the “</w:t>
      </w:r>
      <w:r>
        <w:rPr>
          <w:rFonts w:ascii="Arial" w:cs="Arial" w:eastAsia="Arial" w:hAnsi="Arial"/>
          <w:sz w:val="18"/>
          <w:szCs w:val="18"/>
          <w:b w:val="1"/>
          <w:bCs w:val="1"/>
          <w:color w:val="auto"/>
        </w:rPr>
        <w:t>Estimated Closing Net Working Capital</w:t>
      </w:r>
      <w:r>
        <w:rPr>
          <w:rFonts w:ascii="Arial" w:cs="Arial" w:eastAsia="Arial" w:hAnsi="Arial"/>
          <w:sz w:val="18"/>
          <w:szCs w:val="18"/>
          <w:color w:val="auto"/>
        </w:rPr>
        <w:t>”), Closing Indebtedness (the “</w:t>
      </w:r>
      <w:r>
        <w:rPr>
          <w:rFonts w:ascii="Arial" w:cs="Arial" w:eastAsia="Arial" w:hAnsi="Arial"/>
          <w:sz w:val="18"/>
          <w:szCs w:val="18"/>
          <w:b w:val="1"/>
          <w:bCs w:val="1"/>
          <w:color w:val="auto"/>
        </w:rPr>
        <w:t>Estimated Closing Indebtedness</w:t>
      </w:r>
      <w:r>
        <w:rPr>
          <w:rFonts w:ascii="Arial" w:cs="Arial" w:eastAsia="Arial" w:hAnsi="Arial"/>
          <w:sz w:val="18"/>
          <w:szCs w:val="18"/>
          <w:color w:val="auto"/>
        </w:rPr>
        <w:t>”), the Closing Raiders Amount (the “</w:t>
      </w:r>
      <w:r>
        <w:rPr>
          <w:rFonts w:ascii="Arial" w:cs="Arial" w:eastAsia="Arial" w:hAnsi="Arial"/>
          <w:sz w:val="18"/>
          <w:szCs w:val="18"/>
          <w:b w:val="1"/>
          <w:bCs w:val="1"/>
          <w:color w:val="auto"/>
        </w:rPr>
        <w:t>Estimated Closing Raiders Amount</w:t>
      </w:r>
      <w:r>
        <w:rPr>
          <w:rFonts w:ascii="Arial" w:cs="Arial" w:eastAsia="Arial" w:hAnsi="Arial"/>
          <w:sz w:val="18"/>
          <w:szCs w:val="18"/>
          <w:color w:val="auto"/>
        </w:rPr>
        <w:t>”), and the CapEx True-Up (the “</w:t>
      </w:r>
      <w:r>
        <w:rPr>
          <w:rFonts w:ascii="Arial" w:cs="Arial" w:eastAsia="Arial" w:hAnsi="Arial"/>
          <w:sz w:val="18"/>
          <w:szCs w:val="18"/>
          <w:b w:val="1"/>
          <w:bCs w:val="1"/>
          <w:color w:val="auto"/>
        </w:rPr>
        <w:t>Estimated CapEx True-Up</w:t>
      </w:r>
      <w:r>
        <w:rPr>
          <w:rFonts w:ascii="Arial" w:cs="Arial" w:eastAsia="Arial" w:hAnsi="Arial"/>
          <w:sz w:val="18"/>
          <w:szCs w:val="18"/>
          <w:color w:val="auto"/>
        </w:rPr>
        <w:t xml:space="preserve">”), together with such schedules and data with respect to the determination thereof as may be reasonably appropriate to support the calculations set forth in the Closing Certificate. The Closing Certificate will be prepared in accordance with the Accounting Principles. From and after the delivery of the Closing Certificate until the final determination of Closing Net Working Capital, Closing Indebtedness, the Closing Raiders Amount and the CapEx True-Up in accordance with </w:t>
      </w:r>
      <w:r>
        <w:rPr>
          <w:rFonts w:ascii="Arial" w:cs="Arial" w:eastAsia="Arial" w:hAnsi="Arial"/>
          <w:sz w:val="18"/>
          <w:szCs w:val="18"/>
          <w:u w:val="single" w:color="auto"/>
          <w:color w:val="auto"/>
        </w:rPr>
        <w:t>Section 4(d)(i)</w:t>
      </w:r>
      <w:r>
        <w:rPr>
          <w:rFonts w:ascii="Arial" w:cs="Arial" w:eastAsia="Arial" w:hAnsi="Arial"/>
          <w:sz w:val="18"/>
          <w:szCs w:val="18"/>
          <w:color w:val="auto"/>
        </w:rPr>
        <w:t xml:space="preserve">, Seller shall provide OpCo Purchaser and OpCo Purchaser’s Representatives with reasonable access to the applicable books and records and the Persons involved in preparing or reviewing the Closing Certificate, for purposes of OpCo Purchaser’s review and verification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access shall be in a manner that does not interfere with the normal business operations of Seller or, prior to the Closing, the Business. During the period after delivery of the Closing Certificate and prior to the Closing, Seller and OpCo Purchaser shall reasonably cooperate with each other to update the calculations in the Closing Certificate to the extent they believe in good faith that such updates would make the estimated calculations more accurate; provided that the foregoing shall not operate to delay the Closing.</w:t>
      </w:r>
    </w:p>
    <w:p>
      <w:pPr>
        <w:spacing w:after="0" w:line="178" w:lineRule="exact"/>
        <w:rPr>
          <w:rFonts w:ascii="Arial" w:cs="Arial" w:eastAsia="Arial" w:hAnsi="Arial"/>
          <w:sz w:val="18"/>
          <w:szCs w:val="18"/>
          <w:color w:val="auto"/>
        </w:rPr>
      </w:pPr>
    </w:p>
    <w:p>
      <w:pPr>
        <w:ind w:left="500" w:hanging="319"/>
        <w:spacing w:after="0"/>
        <w:tabs>
          <w:tab w:leader="none" w:pos="5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Section 4(d) of the Agreement is amended and restated as follows:</w:t>
      </w:r>
    </w:p>
    <w:p>
      <w:pPr>
        <w:spacing w:after="0" w:line="214" w:lineRule="exact"/>
        <w:rPr>
          <w:rFonts w:ascii="Arial" w:cs="Arial" w:eastAsia="Arial" w:hAnsi="Arial"/>
          <w:sz w:val="20"/>
          <w:szCs w:val="20"/>
          <w:color w:val="auto"/>
        </w:rPr>
      </w:pPr>
    </w:p>
    <w:p>
      <w:pPr>
        <w:jc w:val="both"/>
        <w:ind w:left="820" w:firstLine="7"/>
        <w:spacing w:after="0" w:line="269" w:lineRule="auto"/>
        <w:tabs>
          <w:tab w:leader="none" w:pos="1261"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Post-Closing Certificate and Determination of Closing Net Working Capital, Closing Indebtedness, the Closing Raiders Amount and the CapEx True-Up</w:t>
      </w:r>
      <w:r>
        <w:rPr>
          <w:rFonts w:ascii="Arial" w:cs="Arial" w:eastAsia="Arial" w:hAnsi="Arial"/>
          <w:sz w:val="18"/>
          <w:szCs w:val="18"/>
          <w:color w:val="auto"/>
        </w:rPr>
        <w:t>. Within ninety (90) days after the Closing Date, OpCo Purchaser shall prepare and deliver (or cause to be prepared and delivered) to Seller a certificate (the “</w:t>
      </w:r>
      <w:r>
        <w:rPr>
          <w:rFonts w:ascii="Arial" w:cs="Arial" w:eastAsia="Arial" w:hAnsi="Arial"/>
          <w:sz w:val="18"/>
          <w:szCs w:val="18"/>
          <w:b w:val="1"/>
          <w:bCs w:val="1"/>
          <w:color w:val="auto"/>
        </w:rPr>
        <w:t>Post-Closing Certificate</w:t>
      </w:r>
      <w:r>
        <w:rPr>
          <w:rFonts w:ascii="Arial" w:cs="Arial" w:eastAsia="Arial" w:hAnsi="Arial"/>
          <w:sz w:val="18"/>
          <w:szCs w:val="18"/>
          <w:color w:val="auto"/>
        </w:rPr>
        <w:t xml:space="preserve">”) of an executive officer of OpCo Purchaser setting forth OpCo Purchaser’s good faith estimate and a reasonably detailed calculation of the Closing Net Working Capital, Closing Indebtedness, the Closing Raiders Amount, and the CapEx True-Up, together with such schedules and data with respect to the determination thereof as may be reasonably appropriate to support the calculations set forth in the Post-Closing Certificate. The Post-Closing Certificate will be prepared in accordance with the Accounting Principles. From and after the delivery of the Post-Closing Certificate until the final determination of Closing Net Working Capital, Closing Indebtedness, the Closing Raiders Amount and the CapEx True-Up in accordance with </w:t>
      </w:r>
      <w:r>
        <w:rPr>
          <w:rFonts w:ascii="Arial" w:cs="Arial" w:eastAsia="Arial" w:hAnsi="Arial"/>
          <w:sz w:val="18"/>
          <w:szCs w:val="18"/>
          <w:u w:val="single" w:color="auto"/>
          <w:color w:val="auto"/>
        </w:rPr>
        <w:t>Section 4(d)(i)</w:t>
      </w:r>
      <w:r>
        <w:rPr>
          <w:rFonts w:ascii="Arial" w:cs="Arial" w:eastAsia="Arial" w:hAnsi="Arial"/>
          <w:sz w:val="18"/>
          <w:szCs w:val="18"/>
          <w:color w:val="auto"/>
        </w:rPr>
        <w:t xml:space="preserve">, OpCo Purchaser shall provide Seller and its Representatives with reasonable access to the applicable books and records and the Persons involved in preparing or reviewing the Post-Closing Certificate, for purposes of Seller’s review and verification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access shall be in a manner that does not interfere with the normal business operations of OpCo Purchaser or the Business. The Post-Closing Certificate as amended,</w:t>
      </w:r>
    </w:p>
    <w:p>
      <w:pPr>
        <w:sectPr>
          <w:pgSz w:w="11900" w:h="16838" w:orient="portrait"/>
          <w:cols w:equalWidth="0" w:num="1">
            <w:col w:w="10120"/>
          </w:cols>
          <w:pgMar w:left="1440" w:top="1281" w:right="339" w:bottom="1440" w:gutter="0" w:footer="0" w:header="0"/>
        </w:sectPr>
      </w:pPr>
    </w:p>
    <w:bookmarkStart w:id="89" w:name="page90"/>
    <w:bookmarkEnd w:id="89"/>
    <w:p>
      <w:pPr>
        <w:jc w:val="both"/>
        <w:ind w:left="820"/>
        <w:spacing w:after="0" w:line="252" w:lineRule="auto"/>
        <w:rPr>
          <w:sz w:val="20"/>
          <w:szCs w:val="20"/>
          <w:color w:val="auto"/>
        </w:rPr>
      </w:pPr>
      <w:r>
        <w:rPr>
          <w:rFonts w:ascii="Arial" w:cs="Arial" w:eastAsia="Arial" w:hAnsi="Arial"/>
          <w:sz w:val="20"/>
          <w:szCs w:val="20"/>
          <w:color w:val="auto"/>
        </w:rPr>
        <w:t>supplemented or modified, shall be deemed final ninety (90) days after the Closing Date (the “</w:t>
      </w:r>
      <w:r>
        <w:rPr>
          <w:rFonts w:ascii="Arial" w:cs="Arial" w:eastAsia="Arial" w:hAnsi="Arial"/>
          <w:sz w:val="20"/>
          <w:szCs w:val="20"/>
          <w:b w:val="1"/>
          <w:bCs w:val="1"/>
          <w:color w:val="auto"/>
        </w:rPr>
        <w:t>Post-Closing</w:t>
      </w:r>
      <w:r>
        <w:rPr>
          <w:rFonts w:ascii="Arial" w:cs="Arial" w:eastAsia="Arial" w:hAnsi="Arial"/>
          <w:sz w:val="20"/>
          <w:szCs w:val="20"/>
          <w:color w:val="auto"/>
        </w:rPr>
        <w:t xml:space="preserve"> </w:t>
      </w:r>
      <w:r>
        <w:rPr>
          <w:rFonts w:ascii="Arial" w:cs="Arial" w:eastAsia="Arial" w:hAnsi="Arial"/>
          <w:sz w:val="20"/>
          <w:szCs w:val="20"/>
          <w:b w:val="1"/>
          <w:bCs w:val="1"/>
          <w:color w:val="auto"/>
        </w:rPr>
        <w:t>Certificate Posting Date</w:t>
      </w:r>
      <w:r>
        <w:rPr>
          <w:rFonts w:ascii="Arial" w:cs="Arial" w:eastAsia="Arial" w:hAnsi="Arial"/>
          <w:sz w:val="20"/>
          <w:szCs w:val="20"/>
          <w:color w:val="auto"/>
        </w:rPr>
        <w:t>”). Seller and OpCo Purchaser acknowledge and agree that no adjustments shall be made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Target Net Working Capital.</w:t>
      </w:r>
    </w:p>
    <w:p>
      <w:pPr>
        <w:spacing w:after="0" w:line="184" w:lineRule="exact"/>
        <w:rPr>
          <w:sz w:val="20"/>
          <w:szCs w:val="20"/>
          <w:color w:val="auto"/>
        </w:rPr>
      </w:pPr>
    </w:p>
    <w:p>
      <w:pPr>
        <w:jc w:val="both"/>
        <w:ind w:left="820" w:firstLine="256"/>
        <w:spacing w:after="0" w:line="267" w:lineRule="auto"/>
        <w:tabs>
          <w:tab w:leader="none" w:pos="15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Post-Closing Certificate shall become final and binding upon Seller and OpCo Purchaser on the forty-fifth (45th) day following the Post-Closing Certificate Posting Date, unless Seller delivers written notice of its disagreement with the Post-Closing Certificate or the calculation of Closing Net Working Capital, Closing Indebtedness, the Closing Raiders Amount or the CapEx True-Up (a “</w:t>
      </w:r>
      <w:r>
        <w:rPr>
          <w:rFonts w:ascii="Arial" w:cs="Arial" w:eastAsia="Arial" w:hAnsi="Arial"/>
          <w:sz w:val="18"/>
          <w:szCs w:val="18"/>
          <w:b w:val="1"/>
          <w:bCs w:val="1"/>
          <w:color w:val="auto"/>
        </w:rPr>
        <w:t>Notice of Disagreement</w:t>
      </w:r>
      <w:r>
        <w:rPr>
          <w:rFonts w:ascii="Arial" w:cs="Arial" w:eastAsia="Arial" w:hAnsi="Arial"/>
          <w:sz w:val="18"/>
          <w:szCs w:val="18"/>
          <w:color w:val="auto"/>
        </w:rPr>
        <w:t>”) to OpCo Purchaser prior to such date. The Notice of Disagreement shall (A) specify in reasonable detail the nature of any disagreement so asserted and (B) only include good faith disagreements based on Closing Net Working Capital, Closing Indebtedness, the Closing Raiders Amount or the CapEx True-Up not being calculated in accordance with the Accounting Principles, together with such schedules and data with respect to the determination thereof as may be appropriate to support the calculations set forth in the Notice of Disagreement. If the Notice of Disagreement is received by OpCo Purchaser in a timely manner, then OpCo Purchaser and Seller shall negotiate in good faith to resolve such disagreements within thirty (30) days after the delivery of the Notice of Disagreement (the “</w:t>
      </w:r>
      <w:r>
        <w:rPr>
          <w:rFonts w:ascii="Arial" w:cs="Arial" w:eastAsia="Arial" w:hAnsi="Arial"/>
          <w:sz w:val="18"/>
          <w:szCs w:val="18"/>
          <w:b w:val="1"/>
          <w:bCs w:val="1"/>
          <w:color w:val="auto"/>
        </w:rPr>
        <w:t>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and, if the same are so resolved within the Resolution Period, the Post-Closing Certificate shall be final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binding with such changes as may have been previously agreed in writing by OpCo Purchaser and Seller. If, at the end of the Resolution Period, OpCo Purchaser and Seller have not resolved in writing all of the matters specified in the Notice of Disagreement, then OpCo Purchaser and Seller shall submit to Ernst &amp; Young LLP or, if such firm is unwilling or unable to act, then such other nationally recognized independent public accounting firm as shall be agreed upon by OpCo Purchaser and Seller in writing (the “</w:t>
      </w:r>
      <w:r>
        <w:rPr>
          <w:rFonts w:ascii="Arial" w:cs="Arial" w:eastAsia="Arial" w:hAnsi="Arial"/>
          <w:sz w:val="18"/>
          <w:szCs w:val="18"/>
          <w:b w:val="1"/>
          <w:bCs w:val="1"/>
          <w:color w:val="auto"/>
        </w:rPr>
        <w:t>Accounting Firm</w:t>
      </w:r>
      <w:r>
        <w:rPr>
          <w:rFonts w:ascii="Arial" w:cs="Arial" w:eastAsia="Arial" w:hAnsi="Arial"/>
          <w:sz w:val="18"/>
          <w:szCs w:val="18"/>
          <w:color w:val="auto"/>
        </w:rPr>
        <w:t xml:space="preserve">”), for resolution in accordance with the standards set forth in this </w:t>
      </w:r>
      <w:r>
        <w:rPr>
          <w:rFonts w:ascii="Arial" w:cs="Arial" w:eastAsia="Arial" w:hAnsi="Arial"/>
          <w:sz w:val="18"/>
          <w:szCs w:val="18"/>
          <w:u w:val="single" w:color="auto"/>
          <w:color w:val="auto"/>
        </w:rPr>
        <w:t>Section 4(d)(i)</w:t>
      </w:r>
      <w:r>
        <w:rPr>
          <w:rFonts w:ascii="Arial" w:cs="Arial" w:eastAsia="Arial" w:hAnsi="Arial"/>
          <w:sz w:val="18"/>
          <w:szCs w:val="18"/>
          <w:color w:val="auto"/>
        </w:rPr>
        <w:t>, only matters set forth in the Notice of Disagreement that remain in dispute. The Accounting Firm shall function as an expert and not as an arbitrator. OpCo Purchaser and Seller shall use reasonable efforts to cause the Accounting Firm to render any written decision resolving the matters submitted to the Accounting Firm within thirty (30) days of the receipt of such submission. The scope of the disputes to be resolved by the Accounting Firm shall be limited to the matters set forth in the Notice of Disagreement that remain in dispute between OpCo Purchaser and Seller and to fixing mathematical errors and determining whether the items in dispute were determined in accordance with the Accounting Principles, and the Accounting Firm is not to make any other determination. The Accounting Firm’s decision shall be based solely on written submissions by OpCo Purchaser and Seller and their respective representatives and not by independent review. The Accounting Firm may not assign a value greater than the greatest value for such item claimed by either party or smaller than the smallest value for such item claimed by either party. Judgment may be entered upon the determination of the Accounting Firm in any court having jurisdiction over the party against which such determination is to be enforced. The determination made by the Accounting Firm shall be final and binding on OpCo Purchaser and Seller and shall be enforceable in any court of competent jurisdiction. The fees and expenses of the Accounting Firm incurred pursuant to</w:t>
      </w:r>
    </w:p>
    <w:p>
      <w:pPr>
        <w:sectPr>
          <w:pgSz w:w="11900" w:h="16838" w:orient="portrait"/>
          <w:cols w:equalWidth="0" w:num="1">
            <w:col w:w="10120"/>
          </w:cols>
          <w:pgMar w:left="1440" w:top="1275" w:right="339" w:bottom="1440" w:gutter="0" w:footer="0" w:header="0"/>
        </w:sectPr>
      </w:pPr>
    </w:p>
    <w:bookmarkStart w:id="90" w:name="page91"/>
    <w:bookmarkEnd w:id="90"/>
    <w:p>
      <w:pPr>
        <w:jc w:val="both"/>
        <w:ind w:left="1940"/>
        <w:spacing w:after="0" w:line="24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4(d)</w:t>
      </w:r>
      <w:r>
        <w:rPr>
          <w:rFonts w:ascii="Arial" w:cs="Arial" w:eastAsia="Arial" w:hAnsi="Arial"/>
          <w:sz w:val="20"/>
          <w:szCs w:val="20"/>
          <w:color w:val="auto"/>
        </w:rPr>
        <w:t xml:space="preserve"> shall be paid by Seller, on the one hand, and by OpCo Purchaser, on the other hand, based upon the percentage that the amount actually contested but not awarded to Seller or OpCo Purchaser, respectively, bears to the aggregate amount actually contested by Seller and OpCo Purchaser, such that the prevailing party pays the lesser proportion of such fees and expenses.</w:t>
      </w:r>
    </w:p>
    <w:p>
      <w:pPr>
        <w:spacing w:after="0" w:line="186" w:lineRule="exact"/>
        <w:rPr>
          <w:sz w:val="20"/>
          <w:szCs w:val="20"/>
          <w:color w:val="auto"/>
        </w:rPr>
      </w:pPr>
    </w:p>
    <w:p>
      <w:pPr>
        <w:jc w:val="both"/>
        <w:ind w:left="1940" w:firstLine="290"/>
        <w:spacing w:after="0" w:line="271" w:lineRule="auto"/>
        <w:tabs>
          <w:tab w:leader="none" w:pos="2747" w:val="left"/>
        </w:tabs>
        <w:numPr>
          <w:ilvl w:val="2"/>
          <w:numId w:val="75"/>
        </w:numPr>
        <w:rPr>
          <w:rFonts w:ascii="Arial" w:cs="Arial" w:eastAsia="Arial" w:hAnsi="Arial"/>
          <w:sz w:val="18"/>
          <w:szCs w:val="18"/>
          <w:color w:val="auto"/>
        </w:rPr>
      </w:pPr>
      <w:r>
        <w:rPr>
          <w:rFonts w:ascii="Arial" w:cs="Arial" w:eastAsia="Arial" w:hAnsi="Arial"/>
          <w:sz w:val="18"/>
          <w:szCs w:val="18"/>
          <w:color w:val="auto"/>
        </w:rPr>
        <w:t>Upon the final determination of Closing Net Working Capital (“</w:t>
      </w:r>
      <w:r>
        <w:rPr>
          <w:rFonts w:ascii="Arial" w:cs="Arial" w:eastAsia="Arial" w:hAnsi="Arial"/>
          <w:sz w:val="18"/>
          <w:szCs w:val="18"/>
          <w:b w:val="1"/>
          <w:bCs w:val="1"/>
          <w:color w:val="auto"/>
        </w:rPr>
        <w:t>Final Closing Net Working Capital</w:t>
      </w:r>
      <w:r>
        <w:rPr>
          <w:rFonts w:ascii="Arial" w:cs="Arial" w:eastAsia="Arial" w:hAnsi="Arial"/>
          <w:sz w:val="18"/>
          <w:szCs w:val="18"/>
          <w:color w:val="auto"/>
        </w:rPr>
        <w:t>”), Closing Indebtedness (“</w:t>
      </w:r>
      <w:r>
        <w:rPr>
          <w:rFonts w:ascii="Arial" w:cs="Arial" w:eastAsia="Arial" w:hAnsi="Arial"/>
          <w:sz w:val="18"/>
          <w:szCs w:val="18"/>
          <w:b w:val="1"/>
          <w:bCs w:val="1"/>
          <w:color w:val="auto"/>
        </w:rPr>
        <w:t>Final Closing Indebtedness</w:t>
      </w:r>
      <w:r>
        <w:rPr>
          <w:rFonts w:ascii="Arial" w:cs="Arial" w:eastAsia="Arial" w:hAnsi="Arial"/>
          <w:sz w:val="18"/>
          <w:szCs w:val="18"/>
          <w:color w:val="auto"/>
        </w:rPr>
        <w:t>”), the Closing Raiders Amount (“</w:t>
      </w:r>
      <w:r>
        <w:rPr>
          <w:rFonts w:ascii="Arial" w:cs="Arial" w:eastAsia="Arial" w:hAnsi="Arial"/>
          <w:sz w:val="18"/>
          <w:szCs w:val="18"/>
          <w:b w:val="1"/>
          <w:bCs w:val="1"/>
          <w:color w:val="auto"/>
        </w:rPr>
        <w:t>Final Closing Raiders</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and the CapEx True-Up (“</w:t>
      </w:r>
      <w:r>
        <w:rPr>
          <w:rFonts w:ascii="Arial" w:cs="Arial" w:eastAsia="Arial" w:hAnsi="Arial"/>
          <w:sz w:val="18"/>
          <w:szCs w:val="18"/>
          <w:b w:val="1"/>
          <w:bCs w:val="1"/>
          <w:color w:val="auto"/>
        </w:rPr>
        <w:t>Final CapEx True-up</w:t>
      </w:r>
      <w:r>
        <w:rPr>
          <w:rFonts w:ascii="Arial" w:cs="Arial" w:eastAsia="Arial" w:hAnsi="Arial"/>
          <w:sz w:val="18"/>
          <w:szCs w:val="18"/>
          <w:color w:val="auto"/>
        </w:rPr>
        <w:t>”)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4(d)(i)</w:t>
      </w:r>
      <w:r>
        <w:rPr>
          <w:rFonts w:ascii="Arial" w:cs="Arial" w:eastAsia="Arial" w:hAnsi="Arial"/>
          <w:sz w:val="18"/>
          <w:szCs w:val="18"/>
          <w:color w:val="auto"/>
        </w:rPr>
        <w:t>, (A) if the Post-Closing Adjustment Payment Amount is a positive number (the absolute value of such number, if any, the “</w:t>
      </w:r>
      <w:r>
        <w:rPr>
          <w:rFonts w:ascii="Arial" w:cs="Arial" w:eastAsia="Arial" w:hAnsi="Arial"/>
          <w:sz w:val="18"/>
          <w:szCs w:val="18"/>
          <w:b w:val="1"/>
          <w:bCs w:val="1"/>
          <w:color w:val="auto"/>
        </w:rPr>
        <w:t>Deficiency Amount</w:t>
      </w:r>
      <w:r>
        <w:rPr>
          <w:rFonts w:ascii="Arial" w:cs="Arial" w:eastAsia="Arial" w:hAnsi="Arial"/>
          <w:sz w:val="18"/>
          <w:szCs w:val="18"/>
          <w:color w:val="auto"/>
        </w:rPr>
        <w:t>”), then OpCo Purchaser shall pay to Seller by wire transfer of immediately available funds to an account designated by Seller an amount equal to the Deficiency Amount, if any; and (B) if the Post-Closing Adjustment Payment Amount is a negative number (the absolute value of such number, the “</w:t>
      </w:r>
      <w:r>
        <w:rPr>
          <w:rFonts w:ascii="Arial" w:cs="Arial" w:eastAsia="Arial" w:hAnsi="Arial"/>
          <w:sz w:val="18"/>
          <w:szCs w:val="18"/>
          <w:b w:val="1"/>
          <w:bCs w:val="1"/>
          <w:color w:val="auto"/>
        </w:rPr>
        <w:t>Excess Amount</w:t>
      </w:r>
      <w:r>
        <w:rPr>
          <w:rFonts w:ascii="Arial" w:cs="Arial" w:eastAsia="Arial" w:hAnsi="Arial"/>
          <w:sz w:val="18"/>
          <w:szCs w:val="18"/>
          <w:color w:val="auto"/>
        </w:rPr>
        <w:t xml:space="preserve">”), then Seller shall pay to OpCo Purchaser by wire transfer of immediately available funds to an account designated by OpCo Purchaser an amount equal to the Excess Amount, if any, in the case of each of clauses (A) and (B), within five (5) Business Days after the Final Closing Net Working Capital, the Final Closing Indebtedness, the Final Closing Raiders Amount and the Final CapEx True-Up are determined in accordance with </w:t>
      </w:r>
      <w:r>
        <w:rPr>
          <w:rFonts w:ascii="Arial" w:cs="Arial" w:eastAsia="Arial" w:hAnsi="Arial"/>
          <w:sz w:val="18"/>
          <w:szCs w:val="18"/>
          <w:u w:val="single" w:color="auto"/>
          <w:color w:val="auto"/>
        </w:rPr>
        <w:t>Section 4(d)(i)</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left="1940" w:firstLine="219"/>
        <w:spacing w:after="0" w:line="260" w:lineRule="auto"/>
        <w:tabs>
          <w:tab w:leader="none" w:pos="26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For the avoidance of doubt, it is understood and agreed that PropCo Purchaser shall not be obligated to pay, or entitled to receive, any amount or be subject to any liability to any other Person with respect to the calculation of Final Closing Net Working Capital, Final Closing Indebtedness, the Final Closing Raiders Amount or the Final CapEx True-Up as set forth in </w:t>
      </w:r>
      <w:r>
        <w:rPr>
          <w:rFonts w:ascii="Arial" w:cs="Arial" w:eastAsia="Arial" w:hAnsi="Arial"/>
          <w:sz w:val="19"/>
          <w:szCs w:val="19"/>
          <w:u w:val="single" w:color="auto"/>
          <w:color w:val="auto"/>
        </w:rPr>
        <w:t>Section 4(d)(ii)</w:t>
      </w:r>
      <w:r>
        <w:rPr>
          <w:rFonts w:ascii="Arial" w:cs="Arial" w:eastAsia="Arial" w:hAnsi="Arial"/>
          <w:sz w:val="19"/>
          <w:szCs w:val="19"/>
          <w:color w:val="auto"/>
        </w:rPr>
        <w:t xml:space="preserve"> or for any amounts to be paid to OpCo Purchaser or Seller as the Deficiency Amount or Excess Amount pursuant to </w:t>
      </w:r>
      <w:r>
        <w:rPr>
          <w:rFonts w:ascii="Arial" w:cs="Arial" w:eastAsia="Arial" w:hAnsi="Arial"/>
          <w:sz w:val="19"/>
          <w:szCs w:val="19"/>
          <w:u w:val="single" w:color="auto"/>
          <w:color w:val="auto"/>
        </w:rPr>
        <w:t>Section 4(d)(ii)</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1620" w:hanging="319"/>
        <w:spacing w:after="0"/>
        <w:tabs>
          <w:tab w:leader="none" w:pos="16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Section 3(b)(xiii) of the Agreement is deleted in its entirety.</w:t>
      </w:r>
    </w:p>
    <w:p>
      <w:pPr>
        <w:spacing w:after="0" w:line="214"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9"/>
          <w:szCs w:val="19"/>
          <w:color w:val="auto"/>
        </w:rPr>
        <w:t>Except as expressly consented to and modified as provided herein, nothing contained herein shall operate as an amendment of any provision of the Agreement, which remains in full force and effect in all respects in accordance with its terms. In addition, except as expressly set forth herein, this Second Letter Agreement shall not be deemed a waiver of any term or condition of the Agreement and shall not be deemed to prejudice any right or rights which any Party may now have or may have in the future under or in connection with the Agreement or any of the instruments or agreements referred to therein, as the same may be amended from time to time. Whenever in the Agreement or any certificate, letter, notice or other instrument or document reference is made to the Agreement, such reference without more shall be deemed to mean the Agreement as modified by this Second Letter Agreement and any other instrument (if any) in writing executed by each of the parties hereto.</w:t>
      </w:r>
    </w:p>
    <w:p>
      <w:pPr>
        <w:spacing w:after="0" w:line="183" w:lineRule="exact"/>
        <w:rPr>
          <w:sz w:val="20"/>
          <w:szCs w:val="20"/>
          <w:color w:val="auto"/>
        </w:rPr>
      </w:pPr>
    </w:p>
    <w:p>
      <w:pPr>
        <w:jc w:val="both"/>
        <w:ind w:firstLine="646"/>
        <w:spacing w:after="0" w:line="245" w:lineRule="auto"/>
        <w:rPr>
          <w:sz w:val="20"/>
          <w:szCs w:val="20"/>
          <w:color w:val="auto"/>
        </w:rPr>
      </w:pPr>
      <w:r>
        <w:rPr>
          <w:rFonts w:ascii="Arial" w:cs="Arial" w:eastAsia="Arial" w:hAnsi="Arial"/>
          <w:sz w:val="20"/>
          <w:szCs w:val="20"/>
          <w:color w:val="auto"/>
        </w:rPr>
        <w:t>This Second Letter Agreement may be executed in separate counterparts, each of which when executed, shall be deemed to be an original and which together shall be deemed to be one and the same instrument binding upon each of the parties hereto notwithstanding the fact that all parties hereto are not signatory to the original or the same counterpart. For purposes of this Second Letter Agreement, facsimile and pdf signatures shall be deemed originals.</w:t>
      </w:r>
    </w:p>
    <w:p>
      <w:pPr>
        <w:sectPr>
          <w:pgSz w:w="11900" w:h="16838" w:orient="portrait"/>
          <w:cols w:equalWidth="0" w:num="1">
            <w:col w:w="11240"/>
          </w:cols>
          <w:pgMar w:left="320" w:top="1281" w:right="339" w:bottom="1440" w:gutter="0" w:footer="0" w:header="0"/>
        </w:sectPr>
      </w:pPr>
    </w:p>
    <w:bookmarkStart w:id="91" w:name="page92"/>
    <w:bookmarkEnd w:id="91"/>
    <w:p>
      <w:pPr>
        <w:jc w:val="both"/>
        <w:ind w:firstLine="646"/>
        <w:spacing w:after="0" w:line="249" w:lineRule="auto"/>
        <w:rPr>
          <w:sz w:val="20"/>
          <w:szCs w:val="20"/>
          <w:color w:val="auto"/>
        </w:rPr>
      </w:pPr>
      <w:r>
        <w:rPr>
          <w:rFonts w:ascii="Arial" w:cs="Arial" w:eastAsia="Arial" w:hAnsi="Arial"/>
          <w:sz w:val="20"/>
          <w:szCs w:val="20"/>
          <w:color w:val="auto"/>
        </w:rPr>
        <w:t>Sections 24 (</w:t>
      </w:r>
      <w:r>
        <w:rPr>
          <w:rFonts w:ascii="Arial" w:cs="Arial" w:eastAsia="Arial" w:hAnsi="Arial"/>
          <w:sz w:val="20"/>
          <w:szCs w:val="20"/>
          <w:i w:val="1"/>
          <w:iCs w:val="1"/>
          <w:color w:val="auto"/>
        </w:rPr>
        <w:t>Miscellaneous</w:t>
      </w:r>
      <w:r>
        <w:rPr>
          <w:rFonts w:ascii="Arial" w:cs="Arial" w:eastAsia="Arial" w:hAnsi="Arial"/>
          <w:sz w:val="20"/>
          <w:szCs w:val="20"/>
          <w:color w:val="auto"/>
        </w:rPr>
        <w:t>), 25 (</w:t>
      </w:r>
      <w:r>
        <w:rPr>
          <w:rFonts w:ascii="Arial" w:cs="Arial" w:eastAsia="Arial" w:hAnsi="Arial"/>
          <w:sz w:val="20"/>
          <w:szCs w:val="20"/>
          <w:i w:val="1"/>
          <w:iCs w:val="1"/>
          <w:color w:val="auto"/>
        </w:rPr>
        <w:t>Notices</w:t>
      </w:r>
      <w:r>
        <w:rPr>
          <w:rFonts w:ascii="Arial" w:cs="Arial" w:eastAsia="Arial" w:hAnsi="Arial"/>
          <w:sz w:val="20"/>
          <w:szCs w:val="20"/>
          <w:color w:val="auto"/>
        </w:rPr>
        <w:t>), 27 (</w:t>
      </w:r>
      <w:r>
        <w:rPr>
          <w:rFonts w:ascii="Arial" w:cs="Arial" w:eastAsia="Arial" w:hAnsi="Arial"/>
          <w:sz w:val="20"/>
          <w:szCs w:val="20"/>
          <w:i w:val="1"/>
          <w:iCs w:val="1"/>
          <w:color w:val="auto"/>
        </w:rPr>
        <w:t>Confidentiality</w:t>
      </w:r>
      <w:r>
        <w:rPr>
          <w:rFonts w:ascii="Arial" w:cs="Arial" w:eastAsia="Arial" w:hAnsi="Arial"/>
          <w:sz w:val="20"/>
          <w:szCs w:val="20"/>
          <w:color w:val="auto"/>
        </w:rPr>
        <w:t>), 28 (</w:t>
      </w:r>
      <w:r>
        <w:rPr>
          <w:rFonts w:ascii="Arial" w:cs="Arial" w:eastAsia="Arial" w:hAnsi="Arial"/>
          <w:sz w:val="20"/>
          <w:szCs w:val="20"/>
          <w:i w:val="1"/>
          <w:iCs w:val="1"/>
          <w:color w:val="auto"/>
        </w:rPr>
        <w:t>Publicity</w:t>
      </w:r>
      <w:r>
        <w:rPr>
          <w:rFonts w:ascii="Arial" w:cs="Arial" w:eastAsia="Arial" w:hAnsi="Arial"/>
          <w:sz w:val="20"/>
          <w:szCs w:val="20"/>
          <w:color w:val="auto"/>
        </w:rPr>
        <w:t>), 30 (</w:t>
      </w:r>
      <w:r>
        <w:rPr>
          <w:rFonts w:ascii="Arial" w:cs="Arial" w:eastAsia="Arial" w:hAnsi="Arial"/>
          <w:sz w:val="20"/>
          <w:szCs w:val="20"/>
          <w:i w:val="1"/>
          <w:iCs w:val="1"/>
          <w:color w:val="auto"/>
        </w:rPr>
        <w:t>No Recourse; Release</w:t>
      </w:r>
      <w:r>
        <w:rPr>
          <w:rFonts w:ascii="Arial" w:cs="Arial" w:eastAsia="Arial" w:hAnsi="Arial"/>
          <w:sz w:val="20"/>
          <w:szCs w:val="20"/>
          <w:color w:val="auto"/>
        </w:rPr>
        <w:t>), 31 (</w:t>
      </w:r>
      <w:r>
        <w:rPr>
          <w:rFonts w:ascii="Arial" w:cs="Arial" w:eastAsia="Arial" w:hAnsi="Arial"/>
          <w:sz w:val="20"/>
          <w:szCs w:val="20"/>
          <w:i w:val="1"/>
          <w:iCs w:val="1"/>
          <w:color w:val="auto"/>
        </w:rPr>
        <w:t>Expenses</w:t>
      </w:r>
      <w:r>
        <w:rPr>
          <w:rFonts w:ascii="Arial" w:cs="Arial" w:eastAsia="Arial" w:hAnsi="Arial"/>
          <w:sz w:val="20"/>
          <w:szCs w:val="20"/>
          <w:color w:val="auto"/>
        </w:rPr>
        <w:t>), 33 (</w:t>
      </w:r>
      <w:r>
        <w:rPr>
          <w:rFonts w:ascii="Arial" w:cs="Arial" w:eastAsia="Arial" w:hAnsi="Arial"/>
          <w:sz w:val="20"/>
          <w:szCs w:val="20"/>
          <w:i w:val="1"/>
          <w:iCs w:val="1"/>
          <w:color w:val="auto"/>
        </w:rPr>
        <w:t>Binding Effect</w:t>
      </w:r>
      <w:r>
        <w:rPr>
          <w:rFonts w:ascii="Arial" w:cs="Arial" w:eastAsia="Arial" w:hAnsi="Arial"/>
          <w:sz w:val="20"/>
          <w:szCs w:val="20"/>
          <w:color w:val="auto"/>
        </w:rPr>
        <w:t>) and 34 (</w:t>
      </w:r>
      <w:r>
        <w:rPr>
          <w:rFonts w:ascii="Arial" w:cs="Arial" w:eastAsia="Arial" w:hAnsi="Arial"/>
          <w:sz w:val="20"/>
          <w:szCs w:val="20"/>
          <w:i w:val="1"/>
          <w:iCs w:val="1"/>
          <w:color w:val="auto"/>
        </w:rPr>
        <w:t>Interpretation</w:t>
      </w:r>
      <w:r>
        <w:rPr>
          <w:rFonts w:ascii="Arial" w:cs="Arial" w:eastAsia="Arial" w:hAnsi="Arial"/>
          <w:sz w:val="20"/>
          <w:szCs w:val="20"/>
          <w:color w:val="auto"/>
        </w:rPr>
        <w:t xml:space="preserve">) of the Agreement are hereby incorporated herein by reference as if set forth herein and should apply to the terms and provisions of this Second Letter Agreement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to Follow]</w:t>
      </w:r>
    </w:p>
    <w:p>
      <w:pPr>
        <w:sectPr>
          <w:pgSz w:w="11900" w:h="16838" w:orient="portrait"/>
          <w:cols w:equalWidth="0" w:num="1">
            <w:col w:w="11240"/>
          </w:cols>
          <w:pgMar w:left="320" w:top="1281" w:right="339" w:bottom="1440" w:gutter="0" w:footer="0" w:header="0"/>
        </w:sectPr>
      </w:pPr>
    </w:p>
    <w:bookmarkStart w:id="92" w:name="page93"/>
    <w:bookmarkEnd w:id="92"/>
    <w:p>
      <w:pPr>
        <w:spacing w:after="0" w:line="43"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Sincerely,</w:t>
      </w:r>
    </w:p>
    <w:p>
      <w:pPr>
        <w:spacing w:after="0" w:line="214"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Las Vegas Sands Corp.</w:t>
      </w:r>
    </w:p>
    <w:p>
      <w:pPr>
        <w:spacing w:after="0" w:line="241"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Z.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-15240</wp:posOffset>
            </wp:positionV>
            <wp:extent cx="12674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0"/>
          <w:szCs w:val="20"/>
          <w:color w:val="auto"/>
        </w:rPr>
        <w:t>Name: David Z. Hudson</w:t>
      </w:r>
    </w:p>
    <w:p>
      <w:pPr>
        <w:ind w:left="388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Pioneer OpCo, LLC</w:t>
      </w: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Alexander van Hoeck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-15240</wp:posOffset>
            </wp:positionV>
            <wp:extent cx="14928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149288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Alexander van Hoeck</w:t>
      </w:r>
    </w:p>
    <w:p>
      <w:pPr>
        <w:spacing w:after="0"/>
        <w:rPr>
          <w:sz w:val="20"/>
          <w:szCs w:val="20"/>
          <w:color w:val="auto"/>
        </w:rPr>
      </w:pPr>
      <w:r>
        <w:rPr>
          <w:rFonts w:ascii="Arial" w:cs="Arial" w:eastAsia="Arial" w:hAnsi="Arial"/>
          <w:sz w:val="20"/>
          <w:szCs w:val="20"/>
          <w:color w:val="auto"/>
        </w:rPr>
        <w:t>Title: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VICI Properties L.P.</w:t>
      </w: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Samantha Sacks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-15240</wp:posOffset>
            </wp:positionV>
            <wp:extent cx="17437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17437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Samantha Sacks Gallagher</w:t>
      </w:r>
    </w:p>
    <w:p>
      <w:pPr>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Letter Agreement Re Raiders Seats</w:t>
      </w:r>
      <w:r>
        <w:rPr>
          <w:rFonts w:ascii="Arial" w:cs="Arial" w:eastAsia="Arial" w:hAnsi="Arial"/>
          <w:sz w:val="18"/>
          <w:szCs w:val="18"/>
          <w:color w:val="auto"/>
        </w:rPr>
        <w:t>]</w:t>
      </w:r>
    </w:p>
    <w:p>
      <w:pPr>
        <w:sectPr>
          <w:pgSz w:w="11900" w:h="16838" w:orient="portrait"/>
          <w:cols w:equalWidth="0" w:num="1">
            <w:col w:w="10139"/>
          </w:cols>
          <w:pgMar w:left="320" w:top="1440" w:right="1440"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CC:</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Paul, Weiss, Rifkind, Wharton &amp; Garrison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1285 Avenue of the Americas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10019-6064</w:t>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Ross A. Fieldston, Esq. (rfieldston@paulweiss.com)</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Peter E. Fisch, Esq. (pfisch@paulweiss.com)</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Brian C. Lavin, Esq. (blavin@paulweiss.com)</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and –</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Kramer Levin Naftalis &amp; Frankel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1177 Avenue of the Americas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James P. Godman, Esq. (jgodman@kramerlevin.com)</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Todd E. Lenson, Esq. (tlenson@kramerlevin.com)</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Jordan M. Rosenbaum, Esq. (jrosenbaum@kramerlevin.com)</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 and –</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Skadden, Arps, Slate, Meagher &amp; Flom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One Manhattan West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10001</w:t>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Howard L. Ellin, Esq. (howard.ellin@skadden.com)</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Kenneth M. Wolff, Esq. (kenneth.wolff@skadden.com)</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Audrey L. Sokoloff, Esq. (audrey.sokoloff@skadden.com)</w:t>
      </w:r>
    </w:p>
    <w:p>
      <w:pPr>
        <w:sectPr>
          <w:pgSz w:w="11900" w:h="16838" w:orient="portrait"/>
          <w:cols w:equalWidth="0" w:num="1">
            <w:col w:w="10139"/>
          </w:cols>
          <w:pgMar w:left="320" w:top="1034"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1992630" cy="897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1992630" cy="89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October 7, 2021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Pioneer OpCo, LLC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c/o Apollo Management Holdings, L.P.</w:t>
      </w:r>
    </w:p>
    <w:p>
      <w:pPr>
        <w:spacing w:after="0" w:line="195" w:lineRule="auto"/>
        <w:rPr>
          <w:sz w:val="20"/>
          <w:szCs w:val="20"/>
          <w:color w:val="auto"/>
        </w:rPr>
      </w:pPr>
      <w:r>
        <w:rPr>
          <w:rFonts w:ascii="Arial" w:cs="Arial" w:eastAsia="Arial" w:hAnsi="Arial"/>
          <w:sz w:val="20"/>
          <w:szCs w:val="20"/>
          <w:color w:val="auto"/>
        </w:rPr>
        <w:t>9 West 57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 34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10019</w:t>
      </w:r>
    </w:p>
    <w:p>
      <w:pPr>
        <w:spacing w:after="0" w:line="29" w:lineRule="exact"/>
        <w:rPr>
          <w:sz w:val="20"/>
          <w:szCs w:val="20"/>
          <w:color w:val="auto"/>
        </w:rPr>
      </w:pPr>
    </w:p>
    <w:p>
      <w:pPr>
        <w:jc w:val="both"/>
        <w:ind w:left="20"/>
        <w:spacing w:after="0"/>
        <w:tabs>
          <w:tab w:leader="none" w:pos="17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0"/>
          <w:szCs w:val="20"/>
          <w:color w:val="auto"/>
        </w:rPr>
        <w:t>Alex Van Hoek</w:t>
      </w:r>
    </w:p>
    <w:p>
      <w:pPr>
        <w:spacing w:after="0" w:line="51" w:lineRule="exact"/>
        <w:rPr>
          <w:sz w:val="20"/>
          <w:szCs w:val="20"/>
          <w:color w:val="auto"/>
        </w:rPr>
      </w:pPr>
    </w:p>
    <w:p>
      <w:pPr>
        <w:jc w:val="right"/>
        <w:ind w:right="8320"/>
        <w:spacing w:after="0"/>
        <w:rPr>
          <w:sz w:val="20"/>
          <w:szCs w:val="20"/>
          <w:color w:val="auto"/>
        </w:rPr>
      </w:pPr>
      <w:r>
        <w:rPr>
          <w:rFonts w:ascii="Arial" w:cs="Arial" w:eastAsia="Arial" w:hAnsi="Arial"/>
          <w:sz w:val="20"/>
          <w:szCs w:val="20"/>
          <w:color w:val="auto"/>
        </w:rPr>
        <w:t>David Sambur</w:t>
      </w:r>
    </w:p>
    <w:p>
      <w:pPr>
        <w:spacing w:after="0" w:line="53"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sambur@apollo.com</w:t>
      </w:r>
    </w:p>
    <w:p>
      <w:pPr>
        <w:spacing w:after="0" w:line="5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avanhoek@apollo.com</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VICI Properties L.P.</w:t>
      </w:r>
    </w:p>
    <w:p>
      <w:pPr>
        <w:spacing w:after="0" w:line="203" w:lineRule="auto"/>
        <w:rPr>
          <w:sz w:val="20"/>
          <w:szCs w:val="20"/>
          <w:color w:val="auto"/>
        </w:rPr>
      </w:pPr>
      <w:r>
        <w:rPr>
          <w:rFonts w:ascii="Arial" w:cs="Arial" w:eastAsia="Arial" w:hAnsi="Arial"/>
          <w:sz w:val="20"/>
          <w:szCs w:val="20"/>
          <w:color w:val="auto"/>
        </w:rPr>
        <w:t>535 Madison Avenue,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10022</w:t>
      </w:r>
    </w:p>
    <w:p>
      <w:pPr>
        <w:spacing w:after="0" w:line="29"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0"/>
          <w:szCs w:val="20"/>
          <w:color w:val="auto"/>
        </w:rPr>
        <w:t>Samantha S. Gallagher</w:t>
      </w:r>
    </w:p>
    <w:p>
      <w:pPr>
        <w:spacing w:after="0" w:line="51"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corplaw@viciproperties.com</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Project Pioneer: Amendment to Letter Agreement Re Raiders Seats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1"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9"/>
          <w:szCs w:val="19"/>
          <w:color w:val="auto"/>
        </w:rPr>
        <w:t>Reference is made to that certain Letter Agreement, dated as of July 14, 2021 (as amended, restated, modified or supplemented, the “</w:t>
      </w:r>
      <w:r>
        <w:rPr>
          <w:rFonts w:ascii="Arial" w:cs="Arial" w:eastAsia="Arial" w:hAnsi="Arial"/>
          <w:sz w:val="19"/>
          <w:szCs w:val="19"/>
          <w:u w:val="single" w:color="auto"/>
          <w:color w:val="auto"/>
        </w:rPr>
        <w:t>Second Letter Agreement</w:t>
      </w:r>
      <w:r>
        <w:rPr>
          <w:rFonts w:ascii="Arial" w:cs="Arial" w:eastAsia="Arial" w:hAnsi="Arial"/>
          <w:sz w:val="19"/>
          <w:szCs w:val="19"/>
          <w:color w:val="auto"/>
        </w:rPr>
        <w:t>”), by and among Las Vegas Sands Corp., a Nevada corporation (“</w:t>
      </w:r>
      <w:r>
        <w:rPr>
          <w:rFonts w:ascii="Arial" w:cs="Arial" w:eastAsia="Arial" w:hAnsi="Arial"/>
          <w:sz w:val="19"/>
          <w:szCs w:val="19"/>
          <w:u w:val="single" w:color="auto"/>
          <w:color w:val="auto"/>
        </w:rPr>
        <w:t>Seller</w:t>
      </w:r>
      <w:r>
        <w:rPr>
          <w:rFonts w:ascii="Arial" w:cs="Arial" w:eastAsia="Arial" w:hAnsi="Arial"/>
          <w:sz w:val="19"/>
          <w:szCs w:val="19"/>
          <w:color w:val="auto"/>
        </w:rPr>
        <w:t>”), Pioneer OpCo, LLC, a Nevada limited liability company (“</w:t>
      </w:r>
      <w:r>
        <w:rPr>
          <w:rFonts w:ascii="Arial" w:cs="Arial" w:eastAsia="Arial" w:hAnsi="Arial"/>
          <w:sz w:val="19"/>
          <w:szCs w:val="19"/>
          <w:u w:val="single" w:color="auto"/>
          <w:color w:val="auto"/>
        </w:rPr>
        <w:t>OpCo Purchaser</w:t>
      </w:r>
      <w:r>
        <w:rPr>
          <w:rFonts w:ascii="Arial" w:cs="Arial" w:eastAsia="Arial" w:hAnsi="Arial"/>
          <w:sz w:val="19"/>
          <w:szCs w:val="19"/>
          <w:color w:val="auto"/>
        </w:rPr>
        <w:t>”) and VICI Properties L.P., a Delaware limited partnership (“</w:t>
      </w:r>
      <w:r>
        <w:rPr>
          <w:rFonts w:ascii="Arial" w:cs="Arial" w:eastAsia="Arial" w:hAnsi="Arial"/>
          <w:sz w:val="19"/>
          <w:szCs w:val="19"/>
          <w:u w:val="single" w:color="auto"/>
          <w:color w:val="auto"/>
        </w:rPr>
        <w:t>PropCo Purchaser</w:t>
      </w:r>
      <w:r>
        <w:rPr>
          <w:rFonts w:ascii="Arial" w:cs="Arial" w:eastAsia="Arial" w:hAnsi="Arial"/>
          <w:sz w:val="19"/>
          <w:szCs w:val="19"/>
          <w:color w:val="auto"/>
        </w:rPr>
        <w:t>”). Capitalized terms used and not otherwise defined in this amendment to the Second Letter Agreement (the “</w:t>
      </w:r>
      <w:r>
        <w:rPr>
          <w:rFonts w:ascii="Arial" w:cs="Arial" w:eastAsia="Arial" w:hAnsi="Arial"/>
          <w:sz w:val="19"/>
          <w:szCs w:val="19"/>
          <w:u w:val="single" w:color="auto"/>
          <w:color w:val="auto"/>
        </w:rPr>
        <w:t>Amendment to Second Letter Agreement</w:t>
      </w:r>
      <w:r>
        <w:rPr>
          <w:rFonts w:ascii="Arial" w:cs="Arial" w:eastAsia="Arial" w:hAnsi="Arial"/>
          <w:sz w:val="19"/>
          <w:szCs w:val="19"/>
          <w:color w:val="auto"/>
        </w:rPr>
        <w:t>”) shall have the meanings ascribed to them in the Second Letter Agreement.</w:t>
      </w:r>
    </w:p>
    <w:p>
      <w:pPr>
        <w:spacing w:after="0" w:line="177"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0"/>
          <w:szCs w:val="20"/>
          <w:color w:val="auto"/>
        </w:rPr>
        <w:t>In consideration of the mutual covenants contained herein and other good and valuable consideration, the receipt and sufficiency of which are hereby acknowledged, Seller, OpCo Purchaser and PropCo Purchaser (the “</w:t>
      </w:r>
      <w:r>
        <w:rPr>
          <w:rFonts w:ascii="Arial" w:cs="Arial" w:eastAsia="Arial" w:hAnsi="Arial"/>
          <w:sz w:val="20"/>
          <w:szCs w:val="20"/>
          <w:u w:val="single" w:color="auto"/>
          <w:color w:val="auto"/>
        </w:rPr>
        <w:t>Parties</w:t>
      </w:r>
      <w:r>
        <w:rPr>
          <w:rFonts w:ascii="Arial" w:cs="Arial" w:eastAsia="Arial" w:hAnsi="Arial"/>
          <w:sz w:val="20"/>
          <w:szCs w:val="20"/>
          <w:color w:val="auto"/>
        </w:rPr>
        <w:t>”) hereby agree to modify and amend the Second Letter Agreement as follows:</w:t>
      </w:r>
    </w:p>
    <w:p>
      <w:pPr>
        <w:spacing w:after="0" w:line="187" w:lineRule="exact"/>
        <w:rPr>
          <w:sz w:val="20"/>
          <w:szCs w:val="20"/>
          <w:color w:val="auto"/>
        </w:rPr>
      </w:pPr>
    </w:p>
    <w:p>
      <w:pPr>
        <w:ind w:left="980" w:hanging="326"/>
        <w:spacing w:after="0" w:line="259" w:lineRule="auto"/>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Acquisition of Additional Specified Acquired Assets</w:t>
      </w:r>
      <w:r>
        <w:rPr>
          <w:rFonts w:ascii="Arial" w:cs="Arial" w:eastAsia="Arial" w:hAnsi="Arial"/>
          <w:sz w:val="20"/>
          <w:szCs w:val="20"/>
          <w:color w:val="auto"/>
        </w:rPr>
        <w:t>. Section 1 (</w:t>
      </w:r>
      <w:r>
        <w:rPr>
          <w:rFonts w:ascii="Arial" w:cs="Arial" w:eastAsia="Arial" w:hAnsi="Arial"/>
          <w:sz w:val="20"/>
          <w:szCs w:val="20"/>
          <w:i w:val="1"/>
          <w:iCs w:val="1"/>
          <w:color w:val="auto"/>
        </w:rPr>
        <w:t>Acquisition of Additional Specified Acquired Assets</w:t>
      </w:r>
      <w:r>
        <w:rPr>
          <w:rFonts w:ascii="Arial" w:cs="Arial" w:eastAsia="Arial" w:hAnsi="Arial"/>
          <w:sz w:val="20"/>
          <w:szCs w:val="20"/>
          <w:color w:val="auto"/>
        </w:rPr>
        <w:t>) of the Second Letter Agreement is hereby amended and restated in its entirety as follows: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Pursuant to Section 5(b) of the Agreement, OpCo Purchaser hereby consents to Seller or one of its Affiliates entering into</w:t>
      </w:r>
    </w:p>
    <w:p>
      <w:pPr>
        <w:spacing w:after="0" w:line="61" w:lineRule="exact"/>
        <w:rPr>
          <w:sz w:val="20"/>
          <w:szCs w:val="20"/>
          <w:color w:val="auto"/>
        </w:rPr>
      </w:pPr>
    </w:p>
    <w:p>
      <w:pPr>
        <w:jc w:val="both"/>
        <w:ind w:left="1620" w:firstLine="4"/>
        <w:spacing w:after="0"/>
        <w:tabs>
          <w:tab w:leader="none" w:pos="1862"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the Personal Seat License Agreement with Clark County Stadium Authority dated as of July 14, 2021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(ii) the Personal Seat License Agreement with Clark County Stadium Authority dated as of July 14, 2021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(iii) the Personal Seat</w:t>
      </w:r>
    </w:p>
    <w:p>
      <w:pPr>
        <w:sectPr>
          <w:pgSz w:w="11900" w:h="16838" w:orient="portrait"/>
          <w:cols w:equalWidth="0" w:num="1">
            <w:col w:w="11240"/>
          </w:cols>
          <w:pgMar w:left="320" w:top="121" w:right="339" w:bottom="1440" w:gutter="0" w:footer="0" w:header="0"/>
        </w:sectPr>
      </w:pPr>
    </w:p>
    <w:bookmarkStart w:id="95" w:name="page96"/>
    <w:bookmarkEnd w:id="95"/>
    <w:p>
      <w:pPr>
        <w:ind w:left="1620"/>
        <w:spacing w:after="0" w:line="259" w:lineRule="auto"/>
        <w:rPr>
          <w:sz w:val="20"/>
          <w:szCs w:val="20"/>
          <w:color w:val="auto"/>
        </w:rPr>
      </w:pPr>
      <w:r>
        <w:rPr>
          <w:rFonts w:ascii="Arial" w:cs="Arial" w:eastAsia="Arial" w:hAnsi="Arial"/>
          <w:sz w:val="20"/>
          <w:szCs w:val="20"/>
          <w:color w:val="auto"/>
        </w:rPr>
        <w:t xml:space="preserve">License Agreement with Clark County Stadium Authority dated as of September 29, 2021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Raiders Contracts</w:t>
      </w:r>
      <w:r>
        <w:rPr>
          <w:rFonts w:ascii="Arial" w:cs="Arial" w:eastAsia="Arial" w:hAnsi="Arial"/>
          <w:sz w:val="20"/>
          <w:szCs w:val="20"/>
          <w:color w:val="auto"/>
        </w:rPr>
        <w:t>”).</w:t>
      </w:r>
    </w:p>
    <w:p>
      <w:pPr>
        <w:spacing w:after="0" w:line="177" w:lineRule="exact"/>
        <w:rPr>
          <w:sz w:val="20"/>
          <w:szCs w:val="20"/>
          <w:color w:val="auto"/>
        </w:rPr>
      </w:pPr>
    </w:p>
    <w:p>
      <w:pPr>
        <w:ind w:left="980" w:hanging="326"/>
        <w:spacing w:after="0" w:line="259" w:lineRule="auto"/>
        <w:tabs>
          <w:tab w:leader="none" w:pos="98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The definition of “Raiders Contracts” set forth in Section 2(a) (</w:t>
      </w:r>
      <w:r>
        <w:rPr>
          <w:rFonts w:ascii="Arial" w:cs="Arial" w:eastAsia="Arial" w:hAnsi="Arial"/>
          <w:sz w:val="20"/>
          <w:szCs w:val="20"/>
          <w:i w:val="1"/>
          <w:iCs w:val="1"/>
          <w:color w:val="auto"/>
        </w:rPr>
        <w:t>Amendments</w:t>
      </w:r>
      <w:r>
        <w:rPr>
          <w:rFonts w:ascii="Arial" w:cs="Arial" w:eastAsia="Arial" w:hAnsi="Arial"/>
          <w:sz w:val="20"/>
          <w:szCs w:val="20"/>
          <w:color w:val="auto"/>
        </w:rPr>
        <w:t>) of the Second Letter Agreement is hereby amended and restated in its entirety as follows:</w:t>
      </w:r>
    </w:p>
    <w:p>
      <w:pPr>
        <w:spacing w:after="0" w:line="171" w:lineRule="exact"/>
        <w:rPr>
          <w:sz w:val="20"/>
          <w:szCs w:val="20"/>
          <w:color w:val="auto"/>
        </w:rPr>
      </w:pPr>
    </w:p>
    <w:p>
      <w:pPr>
        <w:jc w:val="both"/>
        <w:ind w:left="19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Raiders Contracts</w:t>
      </w:r>
      <w:r>
        <w:rPr>
          <w:rFonts w:ascii="Arial" w:cs="Arial" w:eastAsia="Arial" w:hAnsi="Arial"/>
          <w:sz w:val="18"/>
          <w:szCs w:val="18"/>
          <w:color w:val="auto"/>
        </w:rPr>
        <w:t xml:space="preserve">” means (i) the Personal Seat License Agreement with Clark County Stadium Authority, dated as of July 14, 2021,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that certain Letter Agreement, dated as of July 14, 2021 as amended on October 7, 2021 by that certain Amendment to Second Letter Agreement by and among Seller, OpCo Purchaser and PropCo Purchaser, (ii) the Personal Seat License Agreement with Clark County Stadium Authority, dated as of July 14,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that certain Letter Agreement, dated as of July 14, 2021 as amended on October 7, 2021 by that certain Amendment to Second Letter Agreement by and among Seller, OpCo Purchaser and PropCo Purchaser and (iii) the Personal Seat License Agreement with Clark County Stadium Authority, dated as of September 29, 2021 (the “</w:t>
      </w:r>
      <w:r>
        <w:rPr>
          <w:rFonts w:ascii="Arial" w:cs="Arial" w:eastAsia="Arial" w:hAnsi="Arial"/>
          <w:sz w:val="18"/>
          <w:szCs w:val="18"/>
          <w:u w:val="single" w:color="auto"/>
          <w:color w:val="auto"/>
        </w:rPr>
        <w:t>Third Personal Seat License Agreement</w:t>
      </w:r>
      <w:r>
        <w:rPr>
          <w:rFonts w:ascii="Arial" w:cs="Arial" w:eastAsia="Arial" w:hAnsi="Arial"/>
          <w:sz w:val="18"/>
          <w:szCs w:val="18"/>
          <w:color w:val="auto"/>
        </w:rPr>
        <w:t xml:space="preserve">”)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that certain Letter Agreement, dated as of July 14, 2021 as amended on October 7, 2021 by that certain Amendment to Second Letter Agreement by and among Seller, OpCo Purchaser and PropCo Purchaser.</w:t>
      </w:r>
    </w:p>
    <w:p>
      <w:pPr>
        <w:spacing w:after="0" w:line="174" w:lineRule="exact"/>
        <w:rPr>
          <w:sz w:val="20"/>
          <w:szCs w:val="20"/>
          <w:color w:val="auto"/>
        </w:rPr>
      </w:pPr>
    </w:p>
    <w:p>
      <w:pPr>
        <w:ind w:left="980" w:hanging="326"/>
        <w:spacing w:after="0" w:line="259" w:lineRule="auto"/>
        <w:tabs>
          <w:tab w:leader="none" w:pos="98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Exhibit C</w:t>
      </w:r>
      <w:r>
        <w:rPr>
          <w:rFonts w:ascii="Arial" w:cs="Arial" w:eastAsia="Arial" w:hAnsi="Arial"/>
          <w:sz w:val="20"/>
          <w:szCs w:val="20"/>
          <w:color w:val="auto"/>
        </w:rPr>
        <w:t>. The Second Letter Agreement is hereby amended to attach the Third Personal Seat License Agreement attached as Exhibit A hereto as Exhibit C thereto.</w:t>
      </w:r>
    </w:p>
    <w:p>
      <w:pPr>
        <w:spacing w:after="0" w:line="177"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9"/>
          <w:szCs w:val="19"/>
          <w:color w:val="auto"/>
        </w:rPr>
        <w:t>Except as expressly consented to and modified as provided herein, nothing contained herein shall operate as an amendment of any provision of the Second Letter Agreement, which remains in full force and effect in all respects in accordance with its terms. In addition, except as expressly set forth herein, this Amendment to Second Letter Agreement shall not be deemed a waiver of any term or condition of the Agreement or the Second Letter Agreement and shall not be deemed to prejudice any right or rights which any Party may now have or may have in the future under or in connection with the Agreement, the Second Letter Agreement or any of the instruments or agreements referred to therein, as the same may be amended from time to time. Whenever in the Agreement or any certificate, letter, notice or other instrument or document reference is made to the Agreement, such reference without more shall be deemed to mean the Agreement as modified by the Second Letter Agreement, as amended by this Amendment to Second Letter Agreement, and any other instrument (if any) in writing executed by each of the parties hereto.</w:t>
      </w:r>
    </w:p>
    <w:p>
      <w:pPr>
        <w:spacing w:after="0" w:line="187" w:lineRule="exact"/>
        <w:rPr>
          <w:sz w:val="20"/>
          <w:szCs w:val="20"/>
          <w:color w:val="auto"/>
        </w:rPr>
      </w:pPr>
    </w:p>
    <w:p>
      <w:pPr>
        <w:jc w:val="both"/>
        <w:ind w:firstLine="646"/>
        <w:spacing w:after="0" w:line="263" w:lineRule="auto"/>
        <w:rPr>
          <w:sz w:val="20"/>
          <w:szCs w:val="20"/>
          <w:color w:val="auto"/>
        </w:rPr>
      </w:pPr>
      <w:r>
        <w:rPr>
          <w:rFonts w:ascii="Arial" w:cs="Arial" w:eastAsia="Arial" w:hAnsi="Arial"/>
          <w:sz w:val="19"/>
          <w:szCs w:val="19"/>
          <w:color w:val="auto"/>
        </w:rPr>
        <w:t>This Amendment to Second Letter Agreement may be executed in separate counterparts, each of which when executed, shall be deemed to be an original and which together shall be deemed to be one and the same instrument binding upon each of the parties hereto notwithstanding the fact that all parties hereto are not signatory to the original or the same counterpart. For purposes of this Amendment to Second Letter Agreement, facsimile and pdf signatures shall be deemed originals.</w:t>
      </w:r>
    </w:p>
    <w:p>
      <w:pPr>
        <w:spacing w:after="0" w:line="174" w:lineRule="exact"/>
        <w:rPr>
          <w:sz w:val="20"/>
          <w:szCs w:val="20"/>
          <w:color w:val="auto"/>
        </w:rPr>
      </w:pPr>
    </w:p>
    <w:p>
      <w:pPr>
        <w:jc w:val="both"/>
        <w:ind w:firstLine="646"/>
        <w:spacing w:after="0" w:line="245" w:lineRule="auto"/>
        <w:rPr>
          <w:sz w:val="20"/>
          <w:szCs w:val="20"/>
          <w:color w:val="auto"/>
        </w:rPr>
      </w:pPr>
      <w:r>
        <w:rPr>
          <w:rFonts w:ascii="Arial" w:cs="Arial" w:eastAsia="Arial" w:hAnsi="Arial"/>
          <w:sz w:val="20"/>
          <w:szCs w:val="20"/>
          <w:color w:val="auto"/>
        </w:rPr>
        <w:t>Sections 24 (</w:t>
      </w:r>
      <w:r>
        <w:rPr>
          <w:rFonts w:ascii="Arial" w:cs="Arial" w:eastAsia="Arial" w:hAnsi="Arial"/>
          <w:sz w:val="20"/>
          <w:szCs w:val="20"/>
          <w:i w:val="1"/>
          <w:iCs w:val="1"/>
          <w:color w:val="auto"/>
        </w:rPr>
        <w:t>Miscellaneous</w:t>
      </w:r>
      <w:r>
        <w:rPr>
          <w:rFonts w:ascii="Arial" w:cs="Arial" w:eastAsia="Arial" w:hAnsi="Arial"/>
          <w:sz w:val="20"/>
          <w:szCs w:val="20"/>
          <w:color w:val="auto"/>
        </w:rPr>
        <w:t>), 25 (</w:t>
      </w:r>
      <w:r>
        <w:rPr>
          <w:rFonts w:ascii="Arial" w:cs="Arial" w:eastAsia="Arial" w:hAnsi="Arial"/>
          <w:sz w:val="20"/>
          <w:szCs w:val="20"/>
          <w:i w:val="1"/>
          <w:iCs w:val="1"/>
          <w:color w:val="auto"/>
        </w:rPr>
        <w:t>Notices</w:t>
      </w:r>
      <w:r>
        <w:rPr>
          <w:rFonts w:ascii="Arial" w:cs="Arial" w:eastAsia="Arial" w:hAnsi="Arial"/>
          <w:sz w:val="20"/>
          <w:szCs w:val="20"/>
          <w:color w:val="auto"/>
        </w:rPr>
        <w:t>), 27 (</w:t>
      </w:r>
      <w:r>
        <w:rPr>
          <w:rFonts w:ascii="Arial" w:cs="Arial" w:eastAsia="Arial" w:hAnsi="Arial"/>
          <w:sz w:val="20"/>
          <w:szCs w:val="20"/>
          <w:i w:val="1"/>
          <w:iCs w:val="1"/>
          <w:color w:val="auto"/>
        </w:rPr>
        <w:t>Confidentiality</w:t>
      </w:r>
      <w:r>
        <w:rPr>
          <w:rFonts w:ascii="Arial" w:cs="Arial" w:eastAsia="Arial" w:hAnsi="Arial"/>
          <w:sz w:val="20"/>
          <w:szCs w:val="20"/>
          <w:color w:val="auto"/>
        </w:rPr>
        <w:t>), 28 (</w:t>
      </w:r>
      <w:r>
        <w:rPr>
          <w:rFonts w:ascii="Arial" w:cs="Arial" w:eastAsia="Arial" w:hAnsi="Arial"/>
          <w:sz w:val="20"/>
          <w:szCs w:val="20"/>
          <w:i w:val="1"/>
          <w:iCs w:val="1"/>
          <w:color w:val="auto"/>
        </w:rPr>
        <w:t>Publicity</w:t>
      </w:r>
      <w:r>
        <w:rPr>
          <w:rFonts w:ascii="Arial" w:cs="Arial" w:eastAsia="Arial" w:hAnsi="Arial"/>
          <w:sz w:val="20"/>
          <w:szCs w:val="20"/>
          <w:color w:val="auto"/>
        </w:rPr>
        <w:t>), 30 (</w:t>
      </w:r>
      <w:r>
        <w:rPr>
          <w:rFonts w:ascii="Arial" w:cs="Arial" w:eastAsia="Arial" w:hAnsi="Arial"/>
          <w:sz w:val="20"/>
          <w:szCs w:val="20"/>
          <w:i w:val="1"/>
          <w:iCs w:val="1"/>
          <w:color w:val="auto"/>
        </w:rPr>
        <w:t>No Recourse; Release</w:t>
      </w:r>
      <w:r>
        <w:rPr>
          <w:rFonts w:ascii="Arial" w:cs="Arial" w:eastAsia="Arial" w:hAnsi="Arial"/>
          <w:sz w:val="20"/>
          <w:szCs w:val="20"/>
          <w:color w:val="auto"/>
        </w:rPr>
        <w:t>), 31 (</w:t>
      </w:r>
      <w:r>
        <w:rPr>
          <w:rFonts w:ascii="Arial" w:cs="Arial" w:eastAsia="Arial" w:hAnsi="Arial"/>
          <w:sz w:val="20"/>
          <w:szCs w:val="20"/>
          <w:i w:val="1"/>
          <w:iCs w:val="1"/>
          <w:color w:val="auto"/>
        </w:rPr>
        <w:t>Expenses</w:t>
      </w:r>
      <w:r>
        <w:rPr>
          <w:rFonts w:ascii="Arial" w:cs="Arial" w:eastAsia="Arial" w:hAnsi="Arial"/>
          <w:sz w:val="20"/>
          <w:szCs w:val="20"/>
          <w:color w:val="auto"/>
        </w:rPr>
        <w:t>), 33 (</w:t>
      </w:r>
      <w:r>
        <w:rPr>
          <w:rFonts w:ascii="Arial" w:cs="Arial" w:eastAsia="Arial" w:hAnsi="Arial"/>
          <w:sz w:val="20"/>
          <w:szCs w:val="20"/>
          <w:i w:val="1"/>
          <w:iCs w:val="1"/>
          <w:color w:val="auto"/>
        </w:rPr>
        <w:t>Binding Effect</w:t>
      </w:r>
      <w:r>
        <w:rPr>
          <w:rFonts w:ascii="Arial" w:cs="Arial" w:eastAsia="Arial" w:hAnsi="Arial"/>
          <w:sz w:val="20"/>
          <w:szCs w:val="20"/>
          <w:color w:val="auto"/>
        </w:rPr>
        <w:t>) and 34 (</w:t>
      </w:r>
      <w:r>
        <w:rPr>
          <w:rFonts w:ascii="Arial" w:cs="Arial" w:eastAsia="Arial" w:hAnsi="Arial"/>
          <w:sz w:val="20"/>
          <w:szCs w:val="20"/>
          <w:i w:val="1"/>
          <w:iCs w:val="1"/>
          <w:color w:val="auto"/>
        </w:rPr>
        <w:t>Interpretation</w:t>
      </w:r>
      <w:r>
        <w:rPr>
          <w:rFonts w:ascii="Arial" w:cs="Arial" w:eastAsia="Arial" w:hAnsi="Arial"/>
          <w:sz w:val="20"/>
          <w:szCs w:val="20"/>
          <w:color w:val="auto"/>
        </w:rPr>
        <w:t>) of the Agreement (as defined in the Second Letter Agreement) are hereby incorporated herein by reference as if set forth herein and should apply to the terms and provisions of this Amendment to Second Letter Agreement mutatis mutandis.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ectPr>
          <w:pgSz w:w="11900" w:h="16838" w:orient="portrait"/>
          <w:cols w:equalWidth="0" w:num="1">
            <w:col w:w="11240"/>
          </w:cols>
          <w:pgMar w:left="320" w:top="1092" w:right="339" w:bottom="1440" w:gutter="0" w:footer="0" w:header="0"/>
        </w:sectPr>
      </w:pPr>
    </w:p>
    <w:bookmarkStart w:id="96" w:name="page97"/>
    <w:bookmarkEnd w:id="96"/>
    <w:p>
      <w:pPr>
        <w:spacing w:after="0" w:line="43"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Sincerely,</w:t>
      </w:r>
    </w:p>
    <w:p>
      <w:pPr>
        <w:spacing w:after="0" w:line="214"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Las Vegas Sands Corp.</w:t>
      </w:r>
    </w:p>
    <w:p>
      <w:pPr>
        <w:spacing w:after="0" w:line="241"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Z.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-15240</wp:posOffset>
            </wp:positionV>
            <wp:extent cx="12674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0"/>
          <w:szCs w:val="20"/>
          <w:color w:val="auto"/>
        </w:rPr>
        <w:t>Name: David Z. Hudson</w:t>
      </w:r>
    </w:p>
    <w:p>
      <w:pPr>
        <w:ind w:left="388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Pioneer OpCo, LLC</w:t>
      </w: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Alexander van Hoeck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-15240</wp:posOffset>
            </wp:positionV>
            <wp:extent cx="14928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149288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Alexander van Hoeck</w:t>
      </w:r>
    </w:p>
    <w:p>
      <w:pPr>
        <w:spacing w:after="0"/>
        <w:rPr>
          <w:sz w:val="20"/>
          <w:szCs w:val="20"/>
          <w:color w:val="auto"/>
        </w:rPr>
      </w:pPr>
      <w:r>
        <w:rPr>
          <w:rFonts w:ascii="Arial" w:cs="Arial" w:eastAsia="Arial" w:hAnsi="Arial"/>
          <w:sz w:val="20"/>
          <w:szCs w:val="20"/>
          <w:color w:val="auto"/>
        </w:rPr>
        <w:t>Title: Vice President,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VICI Properties L.P.</w:t>
      </w: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-15240</wp:posOffset>
            </wp:positionV>
            <wp:extent cx="12395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12395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A.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Letter Agreement Re Raiders Seats</w:t>
      </w:r>
      <w:r>
        <w:rPr>
          <w:rFonts w:ascii="Arial" w:cs="Arial" w:eastAsia="Arial" w:hAnsi="Arial"/>
          <w:sz w:val="18"/>
          <w:szCs w:val="18"/>
          <w:color w:val="auto"/>
        </w:rPr>
        <w:t>]</w:t>
      </w:r>
    </w:p>
    <w:p>
      <w:pPr>
        <w:sectPr>
          <w:pgSz w:w="11900" w:h="16838" w:orient="portrait"/>
          <w:cols w:equalWidth="0" w:num="1">
            <w:col w:w="10139"/>
          </w:cols>
          <w:pgMar w:left="320" w:top="1440" w:right="1440"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CC:</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Paul, Weiss, Rifkind, Wharton &amp; Garrison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1285 Avenue of the Americas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10019-6064</w:t>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Ross A. Fieldston, Esq. (rfieldston@paulweiss.com)</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Peter E. Fisch, Esq. (pfisch@paulweiss.com)</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Brian C. Lavin, Esq. (blavin@paulweiss.com)</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and –</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Kramer Levin Naftalis &amp; Frankel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1177 Avenue of the Americas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James P. Godman, Esq. (jgodman@kramerlevin.com)</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Todd E. Lenson, Esq. (tlenson@kramerlevin.com)</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Jordan M. Rosenbaum, Esq. (jrosenbaum@kramerlevin.com)</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 and –</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Skadden, Arps, Slate, Meagher &amp; Flom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One Manhattan West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10001</w:t>
      </w:r>
    </w:p>
    <w:p>
      <w:pPr>
        <w:spacing w:after="0" w:line="3"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Howard L. Ellin, Esq. (howard.ellin@skadden.com)</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Kenneth M. Wolff, Esq. (kenneth.wolff@skadden.com)</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Audrey L. Sokoloff, Esq. (audrey.sokoloff@skadden.com)</w:t>
      </w:r>
    </w:p>
    <w:p>
      <w:pPr>
        <w:sectPr>
          <w:pgSz w:w="11900" w:h="16838" w:orient="portrait"/>
          <w:cols w:equalWidth="0" w:num="1">
            <w:col w:w="10139"/>
          </w:cols>
          <w:pgMar w:left="320" w:top="1034"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FIFTH AMENDMENT TO LEASE</w:t>
      </w:r>
    </w:p>
    <w:p>
      <w:pPr>
        <w:spacing w:after="0" w:line="218" w:lineRule="exact"/>
        <w:rPr>
          <w:sz w:val="20"/>
          <w:szCs w:val="20"/>
          <w:color w:val="auto"/>
        </w:rPr>
      </w:pPr>
    </w:p>
    <w:p>
      <w:pPr>
        <w:jc w:val="both"/>
        <w:ind w:firstLine="646"/>
        <w:spacing w:after="0" w:line="24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FIFTH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 2021, by and among </w:t>
      </w:r>
      <w:r>
        <w:rPr>
          <w:rFonts w:ascii="Arial" w:cs="Arial" w:eastAsia="Arial" w:hAnsi="Arial"/>
          <w:sz w:val="22"/>
          <w:szCs w:val="22"/>
          <w:b w:val="1"/>
          <w:bCs w:val="1"/>
          <w:color w:val="auto"/>
        </w:rPr>
        <w:t xml:space="preserve">CPLV PROPERTY OWNER LLC </w:t>
      </w:r>
      <w:r>
        <w:rPr>
          <w:rFonts w:ascii="Arial" w:cs="Arial" w:eastAsia="Arial" w:hAnsi="Arial"/>
          <w:sz w:val="22"/>
          <w:szCs w:val="22"/>
          <w:color w:val="auto"/>
        </w:rPr>
        <w:t>and</w:t>
      </w:r>
      <w:r>
        <w:rPr>
          <w:rFonts w:ascii="Arial" w:cs="Arial" w:eastAsia="Arial" w:hAnsi="Arial"/>
          <w:sz w:val="22"/>
          <w:szCs w:val="22"/>
          <w:b w:val="1"/>
          <w:bCs w:val="1"/>
          <w:color w:val="auto"/>
        </w:rPr>
        <w:t xml:space="preserve"> CLAUDINE PROPCO LLC</w:t>
      </w:r>
      <w:r>
        <w:rPr>
          <w:rFonts w:ascii="Arial" w:cs="Arial" w:eastAsia="Arial" w:hAnsi="Arial"/>
          <w:sz w:val="22"/>
          <w:szCs w:val="22"/>
          <w:color w:val="auto"/>
        </w:rPr>
        <w:t>, each a Delaware limited liability company (collectively,</w:t>
      </w:r>
      <w:r>
        <w:rPr>
          <w:rFonts w:ascii="Arial" w:cs="Arial" w:eastAsia="Arial" w:hAnsi="Arial"/>
          <w:sz w:val="22"/>
          <w:szCs w:val="22"/>
          <w:b w:val="1"/>
          <w:bCs w:val="1"/>
          <w:color w:val="auto"/>
        </w:rPr>
        <w:t xml:space="preserve"> </w:t>
      </w:r>
      <w:r>
        <w:rPr>
          <w:rFonts w:ascii="Arial" w:cs="Arial" w:eastAsia="Arial" w:hAnsi="Arial"/>
          <w:sz w:val="22"/>
          <w:szCs w:val="22"/>
          <w:color w:val="auto"/>
        </w:rPr>
        <w:t>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DESERT PALACE LLC</w:t>
      </w:r>
      <w:r>
        <w:rPr>
          <w:rFonts w:ascii="Arial" w:cs="Arial" w:eastAsia="Arial" w:hAnsi="Arial"/>
          <w:sz w:val="22"/>
          <w:szCs w:val="22"/>
          <w:color w:val="auto"/>
        </w:rPr>
        <w:t xml:space="preserve">, a Nevada limited liability company, </w:t>
      </w:r>
      <w:r>
        <w:rPr>
          <w:rFonts w:ascii="Arial" w:cs="Arial" w:eastAsia="Arial" w:hAnsi="Arial"/>
          <w:sz w:val="22"/>
          <w:szCs w:val="22"/>
          <w:b w:val="1"/>
          <w:bCs w:val="1"/>
          <w:color w:val="auto"/>
        </w:rPr>
        <w:t>CEOC, LLC</w:t>
      </w:r>
      <w:r>
        <w:rPr>
          <w:rFonts w:ascii="Arial" w:cs="Arial" w:eastAsia="Arial" w:hAnsi="Arial"/>
          <w:sz w:val="22"/>
          <w:szCs w:val="22"/>
          <w:color w:val="auto"/>
        </w:rPr>
        <w:t xml:space="preserve">, a Delaware limited liability company (for itself and as successor by merger to Caesars Entertainment Operating Company, Inc., a Delaware corporation), and </w:t>
      </w:r>
      <w:r>
        <w:rPr>
          <w:rFonts w:ascii="Arial" w:cs="Arial" w:eastAsia="Arial" w:hAnsi="Arial"/>
          <w:sz w:val="22"/>
          <w:szCs w:val="22"/>
          <w:b w:val="1"/>
          <w:bCs w:val="1"/>
          <w:color w:val="auto"/>
        </w:rPr>
        <w:t>HARRAH’S LAS VEGAS, LLC,</w:t>
      </w:r>
      <w:r>
        <w:rPr>
          <w:rFonts w:ascii="Arial" w:cs="Arial" w:eastAsia="Arial" w:hAnsi="Arial"/>
          <w:sz w:val="22"/>
          <w:szCs w:val="22"/>
          <w:color w:val="auto"/>
        </w:rPr>
        <w:t xml:space="preserve"> a Nevada limited liability company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last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w:t>
      </w:r>
      <w:r>
        <w:rPr>
          <w:rFonts w:ascii="Arial" w:cs="Arial" w:eastAsia="Arial" w:hAnsi="Arial"/>
          <w:sz w:val="22"/>
          <w:szCs w:val="22"/>
          <w:color w:val="auto"/>
        </w:rPr>
        <w:t xml:space="preserve"> </w:t>
      </w:r>
      <w:r>
        <w:rPr>
          <w:rFonts w:ascii="Arial" w:cs="Arial" w:eastAsia="Arial" w:hAnsi="Arial"/>
          <w:sz w:val="22"/>
          <w:szCs w:val="22"/>
          <w:u w:val="single" w:color="auto"/>
          <w:color w:val="auto"/>
        </w:rPr>
        <w:t>TRS</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8"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Landlord, Tenant and, solely for the purposes of the last paragraph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Lease, Propco TRS</w:t>
      </w:r>
      <w:r>
        <w:rPr>
          <w:rFonts w:ascii="Arial" w:cs="Arial" w:eastAsia="Arial" w:hAnsi="Arial"/>
          <w:sz w:val="20"/>
          <w:szCs w:val="20"/>
          <w:b w:val="1"/>
          <w:bCs w:val="1"/>
          <w:color w:val="auto"/>
        </w:rPr>
        <w:t xml:space="preserve"> </w:t>
      </w:r>
      <w:r>
        <w:rPr>
          <w:rFonts w:ascii="Arial" w:cs="Arial" w:eastAsia="Arial" w:hAnsi="Arial"/>
          <w:sz w:val="20"/>
          <w:szCs w:val="20"/>
          <w:color w:val="auto"/>
        </w:rPr>
        <w:t>are parties to that certain Lease (CPLV), dated as of October 6, 2017, as amended by that certain First Amendment to Lease (CPLV), dated as of December 26, 2018, as amended by that certain Omnibus Amendment to Leases, dated as of June 1, 2020, as amended by that certain Second Amendment to Lease (CPLV), dated as of July 20, 2020, as amended by that certain Third Amendment to Lease, dated as of September 30, 2020, as amended by that certain Amended and Restated Omnibus Amendment to Leases, dated as of October 27, 2020, and as amended by that certain Fourth Amendment to Lease, dated as of November 18, 2020 (collectively, as amended, the “</w:t>
      </w:r>
      <w:r>
        <w:rPr>
          <w:rFonts w:ascii="Arial" w:cs="Arial" w:eastAsia="Arial" w:hAnsi="Arial"/>
          <w:sz w:val="20"/>
          <w:szCs w:val="20"/>
          <w:u w:val="single" w:color="auto"/>
          <w:color w:val="auto"/>
        </w:rPr>
        <w:t>Lease</w:t>
      </w:r>
      <w:r>
        <w:rPr>
          <w:rFonts w:ascii="Arial" w:cs="Arial" w:eastAsia="Arial" w:hAnsi="Arial"/>
          <w:sz w:val="20"/>
          <w:szCs w:val="20"/>
          <w:color w:val="auto"/>
        </w:rPr>
        <w:t>”), pursuant to which Landlord leases to Tenant, and Tenant leases from Landlord, certain real property as more particularly described in the Lease;</w:t>
      </w:r>
    </w:p>
    <w:p>
      <w:pPr>
        <w:spacing w:after="0" w:line="162" w:lineRule="exact"/>
        <w:rPr>
          <w:sz w:val="20"/>
          <w:szCs w:val="20"/>
          <w:color w:val="auto"/>
        </w:rPr>
      </w:pPr>
    </w:p>
    <w:p>
      <w:pPr>
        <w:jc w:val="both"/>
        <w:ind w:firstLine="646"/>
        <w:spacing w:after="0" w:line="247"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CEOC, LLC and Roman Holding Company of Indiana LLC, collectively as sellers</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w:t>
      </w:r>
      <w:r>
        <w:rPr>
          <w:rFonts w:ascii="Arial" w:cs="Arial" w:eastAsia="Arial" w:hAnsi="Arial"/>
          <w:sz w:val="22"/>
          <w:szCs w:val="22"/>
          <w:u w:val="single" w:color="auto"/>
          <w:color w:val="auto"/>
        </w:rPr>
        <w:t>Sellers</w:t>
      </w:r>
      <w:r>
        <w:rPr>
          <w:rFonts w:ascii="Arial" w:cs="Arial" w:eastAsia="Arial" w:hAnsi="Arial"/>
          <w:sz w:val="22"/>
          <w:szCs w:val="22"/>
          <w:color w:val="auto"/>
        </w:rPr>
        <w:t>”), and EBCI MezzCo LLC, as purchaser, are closing a purchase and sale transaction under that certain Equity Purchase Agreement, dated as of December 24, 2020, with respect to Sellers’ aggregate one hundred percent (100%) equity interest in Caesars Riverboat Casino, LLC, which entity operates the gaming and entertainment facility known as Caesars Southern Indiana (formerly known as Horseshoe Southern Indiana), located in Elizabeth, Indiana (and, together with Roman Holding Company of Indiana LLC, leases such facility pursuant to the terms of the “Regional Lease” (as defined in the Lease)) (the “</w:t>
      </w:r>
      <w:r>
        <w:rPr>
          <w:rFonts w:ascii="Arial" w:cs="Arial" w:eastAsia="Arial" w:hAnsi="Arial"/>
          <w:sz w:val="22"/>
          <w:szCs w:val="22"/>
          <w:u w:val="single" w:color="auto"/>
          <w:color w:val="auto"/>
        </w:rPr>
        <w:t>Southern Indiana Transaction</w:t>
      </w:r>
      <w:r>
        <w:rPr>
          <w:rFonts w:ascii="Arial" w:cs="Arial" w:eastAsia="Arial" w:hAnsi="Arial"/>
          <w:sz w:val="22"/>
          <w:szCs w:val="22"/>
          <w:color w:val="auto"/>
        </w:rPr>
        <w:t>”); and</w:t>
      </w:r>
    </w:p>
    <w:p>
      <w:pPr>
        <w:spacing w:after="0" w:line="184"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Southern Indiana Transaction, the parties hereto desire to amend the Lease as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herein.</w:t>
      </w:r>
    </w:p>
    <w:p>
      <w:pPr>
        <w:spacing w:after="0" w:line="162"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ectPr>
          <w:pgSz w:w="11900" w:h="16838" w:orient="portrait"/>
          <w:cols w:equalWidth="0" w:num="1">
            <w:col w:w="11240"/>
          </w:cols>
          <w:pgMar w:left="320" w:top="125" w:right="339" w:bottom="1440" w:gutter="0" w:footer="0" w:header="0"/>
        </w:sectPr>
      </w:pPr>
    </w:p>
    <w:bookmarkStart w:id="99" w:name="page100"/>
    <w:bookmarkEnd w:id="99"/>
    <w:p>
      <w:pPr>
        <w:ind w:firstLine="654"/>
        <w:spacing w:after="0" w:line="268" w:lineRule="auto"/>
        <w:tabs>
          <w:tab w:leader="none" w:pos="1293" w:val="left"/>
        </w:tabs>
        <w:numPr>
          <w:ilvl w:val="1"/>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2" w:lineRule="exact"/>
        <w:rPr>
          <w:rFonts w:ascii="Arial" w:cs="Arial" w:eastAsia="Arial" w:hAnsi="Arial"/>
          <w:sz w:val="22"/>
          <w:szCs w:val="22"/>
          <w:color w:val="auto"/>
        </w:rPr>
      </w:pPr>
    </w:p>
    <w:p>
      <w:pPr>
        <w:ind w:left="1300" w:hanging="646"/>
        <w:spacing w:after="0"/>
        <w:tabs>
          <w:tab w:leader="none" w:pos="1300" w:val="left"/>
        </w:tabs>
        <w:numPr>
          <w:ilvl w:val="1"/>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pacing w:after="0" w:line="224" w:lineRule="exact"/>
        <w:rPr>
          <w:rFonts w:ascii="Arial" w:cs="Arial" w:eastAsia="Arial" w:hAnsi="Arial"/>
          <w:sz w:val="22"/>
          <w:szCs w:val="22"/>
          <w:color w:val="auto"/>
        </w:rPr>
      </w:pPr>
    </w:p>
    <w:p>
      <w:pPr>
        <w:jc w:val="both"/>
        <w:ind w:left="660" w:hanging="329"/>
        <w:spacing w:after="0" w:line="249" w:lineRule="auto"/>
        <w:tabs>
          <w:tab w:leader="none" w:pos="64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 Article II</w:t>
      </w:r>
      <w:r>
        <w:rPr>
          <w:rFonts w:ascii="Arial" w:cs="Arial" w:eastAsia="Arial" w:hAnsi="Arial"/>
          <w:sz w:val="22"/>
          <w:szCs w:val="22"/>
          <w:color w:val="auto"/>
        </w:rPr>
        <w:t xml:space="preserve"> of the Lease is hereby amended such that the definition of “Triennial Minimum Cap Ex Amount B” is hereby revised and modified to replace the reference therein to “Four Hundred Five Million Two Hundred Thousand and No/100 Dollars ($405,200,000.00)” with a reference to “Three Hundred Eighty-Four Million Three Hundred Thousand and No/100 Dollars ($384,300,000.00)”.</w:t>
      </w:r>
    </w:p>
    <w:p>
      <w:pPr>
        <w:spacing w:after="0" w:line="189" w:lineRule="exact"/>
        <w:rPr>
          <w:rFonts w:ascii="Arial" w:cs="Arial" w:eastAsia="Arial" w:hAnsi="Arial"/>
          <w:sz w:val="22"/>
          <w:szCs w:val="22"/>
          <w:color w:val="auto"/>
        </w:rPr>
      </w:pPr>
    </w:p>
    <w:p>
      <w:pPr>
        <w:ind w:left="660" w:hanging="329"/>
        <w:spacing w:after="0"/>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Partial Periods.</w:t>
      </w:r>
    </w:p>
    <w:p>
      <w:pPr>
        <w:spacing w:after="0" w:line="218" w:lineRule="exact"/>
        <w:rPr>
          <w:rFonts w:ascii="Arial" w:cs="Arial" w:eastAsia="Arial" w:hAnsi="Arial"/>
          <w:sz w:val="22"/>
          <w:szCs w:val="22"/>
          <w:color w:val="auto"/>
        </w:rPr>
      </w:pPr>
    </w:p>
    <w:p>
      <w:pPr>
        <w:jc w:val="both"/>
        <w:ind w:left="1300" w:hanging="323"/>
        <w:spacing w:after="0" w:line="246" w:lineRule="auto"/>
        <w:tabs>
          <w:tab w:leader="none" w:pos="1293" w:val="left"/>
        </w:tabs>
        <w:numPr>
          <w:ilvl w:val="2"/>
          <w:numId w:val="83"/>
        </w:numPr>
        <w:rPr>
          <w:rFonts w:ascii="Arial" w:cs="Arial" w:eastAsia="Arial" w:hAnsi="Arial"/>
          <w:sz w:val="22"/>
          <w:szCs w:val="22"/>
          <w:color w:val="auto"/>
        </w:rPr>
      </w:pPr>
      <w:r>
        <w:rPr>
          <w:rFonts w:ascii="Arial" w:cs="Arial" w:eastAsia="Arial" w:hAnsi="Arial"/>
          <w:sz w:val="22"/>
          <w:szCs w:val="22"/>
          <w:u w:val="single" w:color="auto"/>
          <w:color w:val="auto"/>
        </w:rPr>
        <w:t>Section 10.5(a)(v)(b)</w:t>
      </w:r>
      <w:r>
        <w:rPr>
          <w:rFonts w:ascii="Arial" w:cs="Arial" w:eastAsia="Arial" w:hAnsi="Arial"/>
          <w:sz w:val="22"/>
          <w:szCs w:val="22"/>
          <w:color w:val="auto"/>
        </w:rPr>
        <w:t xml:space="preserve"> of the Lease is hereby amended to (a) replace the reference therein to “Four Hundred Five Million Two Hundred Thousand and No/100 Dollars ($405,200,000.00)” with a reference to “Three Hundred Eighty-Four Million Three Hundred Thousand and No/100 Dollars ($384,300,000.00)” and (b) replace the reference therein to “One Hundred Thirty-Five Million Sixty-Six Thousand Six Hundred Sixty-Six and 67/100 Dollars ($135,066,666.67)” with a reference to “One Hundred Twenty-Eight Million One Hundred Thousand and No/100 Dollars ($128,100,000.00)” and</w:t>
      </w:r>
    </w:p>
    <w:p>
      <w:pPr>
        <w:spacing w:after="0" w:line="195" w:lineRule="exact"/>
        <w:rPr>
          <w:rFonts w:ascii="Arial" w:cs="Arial" w:eastAsia="Arial" w:hAnsi="Arial"/>
          <w:sz w:val="22"/>
          <w:szCs w:val="22"/>
          <w:color w:val="auto"/>
        </w:rPr>
      </w:pPr>
    </w:p>
    <w:p>
      <w:pPr>
        <w:jc w:val="both"/>
        <w:ind w:left="1300" w:hanging="323"/>
        <w:spacing w:after="0" w:line="276" w:lineRule="auto"/>
        <w:tabs>
          <w:tab w:leader="none" w:pos="1299" w:val="left"/>
        </w:tabs>
        <w:numPr>
          <w:ilvl w:val="2"/>
          <w:numId w:val="83"/>
        </w:numPr>
        <w:rPr>
          <w:rFonts w:ascii="Arial" w:cs="Arial" w:eastAsia="Arial" w:hAnsi="Arial"/>
          <w:sz w:val="20"/>
          <w:szCs w:val="20"/>
          <w:color w:val="auto"/>
        </w:rPr>
      </w:pPr>
      <w:r>
        <w:rPr>
          <w:rFonts w:ascii="Arial" w:cs="Arial" w:eastAsia="Arial" w:hAnsi="Arial"/>
          <w:sz w:val="20"/>
          <w:szCs w:val="20"/>
          <w:color w:val="auto"/>
        </w:rPr>
        <w:t xml:space="preserve">The second sentence of </w:t>
      </w:r>
      <w:r>
        <w:rPr>
          <w:rFonts w:ascii="Arial" w:cs="Arial" w:eastAsia="Arial" w:hAnsi="Arial"/>
          <w:sz w:val="20"/>
          <w:szCs w:val="20"/>
          <w:u w:val="single" w:color="auto"/>
          <w:color w:val="auto"/>
        </w:rPr>
        <w:t>Section 10.5(a)(v)</w:t>
      </w:r>
      <w:r>
        <w:rPr>
          <w:rFonts w:ascii="Arial" w:cs="Arial" w:eastAsia="Arial" w:hAnsi="Arial"/>
          <w:sz w:val="20"/>
          <w:szCs w:val="20"/>
          <w:color w:val="auto"/>
        </w:rPr>
        <w:t xml:space="preserve"> of the Lease is hereby amended to (a) replace the reference therein to “Four Hundred Five Million Two Hundred Thousand and No/100 Dollars ($405,200,000.00)” with a reference to “Three Hundred Eighty-Four Million Three Hundred Thousand and No/100 Dollars ($384,300,000.00)” and (b) replace the reference therein to “One Hundred Thirty-Five Million Sixty-Six Thousand Six Hundred Sixty-Six and 67/100 Dollars ($135,066,666.67)” with a reference to “One Hundred Twenty-Eight Million One Hundred Thousand and No/100 Dollars ($128,100,000.00)”.</w:t>
      </w:r>
    </w:p>
    <w:p>
      <w:pPr>
        <w:spacing w:after="0" w:line="158" w:lineRule="exact"/>
        <w:rPr>
          <w:rFonts w:ascii="Arial" w:cs="Arial" w:eastAsia="Arial" w:hAnsi="Arial"/>
          <w:sz w:val="20"/>
          <w:szCs w:val="20"/>
          <w:color w:val="auto"/>
        </w:rPr>
      </w:pPr>
    </w:p>
    <w:p>
      <w:pPr>
        <w:jc w:val="both"/>
        <w:ind w:firstLine="654"/>
        <w:spacing w:after="0" w:line="255" w:lineRule="auto"/>
        <w:tabs>
          <w:tab w:leader="none" w:pos="1293" w:val="left"/>
        </w:tabs>
        <w:numPr>
          <w:ilvl w:val="1"/>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w:t>
      </w:r>
      <w:r>
        <w:rPr>
          <w:rFonts w:ascii="Arial" w:cs="Arial" w:eastAsia="Arial" w:hAnsi="Arial"/>
          <w:sz w:val="22"/>
          <w:szCs w:val="22"/>
          <w:b w:val="1"/>
          <w:bCs w:val="1"/>
          <w:color w:val="auto"/>
        </w:rPr>
        <w:t>Lease</w:t>
      </w:r>
      <w:r>
        <w:rPr>
          <w:rFonts w:ascii="Arial" w:cs="Arial" w:eastAsia="Arial" w:hAnsi="Arial"/>
          <w:sz w:val="22"/>
          <w:szCs w:val="22"/>
          <w:color w:val="auto"/>
        </w:rPr>
        <w:t>” shall be deemed to refer to the Lease as amended by this Amendment.</w:t>
      </w:r>
    </w:p>
    <w:p>
      <w:pPr>
        <w:spacing w:after="0" w:line="176" w:lineRule="exact"/>
        <w:rPr>
          <w:rFonts w:ascii="Arial" w:cs="Arial" w:eastAsia="Arial" w:hAnsi="Arial"/>
          <w:sz w:val="22"/>
          <w:szCs w:val="22"/>
          <w:color w:val="auto"/>
        </w:rPr>
      </w:pPr>
    </w:p>
    <w:p>
      <w:pPr>
        <w:jc w:val="both"/>
        <w:ind w:firstLine="654"/>
        <w:spacing w:after="0" w:line="251" w:lineRule="auto"/>
        <w:tabs>
          <w:tab w:leader="none" w:pos="1293" w:val="left"/>
        </w:tabs>
        <w:numPr>
          <w:ilvl w:val="1"/>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80" w:lineRule="exact"/>
        <w:rPr>
          <w:rFonts w:ascii="Arial" w:cs="Arial" w:eastAsia="Arial" w:hAnsi="Arial"/>
          <w:sz w:val="22"/>
          <w:szCs w:val="22"/>
          <w:color w:val="auto"/>
        </w:rPr>
      </w:pPr>
    </w:p>
    <w:p>
      <w:pPr>
        <w:ind w:firstLine="654"/>
        <w:spacing w:after="0" w:line="268" w:lineRule="auto"/>
        <w:tabs>
          <w:tab w:leader="none" w:pos="1293" w:val="left"/>
        </w:tabs>
        <w:numPr>
          <w:ilvl w:val="1"/>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100" w:name="page101"/>
    <w:bookmarkEnd w:id="100"/>
    <w:p>
      <w:pPr>
        <w:ind w:right="20"/>
        <w:spacing w:after="0" w:line="262" w:lineRule="auto"/>
        <w:rPr>
          <w:sz w:val="20"/>
          <w:szCs w:val="20"/>
          <w:color w:val="auto"/>
        </w:rPr>
      </w:pPr>
      <w:r>
        <w:rPr>
          <w:rFonts w:ascii="Arial" w:cs="Arial" w:eastAsia="Arial" w:hAnsi="Arial"/>
          <w:sz w:val="22"/>
          <w:szCs w:val="22"/>
          <w:color w:val="auto"/>
        </w:rPr>
        <w:t>be deemed to constitute one and the same instrument. Facsimile and/or .pdf signatures shall be deemed to be originals for all purposes.</w:t>
      </w:r>
    </w:p>
    <w:p>
      <w:pPr>
        <w:spacing w:after="0" w:line="169" w:lineRule="exact"/>
        <w:rPr>
          <w:sz w:val="20"/>
          <w:szCs w:val="20"/>
          <w:color w:val="auto"/>
        </w:rPr>
      </w:pPr>
    </w:p>
    <w:p>
      <w:pPr>
        <w:ind w:firstLine="654"/>
        <w:spacing w:after="0" w:line="268" w:lineRule="auto"/>
        <w:tabs>
          <w:tab w:leader="none" w:pos="1293" w:val="left"/>
        </w:tabs>
        <w:numPr>
          <w:ilvl w:val="0"/>
          <w:numId w:val="84"/>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2" w:lineRule="exact"/>
        <w:rPr>
          <w:rFonts w:ascii="Arial" w:cs="Arial" w:eastAsia="Arial" w:hAnsi="Arial"/>
          <w:sz w:val="22"/>
          <w:szCs w:val="22"/>
          <w:color w:val="auto"/>
        </w:rPr>
      </w:pPr>
    </w:p>
    <w:p>
      <w:pPr>
        <w:jc w:val="both"/>
        <w:ind w:firstLine="654"/>
        <w:spacing w:after="0" w:line="274" w:lineRule="auto"/>
        <w:tabs>
          <w:tab w:leader="none" w:pos="1293" w:val="left"/>
        </w:tabs>
        <w:numPr>
          <w:ilvl w:val="0"/>
          <w:numId w:val="84"/>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If any provision of this Amendment is adjudicated to be invalid, illegal or unenforceable, in whole</w:t>
      </w:r>
      <w:r>
        <w:rPr>
          <w:rFonts w:ascii="Arial" w:cs="Arial" w:eastAsia="Arial" w:hAnsi="Arial"/>
          <w:sz w:val="20"/>
          <w:szCs w:val="20"/>
          <w:b w:val="1"/>
          <w:bCs w:val="1"/>
          <w:color w:val="auto"/>
        </w:rPr>
        <w:t xml:space="preserve"> </w:t>
      </w:r>
      <w:r>
        <w:rPr>
          <w:rFonts w:ascii="Arial" w:cs="Arial" w:eastAsia="Arial" w:hAnsi="Arial"/>
          <w:sz w:val="20"/>
          <w:szCs w:val="20"/>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4" w:right="339" w:bottom="1440" w:gutter="0" w:footer="0" w:header="0"/>
        </w:sectPr>
      </w:pPr>
    </w:p>
    <w:bookmarkStart w:id="101" w:name="page102"/>
    <w:bookmarkEnd w:id="101"/>
    <w:p>
      <w:pPr>
        <w:ind w:firstLine="646"/>
        <w:spacing w:after="0" w:line="26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CPLV PROPERTY OWNER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219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CLAUDINE PROPCO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219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Fifth Amendment to Las Vegas Lease]</w:t>
      </w:r>
    </w:p>
    <w:p>
      <w:pPr>
        <w:sectPr>
          <w:pgSz w:w="11900" w:h="16838" w:orient="portrait"/>
          <w:cols w:equalWidth="0" w:num="1">
            <w:col w:w="11240"/>
          </w:cols>
          <w:pgMar w:left="320" w:top="1425"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TENANT: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DESERT PALACE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1664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1664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LAS VEGAS,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1664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720"/>
        <w:spacing w:after="0"/>
        <w:rPr>
          <w:sz w:val="20"/>
          <w:szCs w:val="20"/>
          <w:color w:val="auto"/>
        </w:rPr>
      </w:pPr>
      <w:r>
        <w:rPr>
          <w:rFonts w:ascii="Arial" w:cs="Arial" w:eastAsia="Arial" w:hAnsi="Arial"/>
          <w:sz w:val="19"/>
          <w:szCs w:val="19"/>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2439"/>
        <w:spacing w:after="0"/>
        <w:rPr>
          <w:sz w:val="20"/>
          <w:szCs w:val="20"/>
          <w:color w:val="auto"/>
        </w:rPr>
      </w:pPr>
      <w:r>
        <w:rPr>
          <w:rFonts w:ascii="Arial" w:cs="Arial" w:eastAsia="Arial" w:hAnsi="Arial"/>
          <w:sz w:val="18"/>
          <w:szCs w:val="18"/>
          <w:color w:val="auto"/>
        </w:rPr>
        <w:t>[Signature Page to Fifth Amendment to Las Vegas Lease]</w:t>
      </w:r>
    </w:p>
    <w:p>
      <w:pPr>
        <w:sectPr>
          <w:pgSz w:w="11900" w:h="16838" w:orient="portrait"/>
          <w:cols w:equalWidth="0" w:num="1">
            <w:col w:w="10139"/>
          </w:cols>
          <w:pgMar w:left="320" w:top="1418" w:right="1440"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219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David Kieske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[Signature Page to Fifth Amendment to Las Vegas Lease]</w:t>
      </w:r>
    </w:p>
    <w:p>
      <w:pPr>
        <w:sectPr>
          <w:pgSz w:w="11900" w:h="16838" w:orient="portrait"/>
          <w:cols w:equalWidth="0" w:num="1">
            <w:col w:w="10139"/>
          </w:cols>
          <w:pgMar w:left="320" w:top="1424"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Fifth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September 1, 2021, by and among CPLV Property Owner LLC and Claudine Propco LLC, each a Delaware limited liability company, collectively as Landlord, Desert Palace LLC, a Nevada limited liability company, CEOC, LLC, a Delaware limited liability company (for itself and as successor by merger to Caesars Entertainment Operating Company, Inc., a Delaware corporation), and Harrah’s Las Vegas, LLC, a Nevada limited liability company, collectively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62"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1, 2021.</w:t>
      </w:r>
    </w:p>
    <w:p>
      <w:pPr>
        <w:sectPr>
          <w:pgSz w:w="11900" w:h="16838" w:orient="portrait"/>
          <w:cols w:equalWidth="0" w:num="1">
            <w:col w:w="11240"/>
          </w:cols>
          <w:pgMar w:left="320" w:top="1418" w:right="33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b w:val="1"/>
          <w:bCs w:val="1"/>
          <w:color w:val="auto"/>
        </w:rPr>
        <w:t>CAESARS ENTERTAINMENT,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-15240</wp:posOffset>
            </wp:positionV>
            <wp:extent cx="10687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Bret D. Yunker</w:t>
      </w:r>
    </w:p>
    <w:p>
      <w:pPr>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0139"/>
          </w:cols>
          <w:pgMar w:left="320" w:top="1410" w:right="1440" w:bottom="1440" w:gutter="0" w:footer="0" w:header="0"/>
        </w:sectPr>
      </w:pPr>
    </w:p>
    <w:bookmarkStart w:id="106" w:name="page107"/>
    <w:bookmarkEnd w:id="106"/>
    <w:p>
      <w:pPr>
        <w:ind w:left="10120"/>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EIGHTH AMENDMENT TO LEASE</w:t>
      </w:r>
    </w:p>
    <w:p>
      <w:pPr>
        <w:spacing w:after="0" w:line="218"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EIGHTH AMENDMENT TO LEASE</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is entered into as of September 3, 2021, by and among the entities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 (collectively, and together with their respective successors and assigns, “</w:t>
      </w:r>
      <w:r>
        <w:rPr>
          <w:rFonts w:ascii="Arial" w:cs="Arial" w:eastAsia="Arial" w:hAnsi="Arial"/>
          <w:sz w:val="20"/>
          <w:szCs w:val="20"/>
          <w:u w:val="single" w:color="auto"/>
          <w:color w:val="auto"/>
        </w:rPr>
        <w:t>Landlord</w:t>
      </w:r>
      <w:r>
        <w:rPr>
          <w:rFonts w:ascii="Arial" w:cs="Arial" w:eastAsia="Arial" w:hAnsi="Arial"/>
          <w:sz w:val="20"/>
          <w:szCs w:val="20"/>
          <w:color w:val="auto"/>
        </w:rPr>
        <w:t xml:space="preserve">”), the entities listed on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attached hereto (collectively, and together with their respective successors and assigns, “</w:t>
      </w:r>
      <w:r>
        <w:rPr>
          <w:rFonts w:ascii="Arial" w:cs="Arial" w:eastAsia="Arial" w:hAnsi="Arial"/>
          <w:sz w:val="20"/>
          <w:szCs w:val="20"/>
          <w:u w:val="single" w:color="auto"/>
          <w:color w:val="auto"/>
        </w:rPr>
        <w:t>Tenant</w:t>
      </w:r>
      <w:r>
        <w:rPr>
          <w:rFonts w:ascii="Arial" w:cs="Arial" w:eastAsia="Arial" w:hAnsi="Arial"/>
          <w:sz w:val="20"/>
          <w:szCs w:val="20"/>
          <w:color w:val="auto"/>
        </w:rPr>
        <w:t xml:space="preserve">”) and, solely for the purposes of the penultimate paragraph of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Lease (as defined below), Propco TRS LLC, a Delaware limited liability company (“</w:t>
      </w:r>
      <w:r>
        <w:rPr>
          <w:rFonts w:ascii="Arial" w:cs="Arial" w:eastAsia="Arial" w:hAnsi="Arial"/>
          <w:sz w:val="20"/>
          <w:szCs w:val="20"/>
          <w:u w:val="single" w:color="auto"/>
          <w:color w:val="auto"/>
        </w:rPr>
        <w:t>Propco TRS</w:t>
      </w:r>
      <w:r>
        <w:rPr>
          <w:rFonts w:ascii="Arial" w:cs="Arial" w:eastAsia="Arial" w:hAnsi="Arial"/>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8"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Landlord, Tenant and, solely for the purposes of the penultimate paragraph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Lease,</w:t>
      </w:r>
      <w:r>
        <w:rPr>
          <w:rFonts w:ascii="Arial" w:cs="Arial" w:eastAsia="Arial" w:hAnsi="Arial"/>
          <w:sz w:val="20"/>
          <w:szCs w:val="20"/>
          <w:b w:val="1"/>
          <w:bCs w:val="1"/>
          <w:color w:val="auto"/>
        </w:rPr>
        <w:t xml:space="preserve"> </w:t>
      </w:r>
      <w:r>
        <w:rPr>
          <w:rFonts w:ascii="Arial" w:cs="Arial" w:eastAsia="Arial" w:hAnsi="Arial"/>
          <w:sz w:val="20"/>
          <w:szCs w:val="20"/>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and as amended by that certain Seventh Amendment to Lease, dated as of November 18, 2020 (collectively, as amended, the “</w:t>
      </w:r>
      <w:r>
        <w:rPr>
          <w:rFonts w:ascii="Arial" w:cs="Arial" w:eastAsia="Arial" w:hAnsi="Arial"/>
          <w:sz w:val="20"/>
          <w:szCs w:val="20"/>
          <w:u w:val="single" w:color="auto"/>
          <w:color w:val="auto"/>
        </w:rPr>
        <w:t>Lease</w:t>
      </w:r>
      <w:r>
        <w:rPr>
          <w:rFonts w:ascii="Arial" w:cs="Arial" w:eastAsia="Arial" w:hAnsi="Arial"/>
          <w:sz w:val="20"/>
          <w:szCs w:val="20"/>
          <w:color w:val="auto"/>
        </w:rPr>
        <w:t>”), pursuant to which Landlord leases to Tenant, and Tenant leases from Landlord, certain real property as more particularly described in the Lease;</w:t>
      </w:r>
    </w:p>
    <w:p>
      <w:pPr>
        <w:spacing w:after="0" w:line="163"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December 28, 2020, Bluegrass Downs Property Owner LLC conveyed to McCracken County, Kentucky</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real property interests associated with the former gaming and entertainment facility known as Bluegrass Downs located in Paducah, Kentucky, which facility was (prior to such conveyance) subject to the Lease (the “</w:t>
      </w:r>
      <w:r>
        <w:rPr>
          <w:rFonts w:ascii="Arial" w:cs="Arial" w:eastAsia="Arial" w:hAnsi="Arial"/>
          <w:sz w:val="20"/>
          <w:szCs w:val="20"/>
          <w:u w:val="single" w:color="auto"/>
          <w:color w:val="auto"/>
        </w:rPr>
        <w:t>Bluegrass Downs Transaction</w:t>
      </w:r>
      <w:r>
        <w:rPr>
          <w:rFonts w:ascii="Arial" w:cs="Arial" w:eastAsia="Arial" w:hAnsi="Arial"/>
          <w:sz w:val="20"/>
          <w:szCs w:val="20"/>
          <w:color w:val="auto"/>
        </w:rPr>
        <w:t>”), and the Bluegrass Downs Leased Property (as defined below) was severed from the Lease as of such date;</w:t>
      </w:r>
    </w:p>
    <w:p>
      <w:pPr>
        <w:spacing w:after="0" w:line="151" w:lineRule="exact"/>
        <w:rPr>
          <w:sz w:val="20"/>
          <w:szCs w:val="20"/>
          <w:color w:val="auto"/>
        </w:rPr>
      </w:pPr>
    </w:p>
    <w:p>
      <w:pPr>
        <w:jc w:val="both"/>
        <w:ind w:firstLine="646"/>
        <w:spacing w:after="0" w:line="247"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CEOC, LLC and Roman Holding Company of Indiana LLC, collectively as sellers</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w:t>
      </w:r>
      <w:r>
        <w:rPr>
          <w:rFonts w:ascii="Arial" w:cs="Arial" w:eastAsia="Arial" w:hAnsi="Arial"/>
          <w:sz w:val="22"/>
          <w:szCs w:val="22"/>
          <w:u w:val="single" w:color="auto"/>
          <w:color w:val="auto"/>
        </w:rPr>
        <w:t>Sellers</w:t>
      </w:r>
      <w:r>
        <w:rPr>
          <w:rFonts w:ascii="Arial" w:cs="Arial" w:eastAsia="Arial" w:hAnsi="Arial"/>
          <w:sz w:val="22"/>
          <w:szCs w:val="22"/>
          <w:color w:val="auto"/>
        </w:rPr>
        <w:t>”), and EBCI MezzCo LLC, as purchaser, are closing a purchase and sale transaction under that certain Equity Purchase Agreement, dated as of December 24, 2020, with respect to Sellers’ aggregate one hundred percent (100%) equity interest in Caesars Riverboat Casino, LLC (“</w:t>
      </w:r>
      <w:r>
        <w:rPr>
          <w:rFonts w:ascii="Arial" w:cs="Arial" w:eastAsia="Arial" w:hAnsi="Arial"/>
          <w:sz w:val="22"/>
          <w:szCs w:val="22"/>
          <w:u w:val="single" w:color="auto"/>
          <w:color w:val="auto"/>
        </w:rPr>
        <w:t>Operator</w:t>
      </w:r>
      <w:r>
        <w:rPr>
          <w:rFonts w:ascii="Arial" w:cs="Arial" w:eastAsia="Arial" w:hAnsi="Arial"/>
          <w:sz w:val="22"/>
          <w:szCs w:val="22"/>
          <w:color w:val="auto"/>
        </w:rPr>
        <w:t>”), which entity operates the gaming and entertainment facility known as Caesars Southern Indiana (formerly known as Horseshoe Southern Indiana), located in Elizabeth, Indiana (and, together with Roman Holding Company of Indiana LLC, leases such facility pursuant to the terms of the Lease) (the “</w:t>
      </w:r>
      <w:r>
        <w:rPr>
          <w:rFonts w:ascii="Arial" w:cs="Arial" w:eastAsia="Arial" w:hAnsi="Arial"/>
          <w:sz w:val="22"/>
          <w:szCs w:val="22"/>
          <w:u w:val="single" w:color="auto"/>
          <w:color w:val="auto"/>
        </w:rPr>
        <w:t>Southern Indiana</w:t>
      </w:r>
      <w:r>
        <w:rPr>
          <w:rFonts w:ascii="Arial" w:cs="Arial" w:eastAsia="Arial" w:hAnsi="Arial"/>
          <w:sz w:val="22"/>
          <w:szCs w:val="22"/>
          <w:color w:val="auto"/>
        </w:rPr>
        <w:t xml:space="preserve"> </w:t>
      </w:r>
      <w:r>
        <w:rPr>
          <w:rFonts w:ascii="Arial" w:cs="Arial" w:eastAsia="Arial" w:hAnsi="Arial"/>
          <w:sz w:val="22"/>
          <w:szCs w:val="22"/>
          <w:u w:val="single" w:color="auto"/>
          <w:color w:val="auto"/>
        </w:rPr>
        <w:t>Transaction</w:t>
      </w:r>
      <w:r>
        <w:rPr>
          <w:rFonts w:ascii="Arial" w:cs="Arial" w:eastAsia="Arial" w:hAnsi="Arial"/>
          <w:sz w:val="22"/>
          <w:szCs w:val="22"/>
          <w:color w:val="auto"/>
        </w:rPr>
        <w:t>”); and</w:t>
      </w:r>
    </w:p>
    <w:p>
      <w:pPr>
        <w:spacing w:after="0" w:line="184"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in connection with the Southern Indiana Transaction, the Southern Indiana Leased Property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below) will be severed from the Lease and Landlord will enter into a</w:t>
      </w:r>
    </w:p>
    <w:p>
      <w:pPr>
        <w:sectPr>
          <w:pgSz w:w="11900" w:h="16838" w:orient="portrait"/>
          <w:cols w:equalWidth="0" w:num="1">
            <w:col w:w="11240"/>
          </w:cols>
          <w:pgMar w:left="320" w:top="126" w:right="339" w:bottom="1440" w:gutter="0" w:footer="0" w:header="0"/>
        </w:sectPr>
      </w:pPr>
    </w:p>
    <w:bookmarkStart w:id="107" w:name="page108"/>
    <w:bookmarkEnd w:id="107"/>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new lease with Operator in respect of the Southern Indiana Facility (as defined below) (the “</w:t>
      </w:r>
      <w:r>
        <w:rPr>
          <w:rFonts w:ascii="Arial" w:cs="Arial" w:eastAsia="Arial" w:hAnsi="Arial"/>
          <w:sz w:val="22"/>
          <w:szCs w:val="22"/>
          <w:u w:val="single" w:color="auto"/>
          <w:color w:val="auto"/>
        </w:rPr>
        <w:t>New Lease</w:t>
      </w:r>
      <w:r>
        <w:rPr>
          <w:rFonts w:ascii="Arial" w:cs="Arial" w:eastAsia="Arial" w:hAnsi="Arial"/>
          <w:sz w:val="22"/>
          <w:szCs w:val="22"/>
          <w:color w:val="auto"/>
        </w:rPr>
        <w:t>”); and</w:t>
      </w:r>
    </w:p>
    <w:p>
      <w:pPr>
        <w:spacing w:after="0" w:line="212"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Bluegrass Downs Transaction and the Southern Indiana Transaction,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desire to amend the Lease as set forth herein.</w:t>
      </w:r>
    </w:p>
    <w:p>
      <w:pPr>
        <w:spacing w:after="0" w:line="162"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7" w:lineRule="exact"/>
        <w:rPr>
          <w:sz w:val="20"/>
          <w:szCs w:val="20"/>
          <w:color w:val="auto"/>
        </w:rPr>
      </w:pPr>
    </w:p>
    <w:p>
      <w:pPr>
        <w:ind w:firstLine="654"/>
        <w:spacing w:after="0" w:line="268" w:lineRule="auto"/>
        <w:tabs>
          <w:tab w:leader="none" w:pos="1293" w:val="left"/>
        </w:tabs>
        <w:numPr>
          <w:ilvl w:val="1"/>
          <w:numId w:val="85"/>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2" w:lineRule="exact"/>
        <w:rPr>
          <w:rFonts w:ascii="Arial" w:cs="Arial" w:eastAsia="Arial" w:hAnsi="Arial"/>
          <w:sz w:val="22"/>
          <w:szCs w:val="22"/>
          <w:color w:val="auto"/>
        </w:rPr>
      </w:pPr>
    </w:p>
    <w:p>
      <w:pPr>
        <w:ind w:firstLine="654"/>
        <w:spacing w:after="0" w:line="268" w:lineRule="auto"/>
        <w:tabs>
          <w:tab w:leader="none" w:pos="1293" w:val="left"/>
        </w:tabs>
        <w:numPr>
          <w:ilvl w:val="1"/>
          <w:numId w:val="85"/>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 for Bluegrass Downs Transaction</w:t>
      </w:r>
      <w:r>
        <w:rPr>
          <w:rFonts w:ascii="Arial" w:cs="Arial" w:eastAsia="Arial" w:hAnsi="Arial"/>
          <w:sz w:val="22"/>
          <w:szCs w:val="22"/>
          <w:color w:val="auto"/>
        </w:rPr>
        <w:t>. Effective as of December 28, 2020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Bluegrass Downs Severance Date</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40" w:hanging="309"/>
        <w:spacing w:after="0"/>
        <w:tabs>
          <w:tab w:leader="none" w:pos="64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Termination of the Lease as to the Bluegrass Downs Facility</w:t>
      </w:r>
      <w:r>
        <w:rPr>
          <w:rFonts w:ascii="Arial" w:cs="Arial" w:eastAsia="Arial" w:hAnsi="Arial"/>
          <w:sz w:val="22"/>
          <w:szCs w:val="22"/>
          <w:color w:val="auto"/>
        </w:rPr>
        <w:t>.</w:t>
      </w:r>
    </w:p>
    <w:p>
      <w:pPr>
        <w:spacing w:after="0" w:line="218" w:lineRule="exact"/>
        <w:rPr>
          <w:rFonts w:ascii="Arial" w:cs="Arial" w:eastAsia="Arial" w:hAnsi="Arial"/>
          <w:sz w:val="22"/>
          <w:szCs w:val="22"/>
          <w:color w:val="auto"/>
        </w:rPr>
      </w:pPr>
    </w:p>
    <w:p>
      <w:pPr>
        <w:jc w:val="both"/>
        <w:ind w:left="1300" w:hanging="323"/>
        <w:spacing w:after="0" w:line="246" w:lineRule="auto"/>
        <w:tabs>
          <w:tab w:leader="none" w:pos="1293" w:val="left"/>
        </w:tabs>
        <w:numPr>
          <w:ilvl w:val="2"/>
          <w:numId w:val="86"/>
        </w:numPr>
        <w:rPr>
          <w:rFonts w:ascii="Arial" w:cs="Arial" w:eastAsia="Arial" w:hAnsi="Arial"/>
          <w:sz w:val="22"/>
          <w:szCs w:val="22"/>
          <w:color w:val="auto"/>
        </w:rPr>
      </w:pPr>
      <w:r>
        <w:rPr>
          <w:rFonts w:ascii="Arial" w:cs="Arial" w:eastAsia="Arial" w:hAnsi="Arial"/>
          <w:sz w:val="22"/>
          <w:szCs w:val="22"/>
          <w:color w:val="auto"/>
        </w:rPr>
        <w:t>the Lease is hereby terminated with respect to the Bluegrass Downs Leased Property, the Bluegrass Downs Leased Property no longer constitutes Leased Property under the Lease, and neither Landlord nor Tenant has any further liabilities or obligations under the Lease, from and after the Bluegrass Downs Severance Date, in respect of the Bluegrass Downs Facility (as defined below) and the Bluegrass Downs Leased Property (provided that any such liabilities or obligations arising prior to such date shall not be terminated, limited or affected by or upon entry into this Amendment); and</w:t>
      </w:r>
    </w:p>
    <w:p>
      <w:pPr>
        <w:spacing w:after="0" w:line="195" w:lineRule="exact"/>
        <w:rPr>
          <w:rFonts w:ascii="Arial" w:cs="Arial" w:eastAsia="Arial" w:hAnsi="Arial"/>
          <w:sz w:val="22"/>
          <w:szCs w:val="22"/>
          <w:color w:val="auto"/>
        </w:rPr>
      </w:pPr>
    </w:p>
    <w:p>
      <w:pPr>
        <w:jc w:val="both"/>
        <w:ind w:left="1300" w:hanging="323"/>
        <w:spacing w:after="0" w:line="273" w:lineRule="auto"/>
        <w:tabs>
          <w:tab w:leader="none" w:pos="1299" w:val="left"/>
        </w:tabs>
        <w:numPr>
          <w:ilvl w:val="2"/>
          <w:numId w:val="86"/>
        </w:numPr>
        <w:rPr>
          <w:rFonts w:ascii="Arial" w:cs="Arial" w:eastAsia="Arial" w:hAnsi="Arial"/>
          <w:sz w:val="20"/>
          <w:szCs w:val="20"/>
          <w:color w:val="auto"/>
        </w:rPr>
      </w:pPr>
      <w:r>
        <w:rPr>
          <w:rFonts w:ascii="Arial" w:cs="Arial" w:eastAsia="Arial" w:hAnsi="Arial"/>
          <w:sz w:val="20"/>
          <w:szCs w:val="20"/>
          <w:color w:val="auto"/>
        </w:rPr>
        <w:t>the Guaranty hereby automatically, and without further action by any party, ceases to apply with respect to any Obligations (as defined in the Guaranty) with respect to the Bluegrass Downs Facility or the Bluegrass Downs Leased Property to the extent arising from and after the Bluegrass Downs Severance Date (provided that any such Obligations arising prior to such date shall not be terminated, limited or affected by or upon entry into this Amendment). The term “</w:t>
      </w:r>
      <w:r>
        <w:rPr>
          <w:rFonts w:ascii="Arial" w:cs="Arial" w:eastAsia="Arial" w:hAnsi="Arial"/>
          <w:sz w:val="20"/>
          <w:szCs w:val="20"/>
          <w:u w:val="single" w:color="auto"/>
          <w:color w:val="auto"/>
        </w:rPr>
        <w:t>Bluegrass Downs Facility</w:t>
      </w:r>
      <w:r>
        <w:rPr>
          <w:rFonts w:ascii="Arial" w:cs="Arial" w:eastAsia="Arial" w:hAnsi="Arial"/>
          <w:sz w:val="20"/>
          <w:szCs w:val="20"/>
          <w:color w:val="auto"/>
        </w:rPr>
        <w:t xml:space="preserve">” refers to the applicable Facility identified as Facility 16 on the list of the Facilities annexed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Lease (prior to giving effect to the replacement of said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pursuant to </w:t>
      </w:r>
      <w:r>
        <w:rPr>
          <w:rFonts w:ascii="Arial" w:cs="Arial" w:eastAsia="Arial" w:hAnsi="Arial"/>
          <w:sz w:val="20"/>
          <w:szCs w:val="20"/>
          <w:u w:val="single" w:color="auto"/>
          <w:color w:val="auto"/>
        </w:rPr>
        <w:t>Section 3.K.i.</w:t>
      </w:r>
      <w:r>
        <w:rPr>
          <w:rFonts w:ascii="Arial" w:cs="Arial" w:eastAsia="Arial" w:hAnsi="Arial"/>
          <w:sz w:val="20"/>
          <w:szCs w:val="20"/>
          <w:color w:val="auto"/>
        </w:rPr>
        <w:t xml:space="preserve"> of this Amendment). The term “</w:t>
      </w:r>
      <w:r>
        <w:rPr>
          <w:rFonts w:ascii="Arial" w:cs="Arial" w:eastAsia="Arial" w:hAnsi="Arial"/>
          <w:sz w:val="20"/>
          <w:szCs w:val="20"/>
          <w:u w:val="single" w:color="auto"/>
          <w:color w:val="auto"/>
        </w:rPr>
        <w:t>Bluegrass Downs Leased Property</w:t>
      </w:r>
      <w:r>
        <w:rPr>
          <w:rFonts w:ascii="Arial" w:cs="Arial" w:eastAsia="Arial" w:hAnsi="Arial"/>
          <w:sz w:val="20"/>
          <w:szCs w:val="20"/>
          <w:color w:val="auto"/>
        </w:rPr>
        <w:t xml:space="preserve">” refers to the Land set forth on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hereto and any other Leased Property pertaining to the Bluegrass Downs Facility.</w:t>
      </w:r>
    </w:p>
    <w:p>
      <w:pPr>
        <w:spacing w:after="0" w:line="169" w:lineRule="exact"/>
        <w:rPr>
          <w:rFonts w:ascii="Arial" w:cs="Arial" w:eastAsia="Arial" w:hAnsi="Arial"/>
          <w:sz w:val="20"/>
          <w:szCs w:val="20"/>
          <w:color w:val="auto"/>
        </w:rPr>
      </w:pPr>
    </w:p>
    <w:p>
      <w:pPr>
        <w:jc w:val="both"/>
        <w:ind w:left="660" w:hanging="329"/>
        <w:spacing w:after="0" w:line="252" w:lineRule="auto"/>
        <w:tabs>
          <w:tab w:leader="none" w:pos="65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Bluegrass Downs Facility from the Lease or otherwise as a result of the Bluegrass Downs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08" w:name="page109"/>
    <w:bookmarkEnd w:id="108"/>
    <w:p>
      <w:pPr>
        <w:jc w:val="both"/>
        <w:ind w:left="329" w:hanging="329"/>
        <w:spacing w:after="0" w:line="290" w:lineRule="auto"/>
        <w:tabs>
          <w:tab w:leader="none" w:pos="32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Variable Rent</w:t>
      </w:r>
      <w:r>
        <w:rPr>
          <w:rFonts w:ascii="Arial" w:cs="Arial" w:eastAsia="Arial" w:hAnsi="Arial"/>
          <w:sz w:val="20"/>
          <w:szCs w:val="20"/>
          <w:color w:val="auto"/>
        </w:rPr>
        <w:t>. From and after the Bluegrass Downs Severance Date, for purposes of any calculation of Variable Rent under the Lease, including any adjustments in Variable Rent based on increases or decreases in Net Revenue, such calculations of Net Revenue shall exclude Net Revenue attributable to the Bluegrass Downs Facility.</w:t>
      </w:r>
    </w:p>
    <w:p>
      <w:pPr>
        <w:spacing w:after="0" w:line="149" w:lineRule="exact"/>
        <w:rPr>
          <w:rFonts w:ascii="Arial" w:cs="Arial" w:eastAsia="Arial" w:hAnsi="Arial"/>
          <w:sz w:val="20"/>
          <w:szCs w:val="20"/>
          <w:color w:val="auto"/>
        </w:rPr>
      </w:pPr>
    </w:p>
    <w:p>
      <w:pPr>
        <w:ind w:left="309" w:hanging="309"/>
        <w:spacing w:after="0"/>
        <w:tabs>
          <w:tab w:leader="none" w:pos="309"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Bluegrass Downs Transaction</w:t>
      </w:r>
      <w:r>
        <w:rPr>
          <w:rFonts w:ascii="Arial" w:cs="Arial" w:eastAsia="Arial" w:hAnsi="Arial"/>
          <w:sz w:val="22"/>
          <w:szCs w:val="22"/>
          <w:color w:val="auto"/>
        </w:rPr>
        <w:t>.</w:t>
      </w:r>
    </w:p>
    <w:p>
      <w:pPr>
        <w:spacing w:after="0" w:line="218" w:lineRule="exact"/>
        <w:rPr>
          <w:rFonts w:ascii="Arial" w:cs="Arial" w:eastAsia="Arial" w:hAnsi="Arial"/>
          <w:sz w:val="22"/>
          <w:szCs w:val="22"/>
          <w:color w:val="auto"/>
        </w:rPr>
      </w:pPr>
    </w:p>
    <w:p>
      <w:pPr>
        <w:jc w:val="both"/>
        <w:ind w:left="969" w:hanging="323"/>
        <w:spacing w:after="0" w:line="282" w:lineRule="auto"/>
        <w:tabs>
          <w:tab w:leader="none" w:pos="962" w:val="left"/>
        </w:tabs>
        <w:numPr>
          <w:ilvl w:val="1"/>
          <w:numId w:val="87"/>
        </w:numPr>
        <w:rPr>
          <w:rFonts w:ascii="Arial" w:cs="Arial" w:eastAsia="Arial" w:hAnsi="Arial"/>
          <w:sz w:val="20"/>
          <w:szCs w:val="20"/>
          <w:color w:val="auto"/>
        </w:rPr>
      </w:pPr>
      <w:r>
        <w:rPr>
          <w:rFonts w:ascii="Arial" w:cs="Arial" w:eastAsia="Arial" w:hAnsi="Arial"/>
          <w:sz w:val="20"/>
          <w:szCs w:val="20"/>
          <w:color w:val="auto"/>
        </w:rPr>
        <w:t xml:space="preserve">Each of Landlord and Tenant hereby acknowledge and agree that (i) such party consented to the Bluegrass Downs Transaction, including the severance of the Bluegrass Downs Leased Property from the Lease as of the Bluegrass Downs Severance Date, and (ii) the removal of the Bluegrass Downs Facility from the Lease shall not constitute a L1/L2 Transfer nor a transfer and sale pursuant to </w:t>
      </w:r>
      <w:r>
        <w:rPr>
          <w:rFonts w:ascii="Arial" w:cs="Arial" w:eastAsia="Arial" w:hAnsi="Arial"/>
          <w:sz w:val="20"/>
          <w:szCs w:val="20"/>
          <w:u w:val="single" w:color="auto"/>
          <w:color w:val="auto"/>
        </w:rPr>
        <w:t>Section 22.2(ix)</w:t>
      </w:r>
      <w:r>
        <w:rPr>
          <w:rFonts w:ascii="Arial" w:cs="Arial" w:eastAsia="Arial" w:hAnsi="Arial"/>
          <w:sz w:val="20"/>
          <w:szCs w:val="20"/>
          <w:color w:val="auto"/>
        </w:rPr>
        <w:t xml:space="preserve"> of the Lease.</w:t>
      </w:r>
    </w:p>
    <w:p>
      <w:pPr>
        <w:spacing w:after="0" w:line="158" w:lineRule="exact"/>
        <w:rPr>
          <w:rFonts w:ascii="Arial" w:cs="Arial" w:eastAsia="Arial" w:hAnsi="Arial"/>
          <w:sz w:val="20"/>
          <w:szCs w:val="20"/>
          <w:color w:val="auto"/>
        </w:rPr>
      </w:pPr>
    </w:p>
    <w:p>
      <w:pPr>
        <w:jc w:val="both"/>
        <w:ind w:left="969" w:hanging="323"/>
        <w:spacing w:after="0" w:line="252" w:lineRule="auto"/>
        <w:tabs>
          <w:tab w:leader="none" w:pos="968" w:val="left"/>
        </w:tabs>
        <w:numPr>
          <w:ilvl w:val="1"/>
          <w:numId w:val="87"/>
        </w:numPr>
        <w:rPr>
          <w:rFonts w:ascii="Arial" w:cs="Arial" w:eastAsia="Arial" w:hAnsi="Arial"/>
          <w:sz w:val="22"/>
          <w:szCs w:val="22"/>
          <w:color w:val="auto"/>
        </w:rPr>
      </w:pPr>
      <w:r>
        <w:rPr>
          <w:rFonts w:ascii="Arial" w:cs="Arial" w:eastAsia="Arial" w:hAnsi="Arial"/>
          <w:sz w:val="22"/>
          <w:szCs w:val="22"/>
          <w:color w:val="auto"/>
        </w:rPr>
        <w:t>All of the applicable requirements and conditions set forth in Article XVIII or Article XXII of the Lease with respect to the Bluegrass Downs Transaction (if, and to the extent, applicable to the Bluegrass Downs Transaction) are deemed satisfied or waived.</w:t>
      </w:r>
    </w:p>
    <w:p>
      <w:pPr>
        <w:spacing w:after="0" w:line="186" w:lineRule="exact"/>
        <w:rPr>
          <w:rFonts w:ascii="Arial" w:cs="Arial" w:eastAsia="Arial" w:hAnsi="Arial"/>
          <w:sz w:val="22"/>
          <w:szCs w:val="22"/>
          <w:color w:val="auto"/>
        </w:rPr>
      </w:pPr>
    </w:p>
    <w:p>
      <w:pPr>
        <w:jc w:val="both"/>
        <w:ind w:left="969" w:hanging="323"/>
        <w:spacing w:after="0" w:line="249" w:lineRule="auto"/>
        <w:tabs>
          <w:tab w:leader="none" w:pos="9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The amounts of the 2018 EBITDAR Pool and 2018 EBITDAR Pool Before Fifth Amendment shall not be reduced as a result of the Bluegrass Downs Facility no longer being a Facility under the Lease, and, without limitation,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Lease (setting forth the 2018 Facility EBITDAR of Tenant and Joliet Tenant) shall not be modified as a result of the Bluegrass Downs Transaction.</w:t>
      </w:r>
    </w:p>
    <w:p>
      <w:pPr>
        <w:spacing w:after="0" w:line="189" w:lineRule="exact"/>
        <w:rPr>
          <w:rFonts w:ascii="Arial" w:cs="Arial" w:eastAsia="Arial" w:hAnsi="Arial"/>
          <w:sz w:val="22"/>
          <w:szCs w:val="22"/>
          <w:color w:val="auto"/>
        </w:rPr>
      </w:pPr>
    </w:p>
    <w:p>
      <w:pPr>
        <w:ind w:left="969" w:right="20" w:hanging="323"/>
        <w:spacing w:after="0" w:line="312" w:lineRule="auto"/>
        <w:tabs>
          <w:tab w:leader="none" w:pos="948"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treatment of the Bluegrass Downs Transaction hereunder is not intended to serve as a precedent for the treatment of future dispositions (if any) which may be effectuated under any applicable provision of the Lease.</w:t>
      </w:r>
    </w:p>
    <w:p>
      <w:pPr>
        <w:spacing w:after="0" w:line="129" w:lineRule="exact"/>
        <w:rPr>
          <w:rFonts w:ascii="Arial" w:cs="Arial" w:eastAsia="Arial" w:hAnsi="Arial"/>
          <w:sz w:val="20"/>
          <w:szCs w:val="20"/>
          <w:color w:val="auto"/>
        </w:rPr>
      </w:pPr>
    </w:p>
    <w:p>
      <w:pPr>
        <w:ind w:left="329" w:hanging="329"/>
        <w:spacing w:after="0" w:line="262" w:lineRule="auto"/>
        <w:tabs>
          <w:tab w:leader="none" w:pos="32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74" w:lineRule="exact"/>
        <w:rPr>
          <w:rFonts w:ascii="Arial" w:cs="Arial" w:eastAsia="Arial" w:hAnsi="Arial"/>
          <w:sz w:val="22"/>
          <w:szCs w:val="22"/>
          <w:color w:val="auto"/>
        </w:rPr>
      </w:pPr>
    </w:p>
    <w:p>
      <w:pPr>
        <w:jc w:val="both"/>
        <w:ind w:left="969" w:hanging="323"/>
        <w:spacing w:after="0" w:line="246" w:lineRule="auto"/>
        <w:tabs>
          <w:tab w:leader="none" w:pos="962"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amended such that the Bluegrass Downs Facility is hereby deleted from said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For the avoidance of doubt, (i) the amendment effectuated by this </w:t>
      </w:r>
      <w:r>
        <w:rPr>
          <w:rFonts w:ascii="Arial" w:cs="Arial" w:eastAsia="Arial" w:hAnsi="Arial"/>
          <w:sz w:val="22"/>
          <w:szCs w:val="22"/>
          <w:u w:val="single" w:color="auto"/>
          <w:color w:val="auto"/>
        </w:rPr>
        <w:t>Section 2.E.i.</w:t>
      </w:r>
      <w:r>
        <w:rPr>
          <w:rFonts w:ascii="Arial" w:cs="Arial" w:eastAsia="Arial" w:hAnsi="Arial"/>
          <w:sz w:val="22"/>
          <w:szCs w:val="22"/>
          <w:color w:val="auto"/>
        </w:rPr>
        <w:t xml:space="preserve"> shall be made with respect to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prior to giving effect to the replacement of said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3.K.i.</w:t>
      </w:r>
      <w:r>
        <w:rPr>
          <w:rFonts w:ascii="Arial" w:cs="Arial" w:eastAsia="Arial" w:hAnsi="Arial"/>
          <w:sz w:val="22"/>
          <w:szCs w:val="22"/>
          <w:color w:val="auto"/>
        </w:rPr>
        <w:t xml:space="preserve"> of this Amendment and (ii)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reflects the amendment effectuated by this </w:t>
      </w:r>
      <w:r>
        <w:rPr>
          <w:rFonts w:ascii="Arial" w:cs="Arial" w:eastAsia="Arial" w:hAnsi="Arial"/>
          <w:sz w:val="22"/>
          <w:szCs w:val="22"/>
          <w:u w:val="single" w:color="auto"/>
          <w:color w:val="auto"/>
        </w:rPr>
        <w:t>Section 2.E.i.</w:t>
      </w:r>
    </w:p>
    <w:p>
      <w:pPr>
        <w:spacing w:after="0" w:line="195" w:lineRule="exact"/>
        <w:rPr>
          <w:rFonts w:ascii="Arial" w:cs="Arial" w:eastAsia="Arial" w:hAnsi="Arial"/>
          <w:sz w:val="22"/>
          <w:szCs w:val="22"/>
          <w:color w:val="auto"/>
        </w:rPr>
      </w:pPr>
    </w:p>
    <w:p>
      <w:pPr>
        <w:jc w:val="both"/>
        <w:ind w:left="969" w:hanging="323"/>
        <w:spacing w:after="0" w:line="290" w:lineRule="auto"/>
        <w:tabs>
          <w:tab w:leader="none" w:pos="968"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Legal Description</w:t>
      </w:r>
      <w:r>
        <w:rPr>
          <w:rFonts w:ascii="Arial" w:cs="Arial" w:eastAsia="Arial" w:hAnsi="Arial"/>
          <w:sz w:val="20"/>
          <w:szCs w:val="20"/>
          <w:color w:val="auto"/>
        </w:rPr>
        <w:t xml:space="preserve">. The legal descriptions with respect to the Leased Property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annexed to the Lease are hereby amended such that the legal description with respect to the Leased Property pertaining to the Bluegrass Downs Facility, as set forth on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attached hereto, is hereby deleted from said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9"/>
          </w:cols>
          <w:pgMar w:left="651" w:top="1424" w:right="339" w:bottom="1440" w:gutter="0" w:footer="0" w:header="0"/>
        </w:sectPr>
      </w:pPr>
    </w:p>
    <w:bookmarkStart w:id="109" w:name="page110"/>
    <w:bookmarkEnd w:id="109"/>
    <w:p>
      <w:pPr>
        <w:jc w:val="both"/>
        <w:ind w:left="960" w:hanging="323"/>
        <w:spacing w:after="0" w:line="249" w:lineRule="auto"/>
        <w:tabs>
          <w:tab w:leader="none" w:pos="951" w:val="left"/>
        </w:tabs>
        <w:numPr>
          <w:ilvl w:val="2"/>
          <w:numId w:val="88"/>
        </w:numPr>
        <w:rPr>
          <w:rFonts w:ascii="Arial" w:cs="Arial" w:eastAsia="Arial" w:hAnsi="Arial"/>
          <w:sz w:val="22"/>
          <w:szCs w:val="22"/>
          <w:color w:val="auto"/>
        </w:rPr>
      </w:pPr>
      <w:r>
        <w:rPr>
          <w:rFonts w:ascii="Arial" w:cs="Arial" w:eastAsia="Arial" w:hAnsi="Arial"/>
          <w:sz w:val="22"/>
          <w:szCs w:val="22"/>
          <w:u w:val="single" w:color="auto"/>
          <w:color w:val="auto"/>
        </w:rPr>
        <w:t>Ground Leased Property</w:t>
      </w:r>
      <w:r>
        <w:rPr>
          <w:rFonts w:ascii="Arial" w:cs="Arial" w:eastAsia="Arial" w:hAnsi="Arial"/>
          <w:sz w:val="22"/>
          <w:szCs w:val="22"/>
          <w:color w:val="auto"/>
        </w:rPr>
        <w:t xml:space="preserve">. The legal descriptions with respect to the Ground Leased Property set forth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annexed to the Lease are hereby amended such that the legal description with respect to the Ground Leased Property pertaining to the Bluegrass Downs Facility, as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jc w:val="both"/>
        <w:ind w:left="960" w:hanging="323"/>
        <w:spacing w:after="0" w:line="252" w:lineRule="auto"/>
        <w:tabs>
          <w:tab w:leader="none" w:pos="939" w:val="left"/>
        </w:tabs>
        <w:numPr>
          <w:ilvl w:val="2"/>
          <w:numId w:val="88"/>
        </w:numPr>
        <w:rPr>
          <w:rFonts w:ascii="Arial" w:cs="Arial" w:eastAsia="Arial" w:hAnsi="Arial"/>
          <w:sz w:val="22"/>
          <w:szCs w:val="22"/>
          <w:color w:val="auto"/>
        </w:rPr>
      </w:pPr>
      <w:r>
        <w:rPr>
          <w:rFonts w:ascii="Arial" w:cs="Arial" w:eastAsia="Arial" w:hAnsi="Arial"/>
          <w:sz w:val="22"/>
          <w:szCs w:val="22"/>
          <w:u w:val="single" w:color="auto"/>
          <w:color w:val="auto"/>
        </w:rPr>
        <w:t>Description of Title Policies</w:t>
      </w:r>
      <w:r>
        <w:rPr>
          <w:rFonts w:ascii="Arial" w:cs="Arial" w:eastAsia="Arial" w:hAnsi="Arial"/>
          <w:sz w:val="22"/>
          <w:szCs w:val="22"/>
          <w:color w:val="auto"/>
        </w:rPr>
        <w:t xml:space="preserve">. The list of Title Policies set forth on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to the Lease is hereby amended such that the reference thereon to the Title Policy relating solely to the Bluegrass Downs Facility is hereby deleted from said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960" w:hanging="323"/>
        <w:spacing w:after="0" w:line="262" w:lineRule="auto"/>
        <w:tabs>
          <w:tab w:leader="none" w:pos="946" w:val="left"/>
        </w:tabs>
        <w:numPr>
          <w:ilvl w:val="2"/>
          <w:numId w:val="88"/>
        </w:numPr>
        <w:rPr>
          <w:rFonts w:ascii="Arial" w:cs="Arial" w:eastAsia="Arial" w:hAnsi="Arial"/>
          <w:sz w:val="22"/>
          <w:szCs w:val="22"/>
          <w:color w:val="auto"/>
        </w:rPr>
      </w:pPr>
      <w:r>
        <w:rPr>
          <w:rFonts w:ascii="Arial" w:cs="Arial" w:eastAsia="Arial" w:hAnsi="Arial"/>
          <w:sz w:val="22"/>
          <w:szCs w:val="22"/>
          <w:u w:val="single" w:color="auto"/>
          <w:color w:val="auto"/>
        </w:rPr>
        <w:t>Brands</w:t>
      </w:r>
      <w:r>
        <w:rPr>
          <w:rFonts w:ascii="Arial" w:cs="Arial" w:eastAsia="Arial" w:hAnsi="Arial"/>
          <w:sz w:val="22"/>
          <w:szCs w:val="22"/>
          <w:color w:val="auto"/>
        </w:rPr>
        <w:t xml:space="preserve">. The list of Brands set forth on </w:t>
      </w:r>
      <w:r>
        <w:rPr>
          <w:rFonts w:ascii="Arial" w:cs="Arial" w:eastAsia="Arial" w:hAnsi="Arial"/>
          <w:sz w:val="22"/>
          <w:szCs w:val="22"/>
          <w:u w:val="single" w:color="auto"/>
          <w:color w:val="auto"/>
        </w:rPr>
        <w:t>Exhibit M</w:t>
      </w:r>
      <w:r>
        <w:rPr>
          <w:rFonts w:ascii="Arial" w:cs="Arial" w:eastAsia="Arial" w:hAnsi="Arial"/>
          <w:sz w:val="22"/>
          <w:szCs w:val="22"/>
          <w:color w:val="auto"/>
        </w:rPr>
        <w:t xml:space="preserve"> annexed to the Lease is hereby amended such that “Bluegrass Downs” is hereby deleted from said </w:t>
      </w:r>
      <w:r>
        <w:rPr>
          <w:rFonts w:ascii="Arial" w:cs="Arial" w:eastAsia="Arial" w:hAnsi="Arial"/>
          <w:sz w:val="22"/>
          <w:szCs w:val="22"/>
          <w:u w:val="single" w:color="auto"/>
          <w:color w:val="auto"/>
        </w:rPr>
        <w:t>Exhibit M</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960" w:hanging="323"/>
        <w:spacing w:after="0" w:line="262" w:lineRule="auto"/>
        <w:tabs>
          <w:tab w:leader="none" w:pos="953" w:val="left"/>
        </w:tabs>
        <w:numPr>
          <w:ilvl w:val="2"/>
          <w:numId w:val="88"/>
        </w:numPr>
        <w:rPr>
          <w:rFonts w:ascii="Arial" w:cs="Arial" w:eastAsia="Arial" w:hAnsi="Arial"/>
          <w:sz w:val="22"/>
          <w:szCs w:val="22"/>
          <w:color w:val="auto"/>
        </w:rPr>
      </w:pPr>
      <w:r>
        <w:rPr>
          <w:rFonts w:ascii="Arial" w:cs="Arial" w:eastAsia="Arial" w:hAnsi="Arial"/>
          <w:sz w:val="22"/>
          <w:szCs w:val="22"/>
          <w:u w:val="single" w:color="auto"/>
          <w:color w:val="auto"/>
        </w:rPr>
        <w:t>Managed Facilities IP Trademarks</w:t>
      </w:r>
      <w:r>
        <w:rPr>
          <w:rFonts w:ascii="Arial" w:cs="Arial" w:eastAsia="Arial" w:hAnsi="Arial"/>
          <w:sz w:val="22"/>
          <w:szCs w:val="22"/>
          <w:color w:val="auto"/>
        </w:rPr>
        <w:t xml:space="preserve">. The list of Managed Facilities IP set forth on </w:t>
      </w:r>
      <w:r>
        <w:rPr>
          <w:rFonts w:ascii="Arial" w:cs="Arial" w:eastAsia="Arial" w:hAnsi="Arial"/>
          <w:sz w:val="22"/>
          <w:szCs w:val="22"/>
          <w:u w:val="single" w:color="auto"/>
          <w:color w:val="auto"/>
        </w:rPr>
        <w:t>Exhibit P</w:t>
      </w:r>
      <w:r>
        <w:rPr>
          <w:rFonts w:ascii="Arial" w:cs="Arial" w:eastAsia="Arial" w:hAnsi="Arial"/>
          <w:sz w:val="22"/>
          <w:szCs w:val="22"/>
          <w:color w:val="auto"/>
        </w:rPr>
        <w:t xml:space="preserve"> annexed to the Lease is hereby amended such that “Bluegrass Downs” is hereby deleted from said </w:t>
      </w:r>
      <w:r>
        <w:rPr>
          <w:rFonts w:ascii="Arial" w:cs="Arial" w:eastAsia="Arial" w:hAnsi="Arial"/>
          <w:sz w:val="22"/>
          <w:szCs w:val="22"/>
          <w:u w:val="single" w:color="auto"/>
          <w:color w:val="auto"/>
        </w:rPr>
        <w:t>Exhibit P</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960" w:hanging="323"/>
        <w:spacing w:after="0" w:line="249" w:lineRule="auto"/>
        <w:tabs>
          <w:tab w:leader="none" w:pos="959" w:val="left"/>
        </w:tabs>
        <w:numPr>
          <w:ilvl w:val="2"/>
          <w:numId w:val="88"/>
        </w:numPr>
        <w:rPr>
          <w:rFonts w:ascii="Arial" w:cs="Arial" w:eastAsia="Arial" w:hAnsi="Arial"/>
          <w:sz w:val="22"/>
          <w:szCs w:val="22"/>
          <w:color w:val="auto"/>
        </w:rPr>
      </w:pPr>
      <w:r>
        <w:rPr>
          <w:rFonts w:ascii="Arial" w:cs="Arial" w:eastAsia="Arial" w:hAnsi="Arial"/>
          <w:sz w:val="22"/>
          <w:szCs w:val="22"/>
          <w:u w:val="single" w:color="auto"/>
          <w:color w:val="auto"/>
        </w:rPr>
        <w:t>Landlord Entities</w:t>
      </w:r>
      <w:r>
        <w:rPr>
          <w:rFonts w:ascii="Arial" w:cs="Arial" w:eastAsia="Arial" w:hAnsi="Arial"/>
          <w:sz w:val="22"/>
          <w:szCs w:val="22"/>
          <w:color w:val="auto"/>
        </w:rPr>
        <w:t xml:space="preserve">. The list of entities comprising Landlord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annexed to the Lease shall be amended such that, from and after the Bluegrass Downs Severance Date, Bluegrass Downs Property Owner LLC shall be deleted from said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and Bluegrass Downs Property Owner LLC shall no longer be a Landlord under the Lease.</w:t>
      </w:r>
    </w:p>
    <w:p>
      <w:pPr>
        <w:spacing w:after="0" w:line="189" w:lineRule="exact"/>
        <w:rPr>
          <w:rFonts w:ascii="Arial" w:cs="Arial" w:eastAsia="Arial" w:hAnsi="Arial"/>
          <w:sz w:val="22"/>
          <w:szCs w:val="22"/>
          <w:color w:val="auto"/>
        </w:rPr>
      </w:pPr>
    </w:p>
    <w:p>
      <w:pPr>
        <w:jc w:val="both"/>
        <w:ind w:left="960" w:hanging="323"/>
        <w:spacing w:after="0" w:line="311" w:lineRule="auto"/>
        <w:tabs>
          <w:tab w:leader="none" w:pos="1598" w:val="left"/>
        </w:tabs>
        <w:numPr>
          <w:ilvl w:val="2"/>
          <w:numId w:val="88"/>
        </w:numPr>
        <w:rPr>
          <w:rFonts w:ascii="Arial" w:cs="Arial" w:eastAsia="Arial" w:hAnsi="Arial"/>
          <w:sz w:val="19"/>
          <w:szCs w:val="19"/>
          <w:color w:val="auto"/>
        </w:rPr>
      </w:pPr>
      <w:r>
        <w:rPr>
          <w:rFonts w:ascii="Arial" w:cs="Arial" w:eastAsia="Arial" w:hAnsi="Arial"/>
          <w:sz w:val="19"/>
          <w:szCs w:val="19"/>
          <w:u w:val="single" w:color="auto"/>
          <w:color w:val="auto"/>
        </w:rPr>
        <w:t>Tenant Entities</w:t>
      </w:r>
      <w:r>
        <w:rPr>
          <w:rFonts w:ascii="Arial" w:cs="Arial" w:eastAsia="Arial" w:hAnsi="Arial"/>
          <w:sz w:val="19"/>
          <w:szCs w:val="19"/>
          <w:color w:val="auto"/>
        </w:rPr>
        <w:t xml:space="preserve">. The list of entities comprising Tenant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annexed to the Lease shall be amended such that, from and after the Bluegrass Downs Severance Date, Players Bluegrass Downs LLC shall be deleted from said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and Players Bluegrass Downs LLC shall no longer be a Tenant under the Lease.</w:t>
      </w:r>
    </w:p>
    <w:p>
      <w:pPr>
        <w:spacing w:after="0" w:line="133" w:lineRule="exact"/>
        <w:rPr>
          <w:rFonts w:ascii="Arial" w:cs="Arial" w:eastAsia="Arial" w:hAnsi="Arial"/>
          <w:sz w:val="19"/>
          <w:szCs w:val="19"/>
          <w:color w:val="auto"/>
        </w:rPr>
      </w:pPr>
    </w:p>
    <w:p>
      <w:pPr>
        <w:jc w:val="both"/>
        <w:ind w:left="960" w:hanging="323"/>
        <w:spacing w:after="0" w:line="252" w:lineRule="auto"/>
        <w:tabs>
          <w:tab w:leader="none" w:pos="953" w:val="left"/>
        </w:tabs>
        <w:numPr>
          <w:ilvl w:val="2"/>
          <w:numId w:val="88"/>
        </w:numPr>
        <w:rPr>
          <w:rFonts w:ascii="Arial" w:cs="Arial" w:eastAsia="Arial" w:hAnsi="Arial"/>
          <w:sz w:val="22"/>
          <w:szCs w:val="22"/>
          <w:color w:val="auto"/>
        </w:rPr>
      </w:pPr>
      <w:r>
        <w:rPr>
          <w:rFonts w:ascii="Arial" w:cs="Arial" w:eastAsia="Arial" w:hAnsi="Arial"/>
          <w:sz w:val="22"/>
          <w:szCs w:val="22"/>
          <w:u w:val="single" w:color="auto"/>
          <w:color w:val="auto"/>
        </w:rPr>
        <w:t>Ground Leases</w:t>
      </w:r>
      <w:r>
        <w:rPr>
          <w:rFonts w:ascii="Arial" w:cs="Arial" w:eastAsia="Arial" w:hAnsi="Arial"/>
          <w:sz w:val="22"/>
          <w:szCs w:val="22"/>
          <w:color w:val="auto"/>
        </w:rPr>
        <w:t xml:space="preserve">. The list of Ground Leases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annexed to the Lease is hereby amended such that the Ground Leases pertaining to the Bluegrass Downs Facility, as set forth on </w:t>
      </w:r>
      <w:r>
        <w:rPr>
          <w:rFonts w:ascii="Arial" w:cs="Arial" w:eastAsia="Arial" w:hAnsi="Arial"/>
          <w:sz w:val="22"/>
          <w:szCs w:val="22"/>
          <w:u w:val="single" w:color="auto"/>
          <w:color w:val="auto"/>
        </w:rPr>
        <w:t>Annex D</w:t>
      </w:r>
      <w:r>
        <w:rPr>
          <w:rFonts w:ascii="Arial" w:cs="Arial" w:eastAsia="Arial" w:hAnsi="Arial"/>
          <w:sz w:val="22"/>
          <w:szCs w:val="22"/>
          <w:color w:val="auto"/>
        </w:rPr>
        <w:t xml:space="preserve"> attached hereto, are hereby deleted from said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ind w:left="960" w:hanging="646"/>
        <w:spacing w:after="0"/>
        <w:tabs>
          <w:tab w:leader="none" w:pos="960" w:val="left"/>
        </w:tabs>
        <w:numPr>
          <w:ilvl w:val="1"/>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 for Southern Indiana Transaction</w:t>
      </w:r>
      <w:r>
        <w:rPr>
          <w:rFonts w:ascii="Arial" w:cs="Arial" w:eastAsia="Arial" w:hAnsi="Arial"/>
          <w:sz w:val="22"/>
          <w:szCs w:val="22"/>
          <w:color w:val="auto"/>
        </w:rPr>
        <w:t>.</w:t>
      </w:r>
    </w:p>
    <w:p>
      <w:pPr>
        <w:spacing w:after="0" w:line="210"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Termination of the Lease as to the Southern Indiana Facility</w:t>
      </w:r>
      <w:r>
        <w:rPr>
          <w:rFonts w:ascii="Arial" w:cs="Arial" w:eastAsia="Arial" w:hAnsi="Arial"/>
          <w:sz w:val="22"/>
          <w:szCs w:val="22"/>
          <w:color w:val="auto"/>
        </w:rPr>
        <w:t>. Effective as of the date hereof:</w:t>
      </w:r>
    </w:p>
    <w:p>
      <w:pPr>
        <w:spacing w:after="0" w:line="204" w:lineRule="exact"/>
        <w:rPr>
          <w:rFonts w:ascii="Arial" w:cs="Arial" w:eastAsia="Arial" w:hAnsi="Arial"/>
          <w:sz w:val="22"/>
          <w:szCs w:val="22"/>
          <w:color w:val="auto"/>
        </w:rPr>
      </w:pPr>
    </w:p>
    <w:p>
      <w:pPr>
        <w:jc w:val="both"/>
        <w:ind w:left="960" w:right="40" w:hanging="323"/>
        <w:spacing w:after="0" w:line="235" w:lineRule="auto"/>
        <w:tabs>
          <w:tab w:leader="none" w:pos="953" w:val="left"/>
        </w:tabs>
        <w:numPr>
          <w:ilvl w:val="2"/>
          <w:numId w:val="89"/>
        </w:numPr>
        <w:rPr>
          <w:rFonts w:ascii="Arial" w:cs="Arial" w:eastAsia="Arial" w:hAnsi="Arial"/>
          <w:sz w:val="22"/>
          <w:szCs w:val="22"/>
          <w:color w:val="auto"/>
        </w:rPr>
      </w:pPr>
      <w:r>
        <w:rPr>
          <w:rFonts w:ascii="Arial" w:cs="Arial" w:eastAsia="Arial" w:hAnsi="Arial"/>
          <w:sz w:val="22"/>
          <w:szCs w:val="22"/>
          <w:color w:val="auto"/>
        </w:rPr>
        <w:t xml:space="preserve">the Lease is hereby terminated with respect to the Southern Indiana Leased Property, the Southern Indiana Leased Property no longer constitutes Leased Property under the Lease, and neither Landlord nor Tenant has any further liabilities or obligations under the Lease, from and after the date of this Amendment, in respect of the Southern Indiana Facility and the Southern Indiana Leased Property (provided that, subject to </w:t>
      </w:r>
      <w:r>
        <w:rPr>
          <w:rFonts w:ascii="Arial" w:cs="Arial" w:eastAsia="Arial" w:hAnsi="Arial"/>
          <w:sz w:val="22"/>
          <w:szCs w:val="22"/>
          <w:u w:val="single" w:color="auto"/>
          <w:color w:val="auto"/>
        </w:rPr>
        <w:t>Sections 3.A.v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3.A.vi</w:t>
      </w:r>
      <w:r>
        <w:rPr>
          <w:rFonts w:ascii="Arial" w:cs="Arial" w:eastAsia="Arial" w:hAnsi="Arial"/>
          <w:sz w:val="22"/>
          <w:szCs w:val="22"/>
          <w:color w:val="auto"/>
        </w:rPr>
        <w: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00"/>
          </w:cols>
          <w:pgMar w:left="660" w:top="1424" w:right="339" w:bottom="1440" w:gutter="0" w:footer="0" w:header="0"/>
        </w:sectPr>
      </w:pPr>
    </w:p>
    <w:bookmarkStart w:id="110" w:name="page111"/>
    <w:bookmarkEnd w:id="110"/>
    <w:p>
      <w:pPr>
        <w:ind w:left="323"/>
        <w:spacing w:after="0" w:line="249" w:lineRule="auto"/>
        <w:rPr>
          <w:sz w:val="20"/>
          <w:szCs w:val="20"/>
          <w:color w:val="auto"/>
        </w:rPr>
      </w:pPr>
      <w:r>
        <w:rPr>
          <w:rFonts w:ascii="Arial" w:cs="Arial" w:eastAsia="Arial" w:hAnsi="Arial"/>
          <w:sz w:val="22"/>
          <w:szCs w:val="22"/>
          <w:color w:val="auto"/>
        </w:rPr>
        <w:t>liabilities or obligations arising prior to such date shall not be terminated, limited or affected by or upon entry into this Amendment);</w:t>
      </w:r>
    </w:p>
    <w:p>
      <w:pPr>
        <w:spacing w:after="0" w:line="175" w:lineRule="exact"/>
        <w:rPr>
          <w:sz w:val="20"/>
          <w:szCs w:val="20"/>
          <w:color w:val="auto"/>
        </w:rPr>
      </w:pPr>
    </w:p>
    <w:p>
      <w:pPr>
        <w:jc w:val="both"/>
        <w:ind w:left="323" w:hanging="323"/>
        <w:spacing w:after="0" w:line="235" w:lineRule="auto"/>
        <w:tabs>
          <w:tab w:leader="none" w:pos="321"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the Guaranty hereby automatically, and without further action by any party, ceases to apply with respect to any Obligations with respect to the Southern Indiana Facility or the Southern Indiana Leased Property to the extent arising from and after the date of this Amendment (provided that, subject to </w:t>
      </w:r>
      <w:r>
        <w:rPr>
          <w:rFonts w:ascii="Arial" w:cs="Arial" w:eastAsia="Arial" w:hAnsi="Arial"/>
          <w:sz w:val="22"/>
          <w:szCs w:val="22"/>
          <w:u w:val="single" w:color="auto"/>
          <w:color w:val="auto"/>
        </w:rPr>
        <w:t>Sections 3.A.v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3.A.vi.</w:t>
      </w:r>
      <w:r>
        <w:rPr>
          <w:rFonts w:ascii="Arial" w:cs="Arial" w:eastAsia="Arial" w:hAnsi="Arial"/>
          <w:sz w:val="22"/>
          <w:szCs w:val="22"/>
          <w:color w:val="auto"/>
        </w:rPr>
        <w:t>, any such Obligations arising prior to such date shall not be terminated, limited or affected by or upon entry into this Amendment);</w:t>
      </w:r>
    </w:p>
    <w:p>
      <w:pPr>
        <w:spacing w:after="0" w:line="189" w:lineRule="exact"/>
        <w:rPr>
          <w:rFonts w:ascii="Arial" w:cs="Arial" w:eastAsia="Arial" w:hAnsi="Arial"/>
          <w:sz w:val="22"/>
          <w:szCs w:val="22"/>
          <w:color w:val="auto"/>
        </w:rPr>
      </w:pPr>
    </w:p>
    <w:p>
      <w:pPr>
        <w:ind w:left="323" w:hanging="323"/>
        <w:spacing w:after="0" w:line="249" w:lineRule="auto"/>
        <w:tabs>
          <w:tab w:leader="none" w:pos="314"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by deleting the following words from the definition of “Continuous Operation Facilities” in their entirety: “Horseshoe Southern Indiana,”;</w:t>
      </w:r>
    </w:p>
    <w:p>
      <w:pPr>
        <w:spacing w:after="0" w:line="175" w:lineRule="exact"/>
        <w:rPr>
          <w:rFonts w:ascii="Arial" w:cs="Arial" w:eastAsia="Arial" w:hAnsi="Arial"/>
          <w:sz w:val="22"/>
          <w:szCs w:val="22"/>
          <w:color w:val="auto"/>
        </w:rPr>
      </w:pPr>
    </w:p>
    <w:p>
      <w:pPr>
        <w:jc w:val="both"/>
        <w:ind w:left="323" w:hanging="323"/>
        <w:spacing w:after="0" w:line="268" w:lineRule="auto"/>
        <w:tabs>
          <w:tab w:leader="none" w:pos="301"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Southern Indiana Facility</w:t>
      </w:r>
      <w:r>
        <w:rPr>
          <w:rFonts w:ascii="Arial" w:cs="Arial" w:eastAsia="Arial" w:hAnsi="Arial"/>
          <w:sz w:val="20"/>
          <w:szCs w:val="20"/>
          <w:color w:val="auto"/>
        </w:rPr>
        <w:t xml:space="preserve">” refers to the applicable Facility identified as Facility 4 on the list of the Facilities annexed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Lease (prior to giving effect to the replacement of said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pursuant to </w:t>
      </w:r>
      <w:r>
        <w:rPr>
          <w:rFonts w:ascii="Arial" w:cs="Arial" w:eastAsia="Arial" w:hAnsi="Arial"/>
          <w:sz w:val="20"/>
          <w:szCs w:val="20"/>
          <w:u w:val="single" w:color="auto"/>
          <w:color w:val="auto"/>
        </w:rPr>
        <w:t>Section 3.K.i.</w:t>
      </w:r>
      <w:r>
        <w:rPr>
          <w:rFonts w:ascii="Arial" w:cs="Arial" w:eastAsia="Arial" w:hAnsi="Arial"/>
          <w:sz w:val="20"/>
          <w:szCs w:val="20"/>
          <w:color w:val="auto"/>
        </w:rPr>
        <w:t xml:space="preserve"> of this Amendment). The term “</w:t>
      </w:r>
      <w:r>
        <w:rPr>
          <w:rFonts w:ascii="Arial" w:cs="Arial" w:eastAsia="Arial" w:hAnsi="Arial"/>
          <w:sz w:val="20"/>
          <w:szCs w:val="20"/>
          <w:u w:val="single" w:color="auto"/>
          <w:color w:val="auto"/>
        </w:rPr>
        <w:t>Southern Indiana Leased Property</w:t>
      </w:r>
      <w:r>
        <w:rPr>
          <w:rFonts w:ascii="Arial" w:cs="Arial" w:eastAsia="Arial" w:hAnsi="Arial"/>
          <w:sz w:val="20"/>
          <w:szCs w:val="20"/>
          <w:color w:val="auto"/>
        </w:rPr>
        <w:t xml:space="preserve">” refers to the Land set forth on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 and any other Leased Property pertaining to the Southern Indiana Facility;</w:t>
      </w:r>
    </w:p>
    <w:p>
      <w:pPr>
        <w:spacing w:after="0" w:line="157" w:lineRule="exact"/>
        <w:rPr>
          <w:rFonts w:ascii="Arial" w:cs="Arial" w:eastAsia="Arial" w:hAnsi="Arial"/>
          <w:sz w:val="20"/>
          <w:szCs w:val="20"/>
          <w:color w:val="auto"/>
        </w:rPr>
      </w:pPr>
    </w:p>
    <w:p>
      <w:pPr>
        <w:jc w:val="both"/>
        <w:ind w:left="323" w:hanging="323"/>
        <w:spacing w:after="0" w:line="234" w:lineRule="auto"/>
        <w:tabs>
          <w:tab w:leader="none" w:pos="309"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(x) Operator hereby assigns to CEOC, LLC, and CEOC, LLC hereby assumes from Operator, (1) all of Operator’s rights, title and interest in respect of, or arising under, the Lease, whenever arising and (2) all of the Operator’s duties, obligations and liabilities in respect of, or arising under, the Lease, whenever arising (the matters set forth in this </w:t>
      </w:r>
      <w:r>
        <w:rPr>
          <w:rFonts w:ascii="Arial" w:cs="Arial" w:eastAsia="Arial" w:hAnsi="Arial"/>
          <w:sz w:val="22"/>
          <w:szCs w:val="22"/>
          <w:u w:val="single" w:color="auto"/>
          <w:color w:val="auto"/>
        </w:rPr>
        <w:t>clause (2)</w:t>
      </w:r>
      <w:r>
        <w:rPr>
          <w:rFonts w:ascii="Arial" w:cs="Arial" w:eastAsia="Arial" w:hAnsi="Arial"/>
          <w:sz w:val="22"/>
          <w:szCs w:val="22"/>
          <w:color w:val="auto"/>
        </w:rPr>
        <w:t>, collectively, the “</w:t>
      </w:r>
      <w:r>
        <w:rPr>
          <w:rFonts w:ascii="Arial" w:cs="Arial" w:eastAsia="Arial" w:hAnsi="Arial"/>
          <w:sz w:val="22"/>
          <w:szCs w:val="22"/>
          <w:u w:val="single" w:color="auto"/>
          <w:color w:val="auto"/>
        </w:rPr>
        <w:t>Operator Liabilities</w:t>
      </w:r>
      <w:r>
        <w:rPr>
          <w:rFonts w:ascii="Arial" w:cs="Arial" w:eastAsia="Arial" w:hAnsi="Arial"/>
          <w:sz w:val="22"/>
          <w:szCs w:val="22"/>
          <w:color w:val="auto"/>
        </w:rPr>
        <w:t xml:space="preserve">”) and (y) Landlord hereby consents to the foregoing assignment and assumption (provided CEOC, LLC shall not further assign the Operator Liabilities to any other Person, provided, the foregoing is not intended to and shall not restrict any transfers permitted under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of the Lease); and</w:t>
      </w:r>
    </w:p>
    <w:p>
      <w:pPr>
        <w:spacing w:after="0" w:line="185" w:lineRule="exact"/>
        <w:rPr>
          <w:rFonts w:ascii="Arial" w:cs="Arial" w:eastAsia="Arial" w:hAnsi="Arial"/>
          <w:sz w:val="22"/>
          <w:szCs w:val="22"/>
          <w:color w:val="auto"/>
        </w:rPr>
      </w:pPr>
    </w:p>
    <w:p>
      <w:pPr>
        <w:jc w:val="both"/>
        <w:ind w:left="323" w:hanging="323"/>
        <w:spacing w:after="0" w:line="257" w:lineRule="auto"/>
        <w:tabs>
          <w:tab w:leader="none" w:pos="315"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effective (1) immediately after giving effect to the assignment and assumption provided for in the immediately preceding </w:t>
      </w:r>
      <w:r>
        <w:rPr>
          <w:rFonts w:ascii="Arial" w:cs="Arial" w:eastAsia="Arial" w:hAnsi="Arial"/>
          <w:sz w:val="20"/>
          <w:szCs w:val="20"/>
          <w:u w:val="single" w:color="auto"/>
          <w:color w:val="auto"/>
        </w:rPr>
        <w:t>Section 3.A.v.</w:t>
      </w:r>
      <w:r>
        <w:rPr>
          <w:rFonts w:ascii="Arial" w:cs="Arial" w:eastAsia="Arial" w:hAnsi="Arial"/>
          <w:sz w:val="20"/>
          <w:szCs w:val="20"/>
          <w:color w:val="auto"/>
        </w:rPr>
        <w:t xml:space="preserve"> and (2) immediately prior to the effectiveness of the New Lease: (x) Landlord hereby absolutely and unconditionally releases and forever discharges Operator, to the fullest extent permitted under law, from all Operator Liabilities and any and all claims, liabilities, demands, expenses and other obligations of any kind, at law, equity or otherwise, whether past, present or future, known or unknown, actual or contingent, or direct or indirect, arising out of or relating in any manner to the Operator Liabilities; and (y) Operator (on behalf of itself, but not on behalf of any other Tenant entity) hereby absolutely and unconditionally releases and forever discharges Landlord, to the fullest extent permitted under law, from all of Landlord’s duties, obligations and liabilities (if any) in respect of, or arising under, the Lease, whenever arising (collectively, the “</w:t>
      </w:r>
      <w:r>
        <w:rPr>
          <w:rFonts w:ascii="Arial" w:cs="Arial" w:eastAsia="Arial" w:hAnsi="Arial"/>
          <w:sz w:val="20"/>
          <w:szCs w:val="20"/>
          <w:u w:val="single" w:color="auto"/>
          <w:color w:val="auto"/>
        </w:rPr>
        <w:t>Landlord</w:t>
      </w:r>
      <w:r>
        <w:rPr>
          <w:rFonts w:ascii="Arial" w:cs="Arial" w:eastAsia="Arial" w:hAnsi="Arial"/>
          <w:sz w:val="20"/>
          <w:szCs w:val="20"/>
          <w:color w:val="auto"/>
        </w:rPr>
        <w:t xml:space="preserve"> </w:t>
      </w:r>
      <w:r>
        <w:rPr>
          <w:rFonts w:ascii="Arial" w:cs="Arial" w:eastAsia="Arial" w:hAnsi="Arial"/>
          <w:sz w:val="20"/>
          <w:szCs w:val="20"/>
          <w:u w:val="single" w:color="auto"/>
          <w:color w:val="auto"/>
        </w:rPr>
        <w:t>Liabilities</w:t>
      </w:r>
      <w:r>
        <w:rPr>
          <w:rFonts w:ascii="Arial" w:cs="Arial" w:eastAsia="Arial" w:hAnsi="Arial"/>
          <w:sz w:val="20"/>
          <w:szCs w:val="20"/>
          <w:color w:val="auto"/>
        </w:rPr>
        <w:t>”) and any and all claims, liabilities, demands, expenses and other obligations of any kind, at law, equity or otherwise, whether past, present or future, known or unknown, actual or contingent, or direct or indirect, arising out of or relating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03"/>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3"/>
          </w:cols>
          <w:pgMar w:left="1297" w:top="1411" w:right="379" w:bottom="1440" w:gutter="0" w:footer="0" w:header="0"/>
        </w:sectPr>
      </w:pPr>
    </w:p>
    <w:bookmarkStart w:id="111" w:name="page112"/>
    <w:bookmarkEnd w:id="111"/>
    <w:p>
      <w:pPr>
        <w:jc w:val="both"/>
        <w:ind w:left="969"/>
        <w:spacing w:after="0" w:line="275" w:lineRule="auto"/>
        <w:rPr>
          <w:sz w:val="20"/>
          <w:szCs w:val="20"/>
          <w:color w:val="auto"/>
        </w:rPr>
      </w:pPr>
      <w:r>
        <w:rPr>
          <w:rFonts w:ascii="Arial" w:cs="Arial" w:eastAsia="Arial" w:hAnsi="Arial"/>
          <w:sz w:val="19"/>
          <w:szCs w:val="19"/>
          <w:color w:val="auto"/>
        </w:rPr>
        <w:t xml:space="preserve">any manner to the Landlord Liabilities. For the avoidance of doubt, the parties hereto acknowledge and agree that the releases contained in this </w:t>
      </w:r>
      <w:r>
        <w:rPr>
          <w:rFonts w:ascii="Arial" w:cs="Arial" w:eastAsia="Arial" w:hAnsi="Arial"/>
          <w:sz w:val="19"/>
          <w:szCs w:val="19"/>
          <w:u w:val="single" w:color="auto"/>
          <w:color w:val="auto"/>
        </w:rPr>
        <w:t>Section 3.A.vi.</w:t>
      </w:r>
      <w:r>
        <w:rPr>
          <w:rFonts w:ascii="Arial" w:cs="Arial" w:eastAsia="Arial" w:hAnsi="Arial"/>
          <w:sz w:val="19"/>
          <w:szCs w:val="19"/>
          <w:color w:val="auto"/>
        </w:rPr>
        <w:t xml:space="preserve"> are not intended to, and shall not, have any effect with respect to the rights and obligations of Operator and Landlord under the New Lease. Operator hereby represents, warrants and covenants to Landlord that it has taken all necessary action to authorize the release of Landlord as set forth in this </w:t>
      </w:r>
      <w:r>
        <w:rPr>
          <w:rFonts w:ascii="Arial" w:cs="Arial" w:eastAsia="Arial" w:hAnsi="Arial"/>
          <w:sz w:val="19"/>
          <w:szCs w:val="19"/>
          <w:u w:val="single" w:color="auto"/>
          <w:color w:val="auto"/>
        </w:rPr>
        <w:t>Section 3.A.vi.</w:t>
      </w:r>
      <w:r>
        <w:rPr>
          <w:rFonts w:ascii="Arial" w:cs="Arial" w:eastAsia="Arial" w:hAnsi="Arial"/>
          <w:sz w:val="19"/>
          <w:szCs w:val="19"/>
          <w:color w:val="auto"/>
        </w:rPr>
        <w:t xml:space="preserve">, and such release does not conflict with, or result in a breach of, any agreement or instrument by which Operator is bound. Landlord hereby represents, warrants and covenants to Operator that it has taken all necessary action to authorize the release of Operator as set forth in this </w:t>
      </w:r>
      <w:r>
        <w:rPr>
          <w:rFonts w:ascii="Arial" w:cs="Arial" w:eastAsia="Arial" w:hAnsi="Arial"/>
          <w:sz w:val="19"/>
          <w:szCs w:val="19"/>
          <w:u w:val="single" w:color="auto"/>
          <w:color w:val="auto"/>
        </w:rPr>
        <w:t>Section 3.A.vi.</w:t>
      </w:r>
      <w:r>
        <w:rPr>
          <w:rFonts w:ascii="Arial" w:cs="Arial" w:eastAsia="Arial" w:hAnsi="Arial"/>
          <w:sz w:val="19"/>
          <w:szCs w:val="19"/>
          <w:color w:val="auto"/>
        </w:rPr>
        <w:t>, and such release does not conflict with, or result in a breach of, any agreement or instrument by which Landlord is bound.</w:t>
      </w:r>
    </w:p>
    <w:p>
      <w:pPr>
        <w:spacing w:after="0" w:line="152" w:lineRule="exact"/>
        <w:rPr>
          <w:sz w:val="20"/>
          <w:szCs w:val="20"/>
          <w:color w:val="auto"/>
        </w:rPr>
      </w:pPr>
    </w:p>
    <w:p>
      <w:pPr>
        <w:ind w:left="309" w:hanging="309"/>
        <w:spacing w:after="0"/>
        <w:tabs>
          <w:tab w:leader="none" w:pos="309"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ind w:left="969" w:right="1740" w:hanging="323"/>
        <w:spacing w:after="0" w:line="447" w:lineRule="auto"/>
        <w:tabs>
          <w:tab w:leader="none" w:pos="962"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by adding the following three (3) definitions thereto: ““</w:t>
      </w:r>
      <w:r>
        <w:rPr>
          <w:rFonts w:ascii="Arial" w:cs="Arial" w:eastAsia="Arial" w:hAnsi="Arial"/>
          <w:sz w:val="22"/>
          <w:szCs w:val="22"/>
          <w:u w:val="single" w:color="auto"/>
          <w:color w:val="auto"/>
        </w:rPr>
        <w:t>Eighth Amendment Date</w:t>
      </w:r>
      <w:r>
        <w:rPr>
          <w:rFonts w:ascii="Arial" w:cs="Arial" w:eastAsia="Arial" w:hAnsi="Arial"/>
          <w:sz w:val="22"/>
          <w:szCs w:val="22"/>
          <w:color w:val="auto"/>
        </w:rPr>
        <w:t>”: September 1, 2021.”</w:t>
      </w:r>
    </w:p>
    <w:p>
      <w:pPr>
        <w:ind w:left="969"/>
        <w:spacing w:after="0" w:line="334" w:lineRule="auto"/>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Southern Indiana Property</w:t>
      </w:r>
      <w:r>
        <w:rPr>
          <w:rFonts w:ascii="Arial" w:cs="Arial" w:eastAsia="Arial" w:hAnsi="Arial"/>
          <w:sz w:val="20"/>
          <w:szCs w:val="20"/>
          <w:color w:val="auto"/>
        </w:rPr>
        <w:t>”: The portion of the Leased Property (as of the date that immediately precedes the Eighth Amendment Date) that pertained to the gaming and entertainment facility known as Caesars Southern Indiana (formerly known as Horseshoe Southern Indiana) located in Elizabeth, Indiana. As of the Eighth Amendment Date, the Southern Indiana Property no longer constitutes Leased Property under this Lease.” ““</w:t>
      </w:r>
      <w:r>
        <w:rPr>
          <w:rFonts w:ascii="Arial" w:cs="Arial" w:eastAsia="Arial" w:hAnsi="Arial"/>
          <w:sz w:val="20"/>
          <w:szCs w:val="20"/>
          <w:u w:val="single" w:color="auto"/>
          <w:color w:val="auto"/>
        </w:rPr>
        <w:t>Specified Eighth Amendment Date Rent Amount</w:t>
      </w:r>
      <w:r>
        <w:rPr>
          <w:rFonts w:ascii="Arial" w:cs="Arial" w:eastAsia="Arial" w:hAnsi="Arial"/>
          <w:sz w:val="20"/>
          <w:szCs w:val="20"/>
          <w:color w:val="auto"/>
        </w:rPr>
        <w:t>”: As defined in the definition of Rent.”</w:t>
      </w:r>
    </w:p>
    <w:p>
      <w:pPr>
        <w:spacing w:after="0" w:line="96" w:lineRule="exact"/>
        <w:rPr>
          <w:rFonts w:ascii="Arial" w:cs="Arial" w:eastAsia="Arial" w:hAnsi="Arial"/>
          <w:sz w:val="22"/>
          <w:szCs w:val="22"/>
          <w:color w:val="auto"/>
        </w:rPr>
      </w:pPr>
    </w:p>
    <w:p>
      <w:pPr>
        <w:ind w:left="969" w:hanging="323"/>
        <w:spacing w:after="0" w:line="249" w:lineRule="auto"/>
        <w:tabs>
          <w:tab w:leader="none" w:pos="968"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clause (a) of the definition of “Rent” is hereby deleted and replaced with the following:</w:t>
      </w:r>
    </w:p>
    <w:p>
      <w:pPr>
        <w:spacing w:after="0" w:line="168" w:lineRule="exact"/>
        <w:rPr>
          <w:sz w:val="20"/>
          <w:szCs w:val="20"/>
          <w:color w:val="auto"/>
        </w:rPr>
      </w:pPr>
    </w:p>
    <w:p>
      <w:pPr>
        <w:jc w:val="both"/>
        <w:ind w:left="969"/>
        <w:spacing w:after="0" w:line="249" w:lineRule="auto"/>
        <w:rPr>
          <w:sz w:val="20"/>
          <w:szCs w:val="20"/>
          <w:color w:val="auto"/>
        </w:rPr>
      </w:pPr>
      <w:r>
        <w:rPr>
          <w:rFonts w:ascii="Arial" w:cs="Arial" w:eastAsia="Arial" w:hAnsi="Arial"/>
          <w:sz w:val="19"/>
          <w:szCs w:val="19"/>
          <w:color w:val="auto"/>
        </w:rPr>
        <w:t>“(a) (i) For the first (1</w:t>
      </w:r>
      <w:r>
        <w:rPr>
          <w:rFonts w:ascii="Arial" w:cs="Arial" w:eastAsia="Arial" w:hAnsi="Arial"/>
          <w:sz w:val="25"/>
          <w:szCs w:val="25"/>
          <w:color w:val="auto"/>
          <w:vertAlign w:val="superscript"/>
        </w:rPr>
        <w:t>st</w:t>
      </w:r>
      <w:r>
        <w:rPr>
          <w:rFonts w:ascii="Arial" w:cs="Arial" w:eastAsia="Arial" w:hAnsi="Arial"/>
          <w:sz w:val="19"/>
          <w:szCs w:val="19"/>
          <w:color w:val="auto"/>
        </w:rPr>
        <w:t>) Lease Year, Rent shall be equal to Four Hundred Thirty-Three Million Three Hundred Thousand and No/100 Dollars ($433,300,000.00); (ii) for the second (2</w:t>
      </w:r>
      <w:r>
        <w:rPr>
          <w:rFonts w:ascii="Arial" w:cs="Arial" w:eastAsia="Arial" w:hAnsi="Arial"/>
          <w:sz w:val="25"/>
          <w:szCs w:val="25"/>
          <w:color w:val="auto"/>
          <w:vertAlign w:val="superscript"/>
        </w:rPr>
        <w:t>nd</w:t>
      </w:r>
      <w:r>
        <w:rPr>
          <w:rFonts w:ascii="Arial" w:cs="Arial" w:eastAsia="Arial" w:hAnsi="Arial"/>
          <w:sz w:val="19"/>
          <w:szCs w:val="19"/>
          <w:color w:val="auto"/>
        </w:rPr>
        <w:t>) Lease Year, Rent shall be equal to Four Hundred Sixty Million Seven Hundred Ninety-Nine Thousand Five Hundred and No/100 Dollars ($460,799,500.00) (provided, that for the second (2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Lease Year only, an incremental portion of the annual Rent due for such Lease Year equal to Twenty-One Million and No/100 Dollars ($21,000,000.00) relating to the Chester Property (which Twenty-One Million and No/100 Dollars ($21,000,000.00) is included in the Four Hundred Sixty Million Seven Hundred Ninety-Nine Thousand Five Hundred and No/100 Dollars ($460,799,500.00) amount in this </w:t>
      </w:r>
      <w:r>
        <w:rPr>
          <w:rFonts w:ascii="Arial" w:cs="Arial" w:eastAsia="Arial" w:hAnsi="Arial"/>
          <w:sz w:val="19"/>
          <w:szCs w:val="19"/>
          <w:u w:val="single" w:color="auto"/>
          <w:color w:val="auto"/>
        </w:rPr>
        <w:t>clause (ii)</w:t>
      </w:r>
      <w:r>
        <w:rPr>
          <w:rFonts w:ascii="Arial" w:cs="Arial" w:eastAsia="Arial" w:hAnsi="Arial"/>
          <w:sz w:val="19"/>
          <w:szCs w:val="19"/>
          <w:color w:val="auto"/>
        </w:rPr>
        <w:t>) shall be prorated and payable only with respect to the period from and after the Fourth Amendment Date such that Tenant shall not be required to pay any portion of such incremental portion of the annual Rent relating to the Chester Property with respect to the portion of the second (2</w:t>
      </w:r>
      <w:r>
        <w:rPr>
          <w:rFonts w:ascii="Arial" w:cs="Arial" w:eastAsia="Arial" w:hAnsi="Arial"/>
          <w:sz w:val="25"/>
          <w:szCs w:val="25"/>
          <w:color w:val="auto"/>
          <w:vertAlign w:val="superscript"/>
        </w:rPr>
        <w:t>nd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7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869"/>
          </w:cols>
          <w:pgMar w:left="651" w:top="1411" w:right="379" w:bottom="1440" w:gutter="0" w:footer="0" w:header="0"/>
        </w:sectPr>
      </w:pPr>
    </w:p>
    <w:bookmarkStart w:id="112" w:name="page113"/>
    <w:bookmarkEnd w:id="112"/>
    <w:p>
      <w:pPr>
        <w:jc w:val="both"/>
        <w:ind w:left="323"/>
        <w:spacing w:after="0" w:line="233" w:lineRule="auto"/>
        <w:rPr>
          <w:sz w:val="20"/>
          <w:szCs w:val="20"/>
          <w:color w:val="auto"/>
        </w:rPr>
      </w:pPr>
      <w:r>
        <w:rPr>
          <w:rFonts w:ascii="Arial" w:cs="Arial" w:eastAsia="Arial" w:hAnsi="Arial"/>
          <w:sz w:val="20"/>
          <w:szCs w:val="20"/>
          <w:color w:val="auto"/>
        </w:rPr>
        <w:t>Lease Year occurring prior to the Fourth Amendment Date); (iii) for the third (3</w:t>
      </w:r>
      <w:r>
        <w:rPr>
          <w:rFonts w:ascii="Arial" w:cs="Arial" w:eastAsia="Arial" w:hAnsi="Arial"/>
          <w:sz w:val="26"/>
          <w:szCs w:val="26"/>
          <w:color w:val="auto"/>
          <w:vertAlign w:val="superscript"/>
        </w:rPr>
        <w:t>rd</w:t>
      </w:r>
      <w:r>
        <w:rPr>
          <w:rFonts w:ascii="Arial" w:cs="Arial" w:eastAsia="Arial" w:hAnsi="Arial"/>
          <w:sz w:val="20"/>
          <w:szCs w:val="20"/>
          <w:color w:val="auto"/>
        </w:rPr>
        <w:t>) Lease Year, Rent shall be equal to Six Hundred Twenty-One Million Seven Hundred Eleven Thousand Four Hundred Ninety-Two and 52/100 Dollars ($621,711,492.52) (provided, that, for the third (3</w:t>
      </w:r>
      <w:r>
        <w:rPr>
          <w:rFonts w:ascii="Arial" w:cs="Arial" w:eastAsia="Arial" w:hAnsi="Arial"/>
          <w:sz w:val="26"/>
          <w:szCs w:val="26"/>
          <w:color w:val="auto"/>
          <w:vertAlign w:val="superscript"/>
        </w:rPr>
        <w:t>rd</w:t>
      </w:r>
      <w:r>
        <w:rPr>
          <w:rFonts w:ascii="Arial" w:cs="Arial" w:eastAsia="Arial" w:hAnsi="Arial"/>
          <w:sz w:val="20"/>
          <w:szCs w:val="20"/>
          <w:color w:val="auto"/>
        </w:rPr>
        <w:t>) Lease Year only, an incremental portion of the annual Rent due for such Lease Year in an amount equal to One Hundred Fifty-Four Million and No/100 Dollars ($154,000,000.00) relating to the Fifth Amendment Additional Property (the “</w:t>
      </w:r>
      <w:r>
        <w:rPr>
          <w:rFonts w:ascii="Arial" w:cs="Arial" w:eastAsia="Arial" w:hAnsi="Arial"/>
          <w:sz w:val="20"/>
          <w:szCs w:val="20"/>
          <w:u w:val="single" w:color="auto"/>
          <w:color w:val="auto"/>
        </w:rPr>
        <w:t>Fifth Amendment Date Rent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Increase</w:t>
      </w:r>
      <w:r>
        <w:rPr>
          <w:rFonts w:ascii="Arial" w:cs="Arial" w:eastAsia="Arial" w:hAnsi="Arial"/>
          <w:sz w:val="20"/>
          <w:szCs w:val="20"/>
          <w:color w:val="auto"/>
        </w:rPr>
        <w:t xml:space="preserve">”) (which Fifth Amendment Date Rent Increase amount is included in the Six Hundred Twenty-One Million Seven Hundred Eleven Thousand Four Hundred Ninety-Two and 52/100 Dollars ($621,711,492.52) amount in this </w:t>
      </w:r>
      <w:r>
        <w:rPr>
          <w:rFonts w:ascii="Arial" w:cs="Arial" w:eastAsia="Arial" w:hAnsi="Arial"/>
          <w:sz w:val="20"/>
          <w:szCs w:val="20"/>
          <w:u w:val="single" w:color="auto"/>
          <w:color w:val="auto"/>
        </w:rPr>
        <w:t>clause (iii)</w:t>
      </w:r>
      <w:r>
        <w:rPr>
          <w:rFonts w:ascii="Arial" w:cs="Arial" w:eastAsia="Arial" w:hAnsi="Arial"/>
          <w:sz w:val="20"/>
          <w:szCs w:val="20"/>
          <w:color w:val="auto"/>
        </w:rPr>
        <w:t>) shall be prorated and payable only with respect to the period from and after the Fifth Amendment Date such that Tenant shall not be required to pay any portion of the Fifth Amendment Date Rent Increase with respect to the portion of the third (3</w:t>
      </w:r>
      <w:r>
        <w:rPr>
          <w:rFonts w:ascii="Arial" w:cs="Arial" w:eastAsia="Arial" w:hAnsi="Arial"/>
          <w:sz w:val="26"/>
          <w:szCs w:val="26"/>
          <w:color w:val="auto"/>
          <w:vertAlign w:val="superscript"/>
        </w:rPr>
        <w:t>rd</w:t>
      </w:r>
      <w:r>
        <w:rPr>
          <w:rFonts w:ascii="Arial" w:cs="Arial" w:eastAsia="Arial" w:hAnsi="Arial"/>
          <w:sz w:val="20"/>
          <w:szCs w:val="20"/>
          <w:color w:val="auto"/>
        </w:rPr>
        <w:t>) Lease Year occurring prior to the Fifth Amendment Date);</w:t>
      </w:r>
    </w:p>
    <w:p>
      <w:pPr>
        <w:spacing w:after="0" w:line="3" w:lineRule="exact"/>
        <w:rPr>
          <w:sz w:val="20"/>
          <w:szCs w:val="20"/>
          <w:color w:val="auto"/>
        </w:rPr>
      </w:pPr>
    </w:p>
    <w:p>
      <w:pPr>
        <w:jc w:val="both"/>
        <w:ind w:left="323" w:firstLine="1"/>
        <w:spacing w:after="0" w:line="244" w:lineRule="auto"/>
        <w:tabs>
          <w:tab w:leader="none" w:pos="725" w:val="left"/>
        </w:tabs>
        <w:numPr>
          <w:ilvl w:val="1"/>
          <w:numId w:val="92"/>
        </w:numPr>
        <w:rPr>
          <w:rFonts w:ascii="Arial" w:cs="Arial" w:eastAsia="Arial" w:hAnsi="Arial"/>
          <w:sz w:val="19"/>
          <w:szCs w:val="19"/>
          <w:color w:val="auto"/>
        </w:rPr>
      </w:pPr>
      <w:r>
        <w:rPr>
          <w:rFonts w:ascii="Arial" w:cs="Arial" w:eastAsia="Arial" w:hAnsi="Arial"/>
          <w:sz w:val="19"/>
          <w:szCs w:val="19"/>
          <w:color w:val="auto"/>
        </w:rPr>
        <w:t>for the fourth (4</w:t>
      </w:r>
      <w:r>
        <w:rPr>
          <w:rFonts w:ascii="Arial" w:cs="Arial" w:eastAsia="Arial" w:hAnsi="Arial"/>
          <w:sz w:val="25"/>
          <w:szCs w:val="25"/>
          <w:color w:val="auto"/>
          <w:vertAlign w:val="superscript"/>
        </w:rPr>
        <w:t>th</w:t>
      </w:r>
      <w:r>
        <w:rPr>
          <w:rFonts w:ascii="Arial" w:cs="Arial" w:eastAsia="Arial" w:hAnsi="Arial"/>
          <w:sz w:val="19"/>
          <w:szCs w:val="19"/>
          <w:color w:val="auto"/>
        </w:rPr>
        <w:t>) Lease Year, Rent shall be equal to Five Hundred Ninety-Eight Million Five Hundred Thirty-Seven Thousand One Hundred Sixty-Five and No/100 Dollars ($598,537,165.00) (provided, that, for the fourth (4</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Lease Year only, an additional amount of annual Rent equal to Thirty-Two Million Five Hundred Thousand and No/100 Dollars ($32,500,000.00) relating to the Southern Indiana Property (which Thirty-Two Million Five Hundred Thousand and No/100 Dollars ($32,500,000.00) is not included in the Five Hundred Ninety-Eight Million Five Hundred Thirty-Seven Thousand One Hundred Sixty-Five and No/100 Dollars ($598,537,165.00) amount in this </w:t>
      </w:r>
      <w:r>
        <w:rPr>
          <w:rFonts w:ascii="Arial" w:cs="Arial" w:eastAsia="Arial" w:hAnsi="Arial"/>
          <w:sz w:val="19"/>
          <w:szCs w:val="19"/>
          <w:u w:val="single" w:color="auto"/>
          <w:color w:val="auto"/>
        </w:rPr>
        <w:t>clause (iv)</w:t>
      </w:r>
      <w:r>
        <w:rPr>
          <w:rFonts w:ascii="Arial" w:cs="Arial" w:eastAsia="Arial" w:hAnsi="Arial"/>
          <w:sz w:val="19"/>
          <w:szCs w:val="19"/>
          <w:color w:val="auto"/>
        </w:rPr>
        <w:t>) shall be prorated and payable with respect to the period prior to the Eighth Amendment Date, such that Tenant shall be required to pay such additional amount of annual Rent relating to the Southern Indiana Property (the “</w:t>
      </w:r>
      <w:r>
        <w:rPr>
          <w:rFonts w:ascii="Arial" w:cs="Arial" w:eastAsia="Arial" w:hAnsi="Arial"/>
          <w:sz w:val="19"/>
          <w:szCs w:val="19"/>
          <w:u w:val="single" w:color="auto"/>
          <w:color w:val="auto"/>
        </w:rPr>
        <w:t>Specified Eighth Amendment Date Rent Amount</w:t>
      </w:r>
      <w:r>
        <w:rPr>
          <w:rFonts w:ascii="Arial" w:cs="Arial" w:eastAsia="Arial" w:hAnsi="Arial"/>
          <w:sz w:val="19"/>
          <w:szCs w:val="19"/>
          <w:color w:val="auto"/>
        </w:rPr>
        <w:t>”) with respect to the portion of the fourth (4</w:t>
      </w:r>
      <w:r>
        <w:rPr>
          <w:rFonts w:ascii="Arial" w:cs="Arial" w:eastAsia="Arial" w:hAnsi="Arial"/>
          <w:sz w:val="25"/>
          <w:szCs w:val="25"/>
          <w:color w:val="auto"/>
          <w:vertAlign w:val="superscript"/>
        </w:rPr>
        <w:t>th</w:t>
      </w:r>
      <w:r>
        <w:rPr>
          <w:rFonts w:ascii="Arial" w:cs="Arial" w:eastAsia="Arial" w:hAnsi="Arial"/>
          <w:sz w:val="19"/>
          <w:szCs w:val="19"/>
          <w:color w:val="auto"/>
        </w:rPr>
        <w:t>) Lease Year occurring prior to (but not from and after) the Eighth Amendment Date); and</w:t>
      </w:r>
    </w:p>
    <w:p>
      <w:pPr>
        <w:spacing w:after="0" w:line="6" w:lineRule="exact"/>
        <w:rPr>
          <w:rFonts w:ascii="Arial" w:cs="Arial" w:eastAsia="Arial" w:hAnsi="Arial"/>
          <w:sz w:val="19"/>
          <w:szCs w:val="19"/>
          <w:color w:val="auto"/>
        </w:rPr>
      </w:pPr>
    </w:p>
    <w:p>
      <w:pPr>
        <w:jc w:val="both"/>
        <w:ind w:left="323" w:firstLine="1"/>
        <w:spacing w:after="0" w:line="247" w:lineRule="auto"/>
        <w:tabs>
          <w:tab w:leader="none" w:pos="648" w:val="left"/>
        </w:tabs>
        <w:numPr>
          <w:ilvl w:val="1"/>
          <w:numId w:val="92"/>
        </w:numPr>
        <w:rPr>
          <w:rFonts w:ascii="Arial" w:cs="Arial" w:eastAsia="Arial" w:hAnsi="Arial"/>
          <w:sz w:val="19"/>
          <w:szCs w:val="19"/>
          <w:color w:val="auto"/>
        </w:rPr>
      </w:pPr>
      <w:r>
        <w:rPr>
          <w:rFonts w:ascii="Arial" w:cs="Arial" w:eastAsia="Arial" w:hAnsi="Arial"/>
          <w:sz w:val="19"/>
          <w:szCs w:val="19"/>
          <w:color w:val="auto"/>
        </w:rPr>
        <w:t>for the fifth (5</w:t>
      </w:r>
      <w:r>
        <w:rPr>
          <w:rFonts w:ascii="Arial" w:cs="Arial" w:eastAsia="Arial" w:hAnsi="Arial"/>
          <w:sz w:val="25"/>
          <w:szCs w:val="25"/>
          <w:color w:val="auto"/>
          <w:vertAlign w:val="superscript"/>
        </w:rPr>
        <w:t>th</w:t>
      </w:r>
      <w:r>
        <w:rPr>
          <w:rFonts w:ascii="Arial" w:cs="Arial" w:eastAsia="Arial" w:hAnsi="Arial"/>
          <w:sz w:val="19"/>
          <w:szCs w:val="19"/>
          <w:color w:val="auto"/>
        </w:rPr>
        <w:t>) through and including the seventh (7</w:t>
      </w:r>
      <w:r>
        <w:rPr>
          <w:rFonts w:ascii="Arial" w:cs="Arial" w:eastAsia="Arial" w:hAnsi="Arial"/>
          <w:sz w:val="25"/>
          <w:szCs w:val="25"/>
          <w:color w:val="auto"/>
          <w:vertAlign w:val="superscript"/>
        </w:rPr>
        <w:t>th</w:t>
      </w:r>
      <w:r>
        <w:rPr>
          <w:rFonts w:ascii="Arial" w:cs="Arial" w:eastAsia="Arial" w:hAnsi="Arial"/>
          <w:sz w:val="19"/>
          <w:szCs w:val="19"/>
          <w:color w:val="auto"/>
        </w:rPr>
        <w:t>) Lease Years, the Rent payable for each such Lease Year shall be adjusted as provided in the next succeeding sentence. On each Escalator Adjustment Date during the fifth (5</w:t>
      </w:r>
      <w:r>
        <w:rPr>
          <w:rFonts w:ascii="Arial" w:cs="Arial" w:eastAsia="Arial" w:hAnsi="Arial"/>
          <w:sz w:val="25"/>
          <w:szCs w:val="25"/>
          <w:color w:val="auto"/>
          <w:vertAlign w:val="superscript"/>
        </w:rPr>
        <w:t>th</w:t>
      </w:r>
      <w:r>
        <w:rPr>
          <w:rFonts w:ascii="Arial" w:cs="Arial" w:eastAsia="Arial" w:hAnsi="Arial"/>
          <w:sz w:val="19"/>
          <w:szCs w:val="19"/>
          <w:color w:val="auto"/>
        </w:rPr>
        <w:t>) through and including the seventh (7</w:t>
      </w:r>
      <w:r>
        <w:rPr>
          <w:rFonts w:ascii="Arial" w:cs="Arial" w:eastAsia="Arial" w:hAnsi="Arial"/>
          <w:sz w:val="25"/>
          <w:szCs w:val="25"/>
          <w:color w:val="auto"/>
          <w:vertAlign w:val="superscript"/>
        </w:rPr>
        <w:t>th</w:t>
      </w:r>
      <w:r>
        <w:rPr>
          <w:rFonts w:ascii="Arial" w:cs="Arial" w:eastAsia="Arial" w:hAnsi="Arial"/>
          <w:sz w:val="19"/>
          <w:szCs w:val="19"/>
          <w:color w:val="auto"/>
        </w:rPr>
        <w:t>) Lease Years, the Rent payable for each such Lease Year shall be adjusted to be equal to the Rent payable for the immediately preceding Lease Year (as in effect on the last day of such preceding Lease Year, and disregarding, for the avoidance of doubt, for purposes of the calculation under this sentence, the Specified Eighth Amendment Date Rent Amount), multiplied by the Escalator. For purposes of clarification, there shall be no Variable Rent (defined below) payable during the first seven (7) Lease Years.”</w:t>
      </w:r>
    </w:p>
    <w:p>
      <w:pPr>
        <w:spacing w:after="0" w:line="178" w:lineRule="exact"/>
        <w:rPr>
          <w:rFonts w:ascii="Arial" w:cs="Arial" w:eastAsia="Arial" w:hAnsi="Arial"/>
          <w:sz w:val="19"/>
          <w:szCs w:val="19"/>
          <w:color w:val="auto"/>
        </w:rPr>
      </w:pPr>
    </w:p>
    <w:p>
      <w:pPr>
        <w:ind w:left="323" w:hanging="323"/>
        <w:spacing w:after="0" w:line="249" w:lineRule="auto"/>
        <w:tabs>
          <w:tab w:leader="none" w:pos="314"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Section 3.1(b)</w:t>
      </w:r>
      <w:r>
        <w:rPr>
          <w:rFonts w:ascii="Arial" w:cs="Arial" w:eastAsia="Arial" w:hAnsi="Arial"/>
          <w:sz w:val="22"/>
          <w:szCs w:val="22"/>
          <w:color w:val="auto"/>
        </w:rPr>
        <w:t xml:space="preserve"> is hereby amended by deleting the word “and” that immediately follows clause (v) thereof and adding the following immediately after clause (vi) thereof as subsection (vii):</w:t>
      </w:r>
    </w:p>
    <w:p>
      <w:pPr>
        <w:spacing w:after="0" w:line="175" w:lineRule="exact"/>
        <w:rPr>
          <w:rFonts w:ascii="Arial" w:cs="Arial" w:eastAsia="Arial" w:hAnsi="Arial"/>
          <w:sz w:val="22"/>
          <w:szCs w:val="22"/>
          <w:color w:val="auto"/>
        </w:rPr>
      </w:pPr>
    </w:p>
    <w:p>
      <w:pPr>
        <w:jc w:val="both"/>
        <w:ind w:left="323"/>
        <w:spacing w:after="0" w:line="239" w:lineRule="auto"/>
        <w:rPr>
          <w:rFonts w:ascii="Arial" w:cs="Arial" w:eastAsia="Arial" w:hAnsi="Arial"/>
          <w:sz w:val="22"/>
          <w:szCs w:val="22"/>
          <w:color w:val="auto"/>
        </w:rPr>
      </w:pPr>
      <w:r>
        <w:rPr>
          <w:rFonts w:ascii="Arial" w:cs="Arial" w:eastAsia="Arial" w:hAnsi="Arial"/>
          <w:sz w:val="22"/>
          <w:szCs w:val="22"/>
          <w:color w:val="auto"/>
        </w:rPr>
        <w:t>“, and (vii) on the Eighth Amendment Date, the amount of each remaining monthly installment of Rent in the Lease Year in which the Eighth Amendment Date occurs (i.e., each installment of Rent payable in such Lease Year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3"/>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23"/>
          </w:cols>
          <w:pgMar w:left="1297" w:top="1403" w:right="379" w:bottom="1440" w:gutter="0" w:footer="0" w:header="0"/>
        </w:sectPr>
      </w:pPr>
    </w:p>
    <w:bookmarkStart w:id="113" w:name="page114"/>
    <w:bookmarkEnd w:id="113"/>
    <w:p>
      <w:pPr>
        <w:jc w:val="both"/>
        <w:ind w:left="969"/>
        <w:spacing w:after="0" w:line="262" w:lineRule="auto"/>
        <w:rPr>
          <w:sz w:val="20"/>
          <w:szCs w:val="20"/>
          <w:color w:val="auto"/>
        </w:rPr>
      </w:pPr>
      <w:r>
        <w:rPr>
          <w:rFonts w:ascii="Arial" w:cs="Arial" w:eastAsia="Arial" w:hAnsi="Arial"/>
          <w:sz w:val="20"/>
          <w:szCs w:val="20"/>
          <w:color w:val="auto"/>
        </w:rPr>
        <w:t>Eighth Amendment Date, but not, for the avoidance of doubt, the installment of Rent payable in respect of the month in which the Eighth Amendment Date occurs) shall be recalculated to give effect to the changes to Rent effectuated by the amendments to this Lease on the Eighth Amendment Date. With respect to the portion of the Specified Eighth Amendment Date Rent Amount prepaid by Tenant in respect of the month in which the Eighth Amendment Date occurs (if any), Tenant may seek a credit for such sum directly from the purchaser of the equity interests in the operator of the Southern Indiana Property.”</w:t>
      </w:r>
    </w:p>
    <w:p>
      <w:pPr>
        <w:spacing w:after="0" w:line="164" w:lineRule="exact"/>
        <w:rPr>
          <w:sz w:val="20"/>
          <w:szCs w:val="20"/>
          <w:color w:val="auto"/>
        </w:rPr>
      </w:pPr>
    </w:p>
    <w:p>
      <w:pPr>
        <w:ind w:left="309" w:hanging="309"/>
        <w:spacing w:after="0"/>
        <w:tabs>
          <w:tab w:leader="none" w:pos="309"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jc w:val="both"/>
        <w:ind w:left="969" w:hanging="323"/>
        <w:spacing w:after="0" w:line="239" w:lineRule="auto"/>
        <w:tabs>
          <w:tab w:leader="none" w:pos="962" w:val="left"/>
        </w:tabs>
        <w:numPr>
          <w:ilvl w:val="1"/>
          <w:numId w:val="94"/>
        </w:numPr>
        <w:rPr>
          <w:rFonts w:ascii="Arial" w:cs="Arial" w:eastAsia="Arial" w:hAnsi="Arial"/>
          <w:sz w:val="22"/>
          <w:szCs w:val="22"/>
          <w:color w:val="auto"/>
        </w:rPr>
      </w:pPr>
      <w:r>
        <w:rPr>
          <w:rFonts w:ascii="Arial" w:cs="Arial" w:eastAsia="Arial" w:hAnsi="Arial"/>
          <w:sz w:val="22"/>
          <w:szCs w:val="22"/>
          <w:color w:val="auto"/>
        </w:rPr>
        <w:t>From and after the date hereof, for purposes of any calculation of Variable Rent under the Lease, including any adjustments in Variable Rent based on increases or decreases in Net Revenue, such calculations of Net Revenue shall exclude Net Revenue attributable to the Southern Indiana Facility.</w:t>
      </w:r>
    </w:p>
    <w:p>
      <w:pPr>
        <w:spacing w:after="0" w:line="187" w:lineRule="exact"/>
        <w:rPr>
          <w:rFonts w:ascii="Arial" w:cs="Arial" w:eastAsia="Arial" w:hAnsi="Arial"/>
          <w:sz w:val="22"/>
          <w:szCs w:val="22"/>
          <w:color w:val="auto"/>
        </w:rPr>
      </w:pPr>
    </w:p>
    <w:p>
      <w:pPr>
        <w:ind w:left="969" w:hanging="323"/>
        <w:spacing w:after="0" w:line="249" w:lineRule="auto"/>
        <w:tabs>
          <w:tab w:leader="none" w:pos="968"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“Base Net Revenue Amount” is hereby deleted and replaced with the following:</w:t>
      </w:r>
    </w:p>
    <w:p>
      <w:pPr>
        <w:spacing w:after="0" w:line="175" w:lineRule="exact"/>
        <w:rPr>
          <w:rFonts w:ascii="Arial" w:cs="Arial" w:eastAsia="Arial" w:hAnsi="Arial"/>
          <w:sz w:val="22"/>
          <w:szCs w:val="22"/>
          <w:color w:val="auto"/>
        </w:rPr>
      </w:pPr>
    </w:p>
    <w:p>
      <w:pPr>
        <w:jc w:val="both"/>
        <w:ind w:left="969"/>
        <w:spacing w:after="0" w:line="257" w:lineRule="auto"/>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Net Revenue Amount</w:t>
      </w:r>
      <w:r>
        <w:rPr>
          <w:rFonts w:ascii="Arial" w:cs="Arial" w:eastAsia="Arial" w:hAnsi="Arial"/>
          <w:sz w:val="19"/>
          <w:szCs w:val="19"/>
          <w:color w:val="auto"/>
        </w:rPr>
        <w:t>’: An amount equal to the arithmetic average of the following: (i) Three Billion One Hundred Forty-One Million Eighty Thousand Nine Hundred Eighty-Four and No/100 Dollars ($3,141,080,984.00), which amount Landlord and Tenant agree represents Net Revenue for the Fiscal Period immediately preceding the first (1</w:t>
      </w:r>
      <w:r>
        <w:rPr>
          <w:rFonts w:ascii="Arial" w:cs="Arial" w:eastAsia="Arial" w:hAnsi="Arial"/>
          <w:sz w:val="25"/>
          <w:szCs w:val="25"/>
          <w:color w:val="auto"/>
          <w:vertAlign w:val="superscript"/>
        </w:rPr>
        <w:t>st</w:t>
      </w:r>
      <w:r>
        <w:rPr>
          <w:rFonts w:ascii="Arial" w:cs="Arial" w:eastAsia="Arial" w:hAnsi="Arial"/>
          <w:sz w:val="19"/>
          <w:szCs w:val="19"/>
          <w:color w:val="auto"/>
        </w:rPr>
        <w:t>) Lease Year (i.e., the Fiscal Period ending September 30, 2017), (ii) Three Billion One Hundred Fifty-Seven Million One Hundred Twenty-Four Thousand Nine Hundred and No/100 Dollars ($3,157,124,900.00), which amount Landlord and Tenant agree represents the Net Revenue for the Fiscal Period immediately preceding the end of the first (1</w:t>
      </w:r>
      <w:r>
        <w:rPr>
          <w:rFonts w:ascii="Arial" w:cs="Arial" w:eastAsia="Arial" w:hAnsi="Arial"/>
          <w:sz w:val="25"/>
          <w:szCs w:val="25"/>
          <w:color w:val="auto"/>
          <w:vertAlign w:val="superscript"/>
        </w:rPr>
        <w:t>st</w:t>
      </w:r>
      <w:r>
        <w:rPr>
          <w:rFonts w:ascii="Arial" w:cs="Arial" w:eastAsia="Arial" w:hAnsi="Arial"/>
          <w:sz w:val="19"/>
          <w:szCs w:val="19"/>
          <w:color w:val="auto"/>
        </w:rPr>
        <w:t>) Lease Year (i.e., the Fiscal Period ending September 30, 2018) and (iii) Three Billion Forty-Nine Million One Hundred Sixty-Five Thousand Seven Hundred Nine and No/100 Dollars ($3,049,165,709.00), which amount Landlord and Tenant agree represents the Net Revenue for the Fiscal Period immediately preceding the end of the second (2nd) Lease Year (i.e., the Fiscal Period ending September 30, 2019). For the avoidance of doubt, the term “arithmetic average” as used in this definition refers to the quotient obtained by dividing (x) the sum of the amounts set forth in clauses (i), (ii) and (iii) by (y) three (3).”</w:t>
      </w:r>
    </w:p>
    <w:p>
      <w:pPr>
        <w:spacing w:after="0" w:line="169" w:lineRule="exact"/>
        <w:rPr>
          <w:rFonts w:ascii="Arial" w:cs="Arial" w:eastAsia="Arial" w:hAnsi="Arial"/>
          <w:sz w:val="22"/>
          <w:szCs w:val="22"/>
          <w:color w:val="auto"/>
        </w:rPr>
      </w:pPr>
    </w:p>
    <w:p>
      <w:pPr>
        <w:jc w:val="both"/>
        <w:ind w:left="329" w:hanging="329"/>
        <w:spacing w:after="0" w:line="237" w:lineRule="auto"/>
        <w:tabs>
          <w:tab w:leader="none" w:pos="323"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Fourteen Million Five Hundred Thousand and No/100 Dollars ($114,500,000.00)” with a reference to “One Hundred Eight Million Six Hundred Thousand and No/100 Dollars ($108,600,000.00)”.</w:t>
      </w:r>
    </w:p>
    <w:p>
      <w:pPr>
        <w:spacing w:after="0" w:line="185" w:lineRule="exact"/>
        <w:rPr>
          <w:rFonts w:ascii="Arial" w:cs="Arial" w:eastAsia="Arial" w:hAnsi="Arial"/>
          <w:sz w:val="22"/>
          <w:szCs w:val="22"/>
          <w:color w:val="auto"/>
        </w:rPr>
      </w:pPr>
    </w:p>
    <w:p>
      <w:pPr>
        <w:jc w:val="both"/>
        <w:ind w:left="329" w:hanging="329"/>
        <w:spacing w:after="0" w:line="239" w:lineRule="auto"/>
        <w:tabs>
          <w:tab w:leader="none" w:pos="32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Annual Minimum Per-Lease B&amp;I Cap Ex Requirement</w:t>
      </w:r>
      <w:r>
        <w:rPr>
          <w:rFonts w:ascii="Arial" w:cs="Arial" w:eastAsia="Arial" w:hAnsi="Arial"/>
          <w:sz w:val="22"/>
          <w:szCs w:val="22"/>
          <w:color w:val="auto"/>
        </w:rPr>
        <w:t>. Landlord and Tenant hereby acknowledge, for the avoidance of doubt, that the Net Revenue attributable to the Southern Indiana Facility for the 2020 Fiscal Year and the 2021 Fiscal Year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869"/>
          </w:cols>
          <w:pgMar w:left="651" w:top="1411" w:right="379" w:bottom="1440" w:gutter="0" w:footer="0" w:header="0"/>
        </w:sectPr>
      </w:pPr>
    </w:p>
    <w:bookmarkStart w:id="114" w:name="page115"/>
    <w:bookmarkEnd w:id="114"/>
    <w:p>
      <w:pPr>
        <w:ind w:left="329"/>
        <w:spacing w:after="0"/>
        <w:rPr>
          <w:sz w:val="20"/>
          <w:szCs w:val="20"/>
          <w:color w:val="auto"/>
        </w:rPr>
      </w:pPr>
      <w:r>
        <w:rPr>
          <w:rFonts w:ascii="Arial" w:cs="Arial" w:eastAsia="Arial" w:hAnsi="Arial"/>
          <w:sz w:val="22"/>
          <w:szCs w:val="22"/>
          <w:color w:val="auto"/>
        </w:rPr>
        <w:t xml:space="preserve">included for purposes of calculating the Capital Expenditures required under </w:t>
      </w:r>
      <w:r>
        <w:rPr>
          <w:rFonts w:ascii="Arial" w:cs="Arial" w:eastAsia="Arial" w:hAnsi="Arial"/>
          <w:sz w:val="22"/>
          <w:szCs w:val="22"/>
          <w:u w:val="single" w:color="auto"/>
          <w:color w:val="auto"/>
        </w:rPr>
        <w:t>Section 10.5(a)(ii)</w:t>
      </w:r>
      <w:r>
        <w:rPr>
          <w:rFonts w:ascii="Arial" w:cs="Arial" w:eastAsia="Arial" w:hAnsi="Arial"/>
          <w:sz w:val="22"/>
          <w:szCs w:val="22"/>
          <w:color w:val="auto"/>
        </w:rPr>
        <w:t xml:space="preserve"> of the Lease.</w:t>
      </w:r>
    </w:p>
    <w:p>
      <w:pPr>
        <w:spacing w:after="0" w:line="205" w:lineRule="exact"/>
        <w:rPr>
          <w:sz w:val="20"/>
          <w:szCs w:val="20"/>
          <w:color w:val="auto"/>
        </w:rPr>
      </w:pPr>
    </w:p>
    <w:p>
      <w:pPr>
        <w:jc w:val="both"/>
        <w:ind w:left="329" w:right="40" w:hanging="329"/>
        <w:spacing w:after="0" w:line="237" w:lineRule="auto"/>
        <w:tabs>
          <w:tab w:leader="none" w:pos="31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Triennial Allocated Minimum Cap Ex Amount B Floor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Allocated Minimum Cap Ex Amount B Floor” is hereby revised and modified to replace the reference therein to “Three Hundred Eleven Million and No/100 Dollars ($311,000,000.00)” with a reference to “Two Hundred Ninety Million and No/100 Dollars ($290,000,000.00)”.</w:t>
      </w:r>
    </w:p>
    <w:p>
      <w:pPr>
        <w:spacing w:after="0" w:line="199" w:lineRule="exact"/>
        <w:rPr>
          <w:rFonts w:ascii="Arial" w:cs="Arial" w:eastAsia="Arial" w:hAnsi="Arial"/>
          <w:sz w:val="22"/>
          <w:szCs w:val="22"/>
          <w:color w:val="auto"/>
        </w:rPr>
      </w:pPr>
    </w:p>
    <w:p>
      <w:pPr>
        <w:jc w:val="both"/>
        <w:ind w:left="329" w:hanging="329"/>
        <w:spacing w:after="0" w:line="282" w:lineRule="auto"/>
        <w:tabs>
          <w:tab w:leader="none" w:pos="323"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Triennial Minimum Cap Ex Amount A</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of the Lease is hereby amended such that the definition of “Triennial Minimum Cap Ex Amount A” is hereby revised and modified to replace the reference therein to “Five Hundred Sixty-Six Million Seven Hundred Thousand and No/100 Dollars ($566,700,000.00)” with a reference to “Five Hundred Thirty-Seven Million Five Hundred Thousand and No/100 Dollars ($537,500,000.00)”.</w:t>
      </w:r>
    </w:p>
    <w:p>
      <w:pPr>
        <w:spacing w:after="0" w:line="158" w:lineRule="exact"/>
        <w:rPr>
          <w:rFonts w:ascii="Arial" w:cs="Arial" w:eastAsia="Arial" w:hAnsi="Arial"/>
          <w:sz w:val="20"/>
          <w:szCs w:val="20"/>
          <w:color w:val="auto"/>
        </w:rPr>
      </w:pPr>
    </w:p>
    <w:p>
      <w:pPr>
        <w:jc w:val="both"/>
        <w:ind w:left="329" w:hanging="329"/>
        <w:spacing w:after="0" w:line="249" w:lineRule="auto"/>
        <w:tabs>
          <w:tab w:leader="none" w:pos="323"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Minimum Cap Ex Amount B” is hereby revised and modified to replace the reference therein to “Four Hundred Five Million Two Hundred Thousand and No/100 Dollars ($405,200,000.00)” with a reference to “Three Hundred Eighty-Four Million Three Hundred Thousand and No/100 Dollars ($384,300,000.00)”.</w:t>
      </w:r>
    </w:p>
    <w:p>
      <w:pPr>
        <w:spacing w:after="0" w:line="175" w:lineRule="exact"/>
        <w:rPr>
          <w:rFonts w:ascii="Arial" w:cs="Arial" w:eastAsia="Arial" w:hAnsi="Arial"/>
          <w:sz w:val="22"/>
          <w:szCs w:val="22"/>
          <w:color w:val="auto"/>
        </w:rPr>
      </w:pPr>
    </w:p>
    <w:p>
      <w:pPr>
        <w:ind w:left="309" w:hanging="309"/>
        <w:spacing w:after="0"/>
        <w:tabs>
          <w:tab w:leader="none" w:pos="309"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jc w:val="both"/>
        <w:ind w:left="969" w:right="40" w:hanging="323"/>
        <w:spacing w:after="0" w:line="262" w:lineRule="auto"/>
        <w:tabs>
          <w:tab w:leader="none" w:pos="962" w:val="left"/>
        </w:tabs>
        <w:numPr>
          <w:ilvl w:val="1"/>
          <w:numId w:val="95"/>
        </w:numPr>
        <w:rPr>
          <w:rFonts w:ascii="Arial" w:cs="Arial" w:eastAsia="Arial" w:hAnsi="Arial"/>
          <w:sz w:val="20"/>
          <w:szCs w:val="20"/>
          <w:color w:val="auto"/>
        </w:rPr>
      </w:pPr>
      <w:r>
        <w:rPr>
          <w:rFonts w:ascii="Arial" w:cs="Arial" w:eastAsia="Arial" w:hAnsi="Arial"/>
          <w:sz w:val="20"/>
          <w:szCs w:val="20"/>
          <w:u w:val="single" w:color="auto"/>
          <w:color w:val="auto"/>
        </w:rPr>
        <w:t>Section 10.5(a)(v)(b)</w:t>
      </w:r>
      <w:r>
        <w:rPr>
          <w:rFonts w:ascii="Arial" w:cs="Arial" w:eastAsia="Arial" w:hAnsi="Arial"/>
          <w:sz w:val="20"/>
          <w:szCs w:val="20"/>
          <w:color w:val="auto"/>
        </w:rPr>
        <w:t xml:space="preserve"> of the Lease is hereby amended to (a) replace the reference therein to “Five Hundred Sixty-Six Million Seven Hundred Thousand and No/100 Dollars ($566,700,000.00)” with a reference to “Five Hundred Thirty-Seven Million Five Hundred Thousand and No/100 Dollars ($537,500,00.00)” and (b) replace the reference therein to “One Hundred Eighty-Eight Million Nine Hundred Thousand and No/100 Dollars ($188,900,000.00)” with a reference to “One Hundred Seventy-Nine Million One Hundred Sixty-Six Thousand Six Hundred Sixty-Seven and No/100 Dollars ($179,166,667.00)”,</w:t>
      </w:r>
    </w:p>
    <w:p>
      <w:pPr>
        <w:spacing w:after="0" w:line="163" w:lineRule="exact"/>
        <w:rPr>
          <w:rFonts w:ascii="Arial" w:cs="Arial" w:eastAsia="Arial" w:hAnsi="Arial"/>
          <w:sz w:val="20"/>
          <w:szCs w:val="20"/>
          <w:color w:val="auto"/>
        </w:rPr>
      </w:pPr>
    </w:p>
    <w:p>
      <w:pPr>
        <w:jc w:val="both"/>
        <w:ind w:left="969" w:right="40" w:hanging="323"/>
        <w:spacing w:after="0" w:line="234" w:lineRule="auto"/>
        <w:tabs>
          <w:tab w:leader="none" w:pos="968"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Section 10.5(a)(v)(c)</w:t>
      </w:r>
      <w:r>
        <w:rPr>
          <w:rFonts w:ascii="Arial" w:cs="Arial" w:eastAsia="Arial" w:hAnsi="Arial"/>
          <w:sz w:val="22"/>
          <w:szCs w:val="22"/>
          <w:color w:val="auto"/>
        </w:rPr>
        <w:t xml:space="preserve"> of the Lease is hereby amended to (a) replace the reference therein to “Four Hundred Five Million Two Hundred Thousand and No/100 Dollars ($405,200,000.00)” with a reference to “Three Hundred Eighty-Four Million Three Hundred Thousand and No/100 Dollars ($384,300,000.00)” and (b) replace the reference therein to “One Hundred Thirty-Five Million Sixty-Six Thousand Six Hundred Sixty-Six and 67/100 Dollars ($135,066,666.67)” with a reference to “One Hundred Twenty-Eight Million One Hundred Thousand and No/100 Dollars ($128,100,000.00)”, and</w:t>
      </w:r>
    </w:p>
    <w:p>
      <w:pPr>
        <w:spacing w:after="0" w:line="190" w:lineRule="exact"/>
        <w:rPr>
          <w:rFonts w:ascii="Arial" w:cs="Arial" w:eastAsia="Arial" w:hAnsi="Arial"/>
          <w:sz w:val="22"/>
          <w:szCs w:val="22"/>
          <w:color w:val="auto"/>
        </w:rPr>
      </w:pPr>
    </w:p>
    <w:p>
      <w:pPr>
        <w:jc w:val="both"/>
        <w:ind w:left="969" w:right="40" w:hanging="323"/>
        <w:spacing w:after="0" w:line="237" w:lineRule="auto"/>
        <w:tabs>
          <w:tab w:leader="none" w:pos="9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 xml:space="preserve">The second sentence of </w:t>
      </w:r>
      <w:r>
        <w:rPr>
          <w:rFonts w:ascii="Arial" w:cs="Arial" w:eastAsia="Arial" w:hAnsi="Arial"/>
          <w:sz w:val="22"/>
          <w:szCs w:val="22"/>
          <w:u w:val="single" w:color="auto"/>
          <w:color w:val="auto"/>
        </w:rPr>
        <w:t>Section 10.5(a)(v)</w:t>
      </w:r>
      <w:r>
        <w:rPr>
          <w:rFonts w:ascii="Arial" w:cs="Arial" w:eastAsia="Arial" w:hAnsi="Arial"/>
          <w:sz w:val="22"/>
          <w:szCs w:val="22"/>
          <w:color w:val="auto"/>
        </w:rPr>
        <w:t xml:space="preserve"> of the Lease is hereby amended to (a) replace the reference therein to “Five Hundred Sixty-Six Million Seven Hundred Thousand and No/100 Dollars ($566,700,000.00)” with a reference to “Five Hundred Thirty-Seven Million Five Hundred Thousand and No/100 Dollars ($537,500,000.00)”, (b) replace the reference therein to “One Hundred Eighty-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09"/>
          </w:cols>
          <w:pgMar w:left="651" w:top="1411" w:right="339" w:bottom="1440" w:gutter="0" w:footer="0" w:header="0"/>
        </w:sectPr>
      </w:pPr>
    </w:p>
    <w:bookmarkStart w:id="115" w:name="page116"/>
    <w:bookmarkEnd w:id="115"/>
    <w:p>
      <w:pPr>
        <w:jc w:val="both"/>
        <w:ind w:left="969"/>
        <w:spacing w:after="0" w:line="260" w:lineRule="auto"/>
        <w:rPr>
          <w:sz w:val="20"/>
          <w:szCs w:val="20"/>
          <w:color w:val="auto"/>
        </w:rPr>
      </w:pPr>
      <w:r>
        <w:rPr>
          <w:rFonts w:ascii="Arial" w:cs="Arial" w:eastAsia="Arial" w:hAnsi="Arial"/>
          <w:sz w:val="20"/>
          <w:szCs w:val="20"/>
          <w:color w:val="auto"/>
        </w:rPr>
        <w:t>Eight Million Nine Hundred Thousand and No/100 Dollars ($188,900,000.00)” with a reference to “One Hundred Seventy-Nine Million One Hundred Sixty-Six Thousand Six Hundred Sixty-Seven and No/100 Dollars ($179,166,667.00)”, (c) replace the reference therein to “Four Hundred Five Million Two Hundred Thousand and No/100 Dollars ($405,200,000.00)” with a reference to “Three Hundred Eighty-Four Million Three Hundred Thousand and No/100 Dollars ($384,300,000.00)” and (d) replace the reference therein to “One Hundred Thirty-Five Million Sixty-Six Thousand Six Hundred Sixty-Six and 67/100 Dollars ($135,066,666.67)” with a reference to “One Hundred Twenty-Eight Million One Hundred Thousand and No/100 Dollars ($128,100,000.00)”.</w:t>
      </w:r>
    </w:p>
    <w:p>
      <w:pPr>
        <w:spacing w:after="0" w:line="168" w:lineRule="exact"/>
        <w:rPr>
          <w:sz w:val="20"/>
          <w:szCs w:val="20"/>
          <w:color w:val="auto"/>
        </w:rPr>
      </w:pPr>
    </w:p>
    <w:p>
      <w:pPr>
        <w:ind w:left="309" w:hanging="309"/>
        <w:spacing w:after="0"/>
        <w:tabs>
          <w:tab w:leader="none" w:pos="309"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Section 22.2(vii) Transfer</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jc w:val="both"/>
        <w:ind w:left="969" w:hanging="323"/>
        <w:spacing w:after="0" w:line="260" w:lineRule="auto"/>
        <w:tabs>
          <w:tab w:leader="none" w:pos="962"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Landlord and Tenant hereby acknowledge and agree that the Southern Indiana Transaction shall be deemed to be, and treated as, a transfer and sale of the entire Leasehold Estate with respect to a Facility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22.2(vii)</w:t>
      </w:r>
      <w:r>
        <w:rPr>
          <w:rFonts w:ascii="Arial" w:cs="Arial" w:eastAsia="Arial" w:hAnsi="Arial"/>
          <w:sz w:val="20"/>
          <w:szCs w:val="20"/>
          <w:color w:val="auto"/>
        </w:rPr>
        <w:t xml:space="preserve"> of the Lease (including, without limitation, for purposes of any determinations under clause (6) thereof), irrespective of whether or not </w:t>
      </w:r>
      <w:r>
        <w:rPr>
          <w:rFonts w:ascii="Arial" w:cs="Arial" w:eastAsia="Arial" w:hAnsi="Arial"/>
          <w:sz w:val="20"/>
          <w:szCs w:val="20"/>
          <w:u w:val="single" w:color="auto"/>
          <w:color w:val="auto"/>
        </w:rPr>
        <w:t>Section 22.2(vii)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22.9</w:t>
      </w:r>
      <w:r>
        <w:rPr>
          <w:rFonts w:ascii="Arial" w:cs="Arial" w:eastAsia="Arial" w:hAnsi="Arial"/>
          <w:sz w:val="20"/>
          <w:szCs w:val="20"/>
          <w:color w:val="auto"/>
        </w:rPr>
        <w:t xml:space="preserve"> of the Lease are applicable to the Southern Indiana Transaction. For the avoidance of doubt, after giving effect to the Southern Indiana Transaction, the percentage of the 2018 EBITDAR Pool that remains available for application to any and all subsequent transfers pursuant to </w:t>
      </w:r>
      <w:r>
        <w:rPr>
          <w:rFonts w:ascii="Arial" w:cs="Arial" w:eastAsia="Arial" w:hAnsi="Arial"/>
          <w:sz w:val="20"/>
          <w:szCs w:val="20"/>
          <w:u w:val="single" w:color="auto"/>
          <w:color w:val="auto"/>
        </w:rPr>
        <w:t>Section 22.2(vii)</w:t>
      </w:r>
      <w:r>
        <w:rPr>
          <w:rFonts w:ascii="Arial" w:cs="Arial" w:eastAsia="Arial" w:hAnsi="Arial"/>
          <w:sz w:val="20"/>
          <w:szCs w:val="20"/>
          <w:color w:val="auto"/>
        </w:rPr>
        <w:t xml:space="preserve"> of the Lease shall not exceed 18.4% in the aggregate.</w:t>
      </w:r>
    </w:p>
    <w:p>
      <w:pPr>
        <w:spacing w:after="0" w:line="168" w:lineRule="exact"/>
        <w:rPr>
          <w:rFonts w:ascii="Arial" w:cs="Arial" w:eastAsia="Arial" w:hAnsi="Arial"/>
          <w:sz w:val="20"/>
          <w:szCs w:val="20"/>
          <w:color w:val="auto"/>
        </w:rPr>
      </w:pPr>
    </w:p>
    <w:p>
      <w:pPr>
        <w:jc w:val="both"/>
        <w:ind w:left="969" w:hanging="323"/>
        <w:spacing w:after="0" w:line="237" w:lineRule="auto"/>
        <w:tabs>
          <w:tab w:leader="none" w:pos="968"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All of the applicable requirements and conditions set forth in </w:t>
      </w:r>
      <w:r>
        <w:rPr>
          <w:rFonts w:ascii="Arial" w:cs="Arial" w:eastAsia="Arial" w:hAnsi="Arial"/>
          <w:sz w:val="22"/>
          <w:szCs w:val="22"/>
          <w:u w:val="single" w:color="auto"/>
          <w:color w:val="auto"/>
        </w:rPr>
        <w:t>Section 22.2(vii)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22.9</w:t>
      </w:r>
      <w:r>
        <w:rPr>
          <w:rFonts w:ascii="Arial" w:cs="Arial" w:eastAsia="Arial" w:hAnsi="Arial"/>
          <w:sz w:val="22"/>
          <w:szCs w:val="22"/>
          <w:color w:val="auto"/>
        </w:rPr>
        <w:t xml:space="preserve"> of the Lease with respect to such transfer and sale (if, and to the extent, applicable to the Southern Indiana Transaction) are deemed satisfied or waived by the execution of this Amendment and the consummation of the closing of the Southern Indiana Transaction.</w:t>
      </w:r>
    </w:p>
    <w:p>
      <w:pPr>
        <w:spacing w:after="0" w:line="185" w:lineRule="exact"/>
        <w:rPr>
          <w:rFonts w:ascii="Arial" w:cs="Arial" w:eastAsia="Arial" w:hAnsi="Arial"/>
          <w:sz w:val="22"/>
          <w:szCs w:val="22"/>
          <w:color w:val="auto"/>
        </w:rPr>
      </w:pPr>
    </w:p>
    <w:p>
      <w:pPr>
        <w:jc w:val="both"/>
        <w:ind w:left="969" w:hanging="323"/>
        <w:spacing w:after="0" w:line="237" w:lineRule="auto"/>
        <w:tabs>
          <w:tab w:leader="none" w:pos="960"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The amounts of the 2018 EBITDAR Pool and 2018 EBITDAR Pool Before Fifth Amendment shall not be reduced as a result of the Southern Indiana Facility no longer being a Facility under the Lease, and, without limitation,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Lease (setting forth the 2018 Facility EBITDAR of Tenant and Joliet Tenant) shall not be modified as a result of the Southern Indiana Transaction.</w:t>
      </w:r>
    </w:p>
    <w:p>
      <w:pPr>
        <w:spacing w:after="0" w:line="185" w:lineRule="exact"/>
        <w:rPr>
          <w:rFonts w:ascii="Arial" w:cs="Arial" w:eastAsia="Arial" w:hAnsi="Arial"/>
          <w:sz w:val="22"/>
          <w:szCs w:val="22"/>
          <w:color w:val="auto"/>
        </w:rPr>
      </w:pPr>
    </w:p>
    <w:p>
      <w:pPr>
        <w:ind w:left="969" w:hanging="323"/>
        <w:spacing w:after="0" w:line="298" w:lineRule="auto"/>
        <w:tabs>
          <w:tab w:leader="none" w:pos="948"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treatment of the Southern Indiana Transaction hereunder is not intended to serve as a precedent for the treatment of future dispositions (if any) which may be effectuated under any applicable provision of the Lease.</w:t>
      </w:r>
    </w:p>
    <w:p>
      <w:pPr>
        <w:spacing w:after="0" w:line="129" w:lineRule="exact"/>
        <w:rPr>
          <w:rFonts w:ascii="Arial" w:cs="Arial" w:eastAsia="Arial" w:hAnsi="Arial"/>
          <w:sz w:val="20"/>
          <w:szCs w:val="20"/>
          <w:color w:val="auto"/>
        </w:rPr>
      </w:pPr>
    </w:p>
    <w:p>
      <w:pPr>
        <w:ind w:left="329" w:hanging="329"/>
        <w:spacing w:after="0" w:line="249" w:lineRule="auto"/>
        <w:tabs>
          <w:tab w:leader="none" w:pos="323"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75" w:lineRule="exact"/>
        <w:rPr>
          <w:rFonts w:ascii="Arial" w:cs="Arial" w:eastAsia="Arial" w:hAnsi="Arial"/>
          <w:sz w:val="22"/>
          <w:szCs w:val="22"/>
          <w:color w:val="auto"/>
        </w:rPr>
      </w:pPr>
    </w:p>
    <w:p>
      <w:pPr>
        <w:ind w:left="969" w:hanging="323"/>
        <w:spacing w:after="0" w:line="249" w:lineRule="auto"/>
        <w:tabs>
          <w:tab w:leader="none" w:pos="962"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replaced with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Schedule 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869"/>
          </w:cols>
          <w:pgMar w:left="651" w:top="1411" w:right="379" w:bottom="1440" w:gutter="0" w:footer="0" w:header="0"/>
        </w:sectPr>
      </w:pPr>
    </w:p>
    <w:bookmarkStart w:id="116" w:name="page117"/>
    <w:bookmarkEnd w:id="116"/>
    <w:p>
      <w:pPr>
        <w:jc w:val="both"/>
        <w:ind w:left="1300" w:right="60" w:hanging="323"/>
        <w:spacing w:after="0" w:line="237" w:lineRule="auto"/>
        <w:tabs>
          <w:tab w:leader="none" w:pos="1299"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Legal Description (Southern Indiana)</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are hereby amended such that the legal description with respect to the Leased Property pertaining to the Southern Indiana Facility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300" w:right="60" w:hanging="323"/>
        <w:spacing w:after="0" w:line="249" w:lineRule="auto"/>
        <w:tabs>
          <w:tab w:leader="none" w:pos="129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Property Specific IP</w:t>
      </w:r>
      <w:r>
        <w:rPr>
          <w:rFonts w:ascii="Arial" w:cs="Arial" w:eastAsia="Arial" w:hAnsi="Arial"/>
          <w:sz w:val="22"/>
          <w:szCs w:val="22"/>
          <w:color w:val="auto"/>
        </w:rPr>
        <w:t xml:space="preserve">. The list of Property Specific IP set forth on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annexed to the Lease is hereby amended such that:</w:t>
      </w:r>
    </w:p>
    <w:p>
      <w:pPr>
        <w:spacing w:after="0" w:line="188"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(a) the following items of Property Specific IP listed thereon are hereby deleted from said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00" w:type="dxa"/>
            <w:vAlign w:val="bottom"/>
            <w:tcBorders>
              <w:top w:val="single" w:sz="8" w:color="auto"/>
              <w:left w:val="single" w:sz="8" w:color="auto"/>
            </w:tcBorders>
            <w:shd w:val="clear" w:color="auto" w:fill="D9D9D9"/>
          </w:tcPr>
          <w:p>
            <w:pPr>
              <w:spacing w:after="0"/>
              <w:rPr>
                <w:sz w:val="19"/>
                <w:szCs w:val="19"/>
                <w:color w:val="auto"/>
              </w:rPr>
            </w:pPr>
          </w:p>
        </w:tc>
        <w:tc>
          <w:tcPr>
            <w:tcW w:w="800" w:type="dxa"/>
            <w:vAlign w:val="bottom"/>
            <w:tcBorders>
              <w:top w:val="single" w:sz="8" w:color="auto"/>
              <w:right w:val="single" w:sz="8" w:color="auto"/>
            </w:tcBorders>
            <w:shd w:val="clear" w:color="auto" w:fill="D9D9D9"/>
          </w:tcPr>
          <w:p>
            <w:pPr>
              <w:spacing w:after="0"/>
              <w:rPr>
                <w:sz w:val="19"/>
                <w:szCs w:val="19"/>
                <w:color w:val="auto"/>
              </w:rPr>
            </w:pPr>
          </w:p>
        </w:tc>
        <w:tc>
          <w:tcPr>
            <w:tcW w:w="1300" w:type="dxa"/>
            <w:vAlign w:val="bottom"/>
            <w:tcBorders>
              <w:top w:val="single" w:sz="8" w:color="auto"/>
              <w:right w:val="single" w:sz="8" w:color="auto"/>
            </w:tcBorders>
            <w:shd w:val="clear" w:color="auto" w:fill="D9D9D9"/>
          </w:tcPr>
          <w:p>
            <w:pPr>
              <w:spacing w:after="0"/>
              <w:rPr>
                <w:sz w:val="19"/>
                <w:szCs w:val="19"/>
                <w:color w:val="auto"/>
              </w:rPr>
            </w:pPr>
          </w:p>
        </w:tc>
        <w:tc>
          <w:tcPr>
            <w:tcW w:w="1200" w:type="dxa"/>
            <w:vAlign w:val="bottom"/>
            <w:tcBorders>
              <w:top w:val="single" w:sz="8" w:color="auto"/>
              <w:right w:val="single" w:sz="8" w:color="auto"/>
            </w:tcBorders>
            <w:shd w:val="clear" w:color="auto" w:fill="D9D9D9"/>
          </w:tcPr>
          <w:p>
            <w:pPr>
              <w:spacing w:after="0"/>
              <w:rPr>
                <w:sz w:val="19"/>
                <w:szCs w:val="19"/>
                <w:color w:val="auto"/>
              </w:rPr>
            </w:pPr>
          </w:p>
        </w:tc>
        <w:tc>
          <w:tcPr>
            <w:tcW w:w="102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Specific/</w:t>
            </w:r>
          </w:p>
        </w:tc>
        <w:tc>
          <w:tcPr>
            <w:tcW w:w="1100" w:type="dxa"/>
            <w:vAlign w:val="bottom"/>
            <w:tcBorders>
              <w:top w:val="single" w:sz="8" w:color="auto"/>
              <w:right w:val="single" w:sz="8" w:color="auto"/>
            </w:tcBorders>
            <w:shd w:val="clear" w:color="auto" w:fill="D9D9D9"/>
          </w:tcPr>
          <w:p>
            <w:pPr>
              <w:spacing w:after="0"/>
              <w:rPr>
                <w:sz w:val="19"/>
                <w:szCs w:val="19"/>
                <w:color w:val="auto"/>
              </w:rPr>
            </w:pPr>
          </w:p>
        </w:tc>
        <w:tc>
          <w:tcPr>
            <w:tcW w:w="820" w:type="dxa"/>
            <w:vAlign w:val="bottom"/>
            <w:tcBorders>
              <w:top w:val="single" w:sz="8" w:color="auto"/>
              <w:right w:val="single" w:sz="8" w:color="auto"/>
            </w:tcBorders>
            <w:shd w:val="clear" w:color="auto" w:fill="D9D9D9"/>
          </w:tcPr>
          <w:p>
            <w:pPr>
              <w:spacing w:after="0"/>
              <w:rPr>
                <w:sz w:val="19"/>
                <w:szCs w:val="19"/>
                <w:color w:val="auto"/>
              </w:rPr>
            </w:pPr>
          </w:p>
        </w:tc>
        <w:tc>
          <w:tcPr>
            <w:tcW w:w="1100" w:type="dxa"/>
            <w:vAlign w:val="bottom"/>
            <w:tcBorders>
              <w:top w:val="single" w:sz="8" w:color="auto"/>
              <w:right w:val="single" w:sz="8" w:color="auto"/>
            </w:tcBorders>
            <w:shd w:val="clear" w:color="auto" w:fill="D9D9D9"/>
          </w:tcPr>
          <w:p>
            <w:pPr>
              <w:spacing w:after="0"/>
              <w:rPr>
                <w:sz w:val="19"/>
                <w:szCs w:val="19"/>
                <w:color w:val="auto"/>
              </w:rPr>
            </w:pPr>
          </w:p>
        </w:tc>
        <w:tc>
          <w:tcPr>
            <w:tcW w:w="800" w:type="dxa"/>
            <w:vAlign w:val="bottom"/>
            <w:tcBorders>
              <w:top w:val="single" w:sz="8" w:color="auto"/>
              <w:right w:val="single" w:sz="8" w:color="auto"/>
            </w:tcBorders>
            <w:shd w:val="clear" w:color="auto" w:fill="D9D9D9"/>
          </w:tcPr>
          <w:p>
            <w:pPr>
              <w:spacing w:after="0"/>
              <w:rPr>
                <w:sz w:val="19"/>
                <w:szCs w:val="19"/>
                <w:color w:val="auto"/>
              </w:rPr>
            </w:pPr>
          </w:p>
        </w:tc>
        <w:tc>
          <w:tcPr>
            <w:tcW w:w="1100" w:type="dxa"/>
            <w:vAlign w:val="bottom"/>
            <w:tcBorders>
              <w:top w:val="single" w:sz="8" w:color="auto"/>
              <w:right w:val="single" w:sz="8" w:color="auto"/>
            </w:tcBorders>
            <w:shd w:val="clear" w:color="auto" w:fill="D9D9D9"/>
          </w:tcPr>
          <w:p>
            <w:pPr>
              <w:spacing w:after="0"/>
              <w:rPr>
                <w:sz w:val="19"/>
                <w:szCs w:val="19"/>
                <w:color w:val="auto"/>
              </w:rPr>
            </w:pPr>
          </w:p>
        </w:tc>
        <w:tc>
          <w:tcPr>
            <w:tcW w:w="1220" w:type="dxa"/>
            <w:vAlign w:val="bottom"/>
            <w:tcBorders>
              <w:top w:val="single" w:sz="8" w:color="auto"/>
              <w:right w:val="single" w:sz="8" w:color="auto"/>
            </w:tcBorders>
            <w:shd w:val="clear" w:color="auto" w:fill="D9D9D9"/>
          </w:tcPr>
          <w:p>
            <w:pPr>
              <w:spacing w:after="0"/>
              <w:rPr>
                <w:sz w:val="19"/>
                <w:szCs w:val="19"/>
                <w:color w:val="auto"/>
              </w:rPr>
            </w:pPr>
          </w:p>
        </w:tc>
      </w:tr>
      <w:tr>
        <w:trPr>
          <w:trHeight w:val="252"/>
        </w:trPr>
        <w:tc>
          <w:tcPr>
            <w:tcW w:w="800" w:type="dxa"/>
            <w:vAlign w:val="bottom"/>
            <w:tcBorders>
              <w:left w:val="single" w:sz="8" w:color="auto"/>
              <w:bottom w:val="single" w:sz="8" w:color="D9D9D9"/>
            </w:tcBorders>
            <w:shd w:val="clear" w:color="auto" w:fill="D9D9D9"/>
          </w:tcPr>
          <w:p>
            <w:pPr>
              <w:ind w:left="40"/>
              <w:spacing w:after="0"/>
              <w:rPr>
                <w:sz w:val="20"/>
                <w:szCs w:val="20"/>
                <w:color w:val="auto"/>
              </w:rPr>
            </w:pPr>
            <w:r>
              <w:rPr>
                <w:rFonts w:ascii="Arial" w:cs="Arial" w:eastAsia="Arial" w:hAnsi="Arial"/>
                <w:sz w:val="17"/>
                <w:szCs w:val="17"/>
                <w:color w:val="auto"/>
              </w:rPr>
              <w:t>Mark</w:t>
            </w:r>
          </w:p>
        </w:tc>
        <w:tc>
          <w:tcPr>
            <w:tcW w:w="800" w:type="dxa"/>
            <w:vAlign w:val="bottom"/>
            <w:tcBorders>
              <w:bottom w:val="single" w:sz="8" w:color="D9D9D9"/>
              <w:right w:val="single" w:sz="8" w:color="auto"/>
            </w:tcBorders>
            <w:shd w:val="clear" w:color="auto" w:fill="D9D9D9"/>
          </w:tcPr>
          <w:p>
            <w:pPr>
              <w:spacing w:after="0"/>
              <w:rPr>
                <w:sz w:val="21"/>
                <w:szCs w:val="21"/>
                <w:color w:val="auto"/>
              </w:rPr>
            </w:pPr>
          </w:p>
        </w:tc>
        <w:tc>
          <w:tcPr>
            <w:tcW w:w="130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Jurisdiction</w:t>
            </w:r>
          </w:p>
        </w:tc>
        <w:tc>
          <w:tcPr>
            <w:tcW w:w="1200" w:type="dxa"/>
            <w:vAlign w:val="bottom"/>
            <w:tcBorders>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Brand</w:t>
            </w:r>
          </w:p>
        </w:tc>
        <w:tc>
          <w:tcPr>
            <w:tcW w:w="102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Enterprise</w:t>
            </w:r>
          </w:p>
        </w:tc>
        <w:tc>
          <w:tcPr>
            <w:tcW w:w="110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Property</w:t>
            </w:r>
          </w:p>
        </w:tc>
        <w:tc>
          <w:tcPr>
            <w:tcW w:w="82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App. No.</w:t>
            </w:r>
          </w:p>
        </w:tc>
        <w:tc>
          <w:tcPr>
            <w:tcW w:w="1100" w:type="dxa"/>
            <w:vAlign w:val="bottom"/>
            <w:tcBorders>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App. Date</w:t>
            </w:r>
          </w:p>
        </w:tc>
        <w:tc>
          <w:tcPr>
            <w:tcW w:w="800" w:type="dxa"/>
            <w:vAlign w:val="bottom"/>
            <w:tcBorders>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Reg. No.</w:t>
            </w:r>
          </w:p>
        </w:tc>
        <w:tc>
          <w:tcPr>
            <w:tcW w:w="110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Reg. Date</w:t>
            </w:r>
          </w:p>
        </w:tc>
        <w:tc>
          <w:tcPr>
            <w:tcW w:w="122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Status</w:t>
            </w:r>
          </w:p>
        </w:tc>
      </w:tr>
      <w:tr>
        <w:trPr>
          <w:trHeight w:val="205"/>
        </w:trPr>
        <w:tc>
          <w:tcPr>
            <w:tcW w:w="8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7"/>
                <w:szCs w:val="17"/>
                <w:color w:val="auto"/>
              </w:rPr>
              <w:t>Midwest</w:t>
            </w:r>
          </w:p>
        </w:tc>
        <w:tc>
          <w:tcPr>
            <w:tcW w:w="8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7"/>
                <w:szCs w:val="17"/>
                <w:color w:val="auto"/>
                <w:w w:val="92"/>
              </w:rPr>
              <w:t>Regional</w:t>
            </w:r>
          </w:p>
        </w:tc>
        <w:tc>
          <w:tcPr>
            <w:tcW w:w="1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120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Horseshoe</w:t>
            </w:r>
          </w:p>
        </w:tc>
        <w:tc>
          <w:tcPr>
            <w:tcW w:w="1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Specific</w:t>
            </w:r>
          </w:p>
        </w:tc>
        <w:tc>
          <w:tcPr>
            <w:tcW w:w="1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Caesars</w:t>
            </w:r>
          </w:p>
        </w:tc>
        <w:tc>
          <w:tcPr>
            <w:tcW w:w="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w:t>
            </w:r>
          </w:p>
        </w:tc>
        <w:tc>
          <w:tcPr>
            <w:tcW w:w="110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6/1/2016</w:t>
            </w:r>
          </w:p>
        </w:tc>
        <w:tc>
          <w:tcPr>
            <w:tcW w:w="80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w w:val="93"/>
              </w:rPr>
              <w:t>2016-0311</w:t>
            </w:r>
          </w:p>
        </w:tc>
        <w:tc>
          <w:tcPr>
            <w:tcW w:w="1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6/1/2016</w:t>
            </w:r>
          </w:p>
        </w:tc>
        <w:tc>
          <w:tcPr>
            <w:tcW w:w="1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Registered</w:t>
            </w:r>
          </w:p>
        </w:tc>
      </w:tr>
      <w:tr>
        <w:trPr>
          <w:trHeight w:val="202"/>
        </w:trPr>
        <w:tc>
          <w:tcPr>
            <w:tcW w:w="16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7"/>
                <w:szCs w:val="17"/>
                <w:color w:val="auto"/>
                <w:w w:val="91"/>
              </w:rPr>
              <w:t>Poker Championships</w:t>
            </w:r>
          </w:p>
        </w:tc>
        <w:tc>
          <w:tcPr>
            <w:tcW w:w="13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Southern</w:t>
            </w: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16"/>
        </w:trPr>
        <w:tc>
          <w:tcPr>
            <w:tcW w:w="80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31"/>
        </w:trPr>
        <w:tc>
          <w:tcPr>
            <w:tcW w:w="1600" w:type="dxa"/>
            <w:vAlign w:val="bottom"/>
            <w:tcBorders>
              <w:left w:val="single" w:sz="8" w:color="auto"/>
              <w:bottom w:val="single" w:sz="8" w:color="auto"/>
              <w:right w:val="single" w:sz="8" w:color="auto"/>
            </w:tcBorders>
            <w:gridSpan w:val="2"/>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05"/>
        </w:trPr>
        <w:tc>
          <w:tcPr>
            <w:tcW w:w="16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7"/>
                <w:szCs w:val="17"/>
                <w:color w:val="auto"/>
              </w:rPr>
              <w:t>The Venue (logo)</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12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Horseshoe</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Specific</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Caesars</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3"/>
              </w:rPr>
              <w:t>2009-0045</w:t>
            </w:r>
          </w:p>
        </w:tc>
        <w:tc>
          <w:tcPr>
            <w:tcW w:w="11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1/21/2009</w:t>
            </w:r>
          </w:p>
        </w:tc>
        <w:tc>
          <w:tcPr>
            <w:tcW w:w="80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3"/>
              </w:rPr>
              <w:t>2009-0045</w:t>
            </w: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1/21/2009</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Registered</w:t>
            </w:r>
          </w:p>
        </w:tc>
      </w:tr>
      <w:tr>
        <w:trPr>
          <w:trHeight w:val="202"/>
        </w:trPr>
        <w:tc>
          <w:tcPr>
            <w:tcW w:w="800" w:type="dxa"/>
            <w:vAlign w:val="bottom"/>
            <w:tcBorders>
              <w:lef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Southern</w:t>
            </w: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16"/>
        </w:trPr>
        <w:tc>
          <w:tcPr>
            <w:tcW w:w="80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31"/>
        </w:trPr>
        <w:tc>
          <w:tcPr>
            <w:tcW w:w="80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(b) the following item of Property Specific IP is hereby added to said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6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1340" w:type="dxa"/>
            <w:vAlign w:val="bottom"/>
            <w:tcBorders>
              <w:top w:val="single" w:sz="8" w:color="auto"/>
              <w:right w:val="single" w:sz="8" w:color="auto"/>
            </w:tcBorders>
            <w:shd w:val="clear" w:color="auto" w:fill="D9D9D9"/>
          </w:tcPr>
          <w:p>
            <w:pPr>
              <w:spacing w:after="0"/>
              <w:rPr>
                <w:sz w:val="19"/>
                <w:szCs w:val="19"/>
                <w:color w:val="auto"/>
              </w:rPr>
            </w:pPr>
          </w:p>
        </w:tc>
        <w:tc>
          <w:tcPr>
            <w:tcW w:w="1260" w:type="dxa"/>
            <w:vAlign w:val="bottom"/>
            <w:tcBorders>
              <w:top w:val="single" w:sz="8" w:color="auto"/>
              <w:right w:val="single" w:sz="8" w:color="auto"/>
            </w:tcBorders>
            <w:shd w:val="clear" w:color="auto" w:fill="D9D9D9"/>
          </w:tcPr>
          <w:p>
            <w:pPr>
              <w:spacing w:after="0"/>
              <w:rPr>
                <w:sz w:val="19"/>
                <w:szCs w:val="19"/>
                <w:color w:val="auto"/>
              </w:rPr>
            </w:pPr>
          </w:p>
        </w:tc>
        <w:tc>
          <w:tcPr>
            <w:tcW w:w="126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Specific/</w:t>
            </w:r>
          </w:p>
        </w:tc>
        <w:tc>
          <w:tcPr>
            <w:tcW w:w="1260" w:type="dxa"/>
            <w:vAlign w:val="bottom"/>
            <w:tcBorders>
              <w:top w:val="single" w:sz="8" w:color="auto"/>
              <w:right w:val="single" w:sz="8" w:color="auto"/>
            </w:tcBorders>
            <w:shd w:val="clear" w:color="auto" w:fill="D9D9D9"/>
          </w:tcPr>
          <w:p>
            <w:pPr>
              <w:spacing w:after="0"/>
              <w:rPr>
                <w:sz w:val="19"/>
                <w:szCs w:val="19"/>
                <w:color w:val="auto"/>
              </w:rPr>
            </w:pPr>
          </w:p>
        </w:tc>
        <w:tc>
          <w:tcPr>
            <w:tcW w:w="840" w:type="dxa"/>
            <w:vAlign w:val="bottom"/>
            <w:tcBorders>
              <w:top w:val="single" w:sz="8" w:color="auto"/>
              <w:right w:val="single" w:sz="8" w:color="auto"/>
            </w:tcBorders>
            <w:shd w:val="clear" w:color="auto" w:fill="D9D9D9"/>
          </w:tcPr>
          <w:p>
            <w:pPr>
              <w:spacing w:after="0"/>
              <w:rPr>
                <w:sz w:val="19"/>
                <w:szCs w:val="19"/>
                <w:color w:val="auto"/>
              </w:rPr>
            </w:pPr>
          </w:p>
        </w:tc>
        <w:tc>
          <w:tcPr>
            <w:tcW w:w="1160" w:type="dxa"/>
            <w:vAlign w:val="bottom"/>
            <w:tcBorders>
              <w:top w:val="single" w:sz="8" w:color="auto"/>
              <w:right w:val="single" w:sz="8" w:color="auto"/>
            </w:tcBorders>
            <w:shd w:val="clear" w:color="auto" w:fill="D9D9D9"/>
          </w:tcPr>
          <w:p>
            <w:pPr>
              <w:spacing w:after="0"/>
              <w:rPr>
                <w:sz w:val="19"/>
                <w:szCs w:val="19"/>
                <w:color w:val="auto"/>
              </w:rPr>
            </w:pPr>
          </w:p>
        </w:tc>
        <w:tc>
          <w:tcPr>
            <w:tcW w:w="860" w:type="dxa"/>
            <w:vAlign w:val="bottom"/>
            <w:tcBorders>
              <w:top w:val="single" w:sz="8" w:color="auto"/>
              <w:right w:val="single" w:sz="8" w:color="auto"/>
            </w:tcBorders>
            <w:shd w:val="clear" w:color="auto" w:fill="D9D9D9"/>
          </w:tcPr>
          <w:p>
            <w:pPr>
              <w:spacing w:after="0"/>
              <w:rPr>
                <w:sz w:val="19"/>
                <w:szCs w:val="19"/>
                <w:color w:val="auto"/>
              </w:rPr>
            </w:pPr>
          </w:p>
        </w:tc>
        <w:tc>
          <w:tcPr>
            <w:tcW w:w="1160" w:type="dxa"/>
            <w:vAlign w:val="bottom"/>
            <w:tcBorders>
              <w:top w:val="single" w:sz="8" w:color="auto"/>
              <w:right w:val="single" w:sz="8" w:color="auto"/>
            </w:tcBorders>
            <w:shd w:val="clear" w:color="auto" w:fill="D9D9D9"/>
          </w:tcPr>
          <w:p>
            <w:pPr>
              <w:spacing w:after="0"/>
              <w:rPr>
                <w:sz w:val="19"/>
                <w:szCs w:val="19"/>
                <w:color w:val="auto"/>
              </w:rPr>
            </w:pPr>
          </w:p>
        </w:tc>
        <w:tc>
          <w:tcPr>
            <w:tcW w:w="1260" w:type="dxa"/>
            <w:vAlign w:val="bottom"/>
            <w:tcBorders>
              <w:top w:val="single" w:sz="8" w:color="auto"/>
              <w:right w:val="single" w:sz="8" w:color="auto"/>
            </w:tcBorders>
            <w:shd w:val="clear" w:color="auto" w:fill="D9D9D9"/>
          </w:tcPr>
          <w:p>
            <w:pPr>
              <w:spacing w:after="0"/>
              <w:rPr>
                <w:sz w:val="19"/>
                <w:szCs w:val="19"/>
                <w:color w:val="auto"/>
              </w:rPr>
            </w:pPr>
          </w:p>
        </w:tc>
      </w:tr>
      <w:tr>
        <w:trPr>
          <w:trHeight w:val="252"/>
        </w:trPr>
        <w:tc>
          <w:tcPr>
            <w:tcW w:w="86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Mark</w:t>
            </w:r>
          </w:p>
        </w:tc>
        <w:tc>
          <w:tcPr>
            <w:tcW w:w="134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Jurisdiction</w:t>
            </w:r>
          </w:p>
        </w:tc>
        <w:tc>
          <w:tcPr>
            <w:tcW w:w="126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Brand</w:t>
            </w:r>
          </w:p>
        </w:tc>
        <w:tc>
          <w:tcPr>
            <w:tcW w:w="126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Enterprise</w:t>
            </w:r>
          </w:p>
        </w:tc>
        <w:tc>
          <w:tcPr>
            <w:tcW w:w="1260" w:type="dxa"/>
            <w:vAlign w:val="bottom"/>
            <w:tcBorders>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Property</w:t>
            </w:r>
          </w:p>
        </w:tc>
        <w:tc>
          <w:tcPr>
            <w:tcW w:w="84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App. No.</w:t>
            </w:r>
          </w:p>
        </w:tc>
        <w:tc>
          <w:tcPr>
            <w:tcW w:w="116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App. Date</w:t>
            </w:r>
          </w:p>
        </w:tc>
        <w:tc>
          <w:tcPr>
            <w:tcW w:w="86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7"/>
                <w:szCs w:val="17"/>
                <w:color w:val="auto"/>
              </w:rPr>
              <w:t>Reg. No.</w:t>
            </w:r>
          </w:p>
        </w:tc>
        <w:tc>
          <w:tcPr>
            <w:tcW w:w="1160" w:type="dxa"/>
            <w:vAlign w:val="bottom"/>
            <w:tcBorders>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Reg. Date</w:t>
            </w:r>
          </w:p>
        </w:tc>
        <w:tc>
          <w:tcPr>
            <w:tcW w:w="1260" w:type="dxa"/>
            <w:vAlign w:val="bottom"/>
            <w:tcBorders>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7"/>
                <w:szCs w:val="17"/>
                <w:color w:val="auto"/>
              </w:rPr>
              <w:t>Status</w:t>
            </w:r>
          </w:p>
        </w:tc>
      </w:tr>
      <w:tr>
        <w:trPr>
          <w:trHeight w:val="205"/>
        </w:trPr>
        <w:tc>
          <w:tcPr>
            <w:tcW w:w="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w w:val="93"/>
              </w:rPr>
              <w:t>The Venue</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Indiana</w:t>
            </w: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Horseshoe</w:t>
            </w: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Specific</w:t>
            </w:r>
          </w:p>
        </w:tc>
        <w:tc>
          <w:tcPr>
            <w:tcW w:w="12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Horseshoe</w:t>
            </w:r>
          </w:p>
        </w:tc>
        <w:tc>
          <w:tcPr>
            <w:tcW w:w="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5"/>
              </w:rPr>
              <w:t>2009-0045</w:t>
            </w:r>
          </w:p>
        </w:tc>
        <w:tc>
          <w:tcPr>
            <w:tcW w:w="1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1/21/2009</w:t>
            </w:r>
          </w:p>
        </w:tc>
        <w:tc>
          <w:tcPr>
            <w:tcW w:w="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8"/>
              </w:rPr>
              <w:t>2009-0045</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1/21/2009</w:t>
            </w:r>
          </w:p>
        </w:tc>
        <w:tc>
          <w:tcPr>
            <w:tcW w:w="12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Registered</w:t>
            </w:r>
          </w:p>
        </w:tc>
      </w:tr>
      <w:tr>
        <w:trPr>
          <w:trHeight w:val="216"/>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(logo)</w:t>
            </w:r>
          </w:p>
        </w:tc>
        <w:tc>
          <w:tcPr>
            <w:tcW w:w="1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Hammond</w:t>
            </w:r>
          </w:p>
        </w:tc>
        <w:tc>
          <w:tcPr>
            <w:tcW w:w="8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31"/>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300" w:right="60" w:hanging="322"/>
        <w:spacing w:after="0" w:line="239" w:lineRule="auto"/>
        <w:rPr>
          <w:sz w:val="20"/>
          <w:szCs w:val="20"/>
          <w:color w:val="auto"/>
        </w:rPr>
      </w:pPr>
      <w:r>
        <w:rPr>
          <w:rFonts w:ascii="Arial" w:cs="Arial" w:eastAsia="Arial" w:hAnsi="Arial"/>
          <w:sz w:val="22"/>
          <w:szCs w:val="22"/>
          <w:color w:val="auto"/>
        </w:rPr>
        <w:t xml:space="preserve">iv. </w:t>
      </w:r>
      <w:r>
        <w:rPr>
          <w:rFonts w:ascii="Arial" w:cs="Arial" w:eastAsia="Arial" w:hAnsi="Arial"/>
          <w:sz w:val="22"/>
          <w:szCs w:val="22"/>
          <w:u w:val="single" w:color="auto"/>
          <w:color w:val="auto"/>
        </w:rPr>
        <w:t>Description of Title Policies.</w:t>
      </w:r>
      <w:r>
        <w:rPr>
          <w:rFonts w:ascii="Arial" w:cs="Arial" w:eastAsia="Arial" w:hAnsi="Arial"/>
          <w:sz w:val="22"/>
          <w:szCs w:val="22"/>
          <w:color w:val="auto"/>
        </w:rPr>
        <w:t xml:space="preserve"> The list of Title Policies set forth on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to the Lease is hereby amended such that the reference thereon to the Title Policy relating solely to the Southern Indiana Facility is hereby deleted from said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87" w:lineRule="exact"/>
        <w:rPr>
          <w:sz w:val="20"/>
          <w:szCs w:val="20"/>
          <w:color w:val="auto"/>
        </w:rPr>
      </w:pPr>
    </w:p>
    <w:p>
      <w:pPr>
        <w:jc w:val="both"/>
        <w:ind w:left="1300" w:right="60" w:hanging="322"/>
        <w:spacing w:after="0" w:line="298" w:lineRule="auto"/>
        <w:rPr>
          <w:sz w:val="20"/>
          <w:szCs w:val="20"/>
          <w:color w:val="auto"/>
        </w:rPr>
      </w:pPr>
      <w:r>
        <w:rPr>
          <w:rFonts w:ascii="Arial" w:cs="Arial" w:eastAsia="Arial" w:hAnsi="Arial"/>
          <w:sz w:val="20"/>
          <w:szCs w:val="20"/>
          <w:color w:val="auto"/>
        </w:rPr>
        <w:t xml:space="preserve">v. </w:t>
      </w:r>
      <w:r>
        <w:rPr>
          <w:rFonts w:ascii="Arial" w:cs="Arial" w:eastAsia="Arial" w:hAnsi="Arial"/>
          <w:sz w:val="20"/>
          <w:szCs w:val="20"/>
          <w:u w:val="single" w:color="auto"/>
          <w:color w:val="auto"/>
        </w:rPr>
        <w:t>Managed Facilities IP Trademarks</w:t>
      </w:r>
      <w:r>
        <w:rPr>
          <w:rFonts w:ascii="Arial" w:cs="Arial" w:eastAsia="Arial" w:hAnsi="Arial"/>
          <w:sz w:val="20"/>
          <w:szCs w:val="20"/>
          <w:color w:val="auto"/>
        </w:rPr>
        <w:t xml:space="preserve">. The list of Managed Facilities IP set forth on </w:t>
      </w:r>
      <w:r>
        <w:rPr>
          <w:rFonts w:ascii="Arial" w:cs="Arial" w:eastAsia="Arial" w:hAnsi="Arial"/>
          <w:sz w:val="20"/>
          <w:szCs w:val="20"/>
          <w:u w:val="single" w:color="auto"/>
          <w:color w:val="auto"/>
        </w:rPr>
        <w:t>Exhibit P</w:t>
      </w:r>
      <w:r>
        <w:rPr>
          <w:rFonts w:ascii="Arial" w:cs="Arial" w:eastAsia="Arial" w:hAnsi="Arial"/>
          <w:sz w:val="20"/>
          <w:szCs w:val="20"/>
          <w:color w:val="auto"/>
        </w:rPr>
        <w:t xml:space="preserve"> annexed to the Lease is hereby amended such that “Caesars Southern Indiana” is hereby deleted from said </w:t>
      </w:r>
      <w:r>
        <w:rPr>
          <w:rFonts w:ascii="Arial" w:cs="Arial" w:eastAsia="Arial" w:hAnsi="Arial"/>
          <w:sz w:val="20"/>
          <w:szCs w:val="20"/>
          <w:u w:val="single" w:color="auto"/>
          <w:color w:val="auto"/>
        </w:rPr>
        <w:t>Exhibit P</w:t>
      </w:r>
      <w:r>
        <w:rPr>
          <w:rFonts w:ascii="Arial" w:cs="Arial" w:eastAsia="Arial" w:hAnsi="Arial"/>
          <w:sz w:val="20"/>
          <w:szCs w:val="20"/>
          <w:color w:val="auto"/>
        </w:rPr>
        <w:t>.</w:t>
      </w:r>
    </w:p>
    <w:p>
      <w:pPr>
        <w:spacing w:after="0" w:line="129" w:lineRule="exact"/>
        <w:rPr>
          <w:sz w:val="20"/>
          <w:szCs w:val="20"/>
          <w:color w:val="auto"/>
        </w:rPr>
      </w:pPr>
    </w:p>
    <w:p>
      <w:pPr>
        <w:jc w:val="both"/>
        <w:ind w:left="1300" w:right="60" w:hanging="322"/>
        <w:spacing w:after="0" w:line="275" w:lineRule="auto"/>
        <w:rPr>
          <w:sz w:val="20"/>
          <w:szCs w:val="20"/>
          <w:color w:val="auto"/>
        </w:rPr>
      </w:pPr>
      <w:r>
        <w:rPr>
          <w:rFonts w:ascii="Arial" w:cs="Arial" w:eastAsia="Arial" w:hAnsi="Arial"/>
          <w:sz w:val="20"/>
          <w:szCs w:val="20"/>
          <w:color w:val="auto"/>
        </w:rPr>
        <w:t xml:space="preserve">vi. </w:t>
      </w:r>
      <w:r>
        <w:rPr>
          <w:rFonts w:ascii="Arial" w:cs="Arial" w:eastAsia="Arial" w:hAnsi="Arial"/>
          <w:sz w:val="20"/>
          <w:szCs w:val="20"/>
          <w:u w:val="single" w:color="auto"/>
          <w:color w:val="auto"/>
        </w:rPr>
        <w:t>Landlord Entities</w:t>
      </w:r>
      <w:r>
        <w:rPr>
          <w:rFonts w:ascii="Arial" w:cs="Arial" w:eastAsia="Arial" w:hAnsi="Arial"/>
          <w:sz w:val="20"/>
          <w:szCs w:val="20"/>
          <w:color w:val="auto"/>
        </w:rPr>
        <w:t xml:space="preserve">. The list of entities comprising Landlord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annexed to the Lease is hereby amended such that, from and after the date hereof, Horseshoe Southern Indiana LLC shall be deleted from said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and Horseshoe Southern Indiana LLC shall no longer be a Landlord under the Lease.</w:t>
      </w:r>
    </w:p>
    <w:p>
      <w:pPr>
        <w:spacing w:after="0" w:line="152" w:lineRule="exact"/>
        <w:rPr>
          <w:sz w:val="20"/>
          <w:szCs w:val="20"/>
          <w:color w:val="auto"/>
        </w:rPr>
      </w:pPr>
    </w:p>
    <w:p>
      <w:pPr>
        <w:jc w:val="both"/>
        <w:ind w:left="1300" w:right="60" w:hanging="322"/>
        <w:spacing w:after="0" w:line="249" w:lineRule="auto"/>
        <w:rPr>
          <w:sz w:val="20"/>
          <w:szCs w:val="20"/>
          <w:color w:val="auto"/>
        </w:rPr>
      </w:pPr>
      <w:r>
        <w:rPr>
          <w:rFonts w:ascii="Arial" w:cs="Arial" w:eastAsia="Arial" w:hAnsi="Arial"/>
          <w:sz w:val="22"/>
          <w:szCs w:val="22"/>
          <w:color w:val="auto"/>
        </w:rPr>
        <w:t xml:space="preserve">vii. </w:t>
      </w:r>
      <w:r>
        <w:rPr>
          <w:rFonts w:ascii="Arial" w:cs="Arial" w:eastAsia="Arial" w:hAnsi="Arial"/>
          <w:sz w:val="22"/>
          <w:szCs w:val="22"/>
          <w:u w:val="single" w:color="auto"/>
          <w:color w:val="auto"/>
        </w:rPr>
        <w:t>Tenant Entities</w:t>
      </w:r>
      <w:r>
        <w:rPr>
          <w:rFonts w:ascii="Arial" w:cs="Arial" w:eastAsia="Arial" w:hAnsi="Arial"/>
          <w:sz w:val="22"/>
          <w:szCs w:val="22"/>
          <w:color w:val="auto"/>
        </w:rPr>
        <w:t xml:space="preserve">. The list of entities comprising Tenant set forth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annexed to the Lease is hereby amended such that, from and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60"/>
          </w:cols>
          <w:pgMar w:left="320" w:top="1411" w:right="319" w:bottom="1440" w:gutter="0" w:footer="0" w:header="0"/>
        </w:sectPr>
      </w:pPr>
    </w:p>
    <w:bookmarkStart w:id="117" w:name="page118"/>
    <w:bookmarkEnd w:id="117"/>
    <w:p>
      <w:pPr>
        <w:jc w:val="both"/>
        <w:ind w:left="1300" w:right="40"/>
        <w:spacing w:after="0" w:line="239" w:lineRule="auto"/>
        <w:rPr>
          <w:sz w:val="20"/>
          <w:szCs w:val="20"/>
          <w:color w:val="auto"/>
        </w:rPr>
      </w:pPr>
      <w:r>
        <w:rPr>
          <w:rFonts w:ascii="Arial" w:cs="Arial" w:eastAsia="Arial" w:hAnsi="Arial"/>
          <w:sz w:val="22"/>
          <w:szCs w:val="22"/>
          <w:color w:val="auto"/>
        </w:rPr>
        <w:t xml:space="preserve">Caesars Riverboat Casino, LLC and Roman Holding Company of Indiana LLC shall be deleted from said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and Caesars Riverboat Casino, LLC and Roman Holding Company of Indiana LLC shall no longer be Tenants under the Lease.</w:t>
      </w:r>
    </w:p>
    <w:p>
      <w:pPr>
        <w:spacing w:after="0" w:line="187" w:lineRule="exact"/>
        <w:rPr>
          <w:sz w:val="20"/>
          <w:szCs w:val="20"/>
          <w:color w:val="auto"/>
        </w:rPr>
      </w:pPr>
    </w:p>
    <w:p>
      <w:pPr>
        <w:jc w:val="both"/>
        <w:ind w:left="1300" w:right="40" w:hanging="323"/>
        <w:spacing w:after="0" w:line="239" w:lineRule="auto"/>
        <w:tabs>
          <w:tab w:leader="none" w:pos="1938"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Gaming Licenses</w:t>
      </w:r>
      <w:r>
        <w:rPr>
          <w:rFonts w:ascii="Arial" w:cs="Arial" w:eastAsia="Arial" w:hAnsi="Arial"/>
          <w:sz w:val="22"/>
          <w:szCs w:val="22"/>
          <w:color w:val="auto"/>
        </w:rPr>
        <w:t xml:space="preserve">. The list of Gaming Licenses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annexed to the Lease is hereby amended such that the Gaming Licenses bearing Unique IDs 458 and 121 relating to the Southern Indiana Facility are hereby deleted from said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1300" w:right="40" w:hanging="323"/>
        <w:spacing w:after="0" w:line="239" w:lineRule="auto"/>
        <w:tabs>
          <w:tab w:leader="none" w:pos="1293"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Maximum Fixed Rent Term</w:t>
      </w:r>
      <w:r>
        <w:rPr>
          <w:rFonts w:ascii="Arial" w:cs="Arial" w:eastAsia="Arial" w:hAnsi="Arial"/>
          <w:sz w:val="22"/>
          <w:szCs w:val="22"/>
          <w:color w:val="auto"/>
        </w:rPr>
        <w:t xml:space="preserve">. The schedule setting forth the Maximum Fixed Rent Term with respect to each Facility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annexed to the Lease is hereby amended such that the reference to “Horseshoe Southern Indiana” thereon is hereby deleted from said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1300" w:right="40" w:hanging="323"/>
        <w:spacing w:after="0" w:line="239" w:lineRule="auto"/>
        <w:tabs>
          <w:tab w:leader="none" w:pos="1300"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Specified Subleases</w:t>
      </w:r>
      <w:r>
        <w:rPr>
          <w:rFonts w:ascii="Arial" w:cs="Arial" w:eastAsia="Arial" w:hAnsi="Arial"/>
          <w:sz w:val="22"/>
          <w:szCs w:val="22"/>
          <w:color w:val="auto"/>
        </w:rPr>
        <w:t xml:space="preserve">. The list of Specified Subleases set forth on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annexed to the Lease is hereby amended such that the Specified Subleases bearing Contract ID Nos. 8804, 14892, 8891, 8892, 14839, 14840, 15228, and 14893 are hereby deleted from said </w:t>
      </w:r>
      <w:r>
        <w:rPr>
          <w:rFonts w:ascii="Arial" w:cs="Arial" w:eastAsia="Arial" w:hAnsi="Arial"/>
          <w:sz w:val="22"/>
          <w:szCs w:val="22"/>
          <w:u w:val="single" w:color="auto"/>
          <w:color w:val="auto"/>
        </w:rPr>
        <w:t>Schedule 4</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1300" w:right="40" w:hanging="323"/>
        <w:spacing w:after="0" w:line="275" w:lineRule="auto"/>
        <w:tabs>
          <w:tab w:leader="none" w:pos="1293"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Property Specific Rent Allocation</w:t>
      </w:r>
      <w:r>
        <w:rPr>
          <w:rFonts w:ascii="Arial" w:cs="Arial" w:eastAsia="Arial" w:hAnsi="Arial"/>
          <w:sz w:val="20"/>
          <w:szCs w:val="20"/>
          <w:color w:val="auto"/>
        </w:rPr>
        <w:t xml:space="preserve">. The schedule setting forth the property-specific rent allocation with respect to the two (2) facilities set forth on </w:t>
      </w:r>
      <w:r>
        <w:rPr>
          <w:rFonts w:ascii="Arial" w:cs="Arial" w:eastAsia="Arial" w:hAnsi="Arial"/>
          <w:sz w:val="20"/>
          <w:szCs w:val="20"/>
          <w:u w:val="single" w:color="auto"/>
          <w:color w:val="auto"/>
        </w:rPr>
        <w:t>Schedule 5-A</w:t>
      </w:r>
      <w:r>
        <w:rPr>
          <w:rFonts w:ascii="Arial" w:cs="Arial" w:eastAsia="Arial" w:hAnsi="Arial"/>
          <w:sz w:val="20"/>
          <w:szCs w:val="20"/>
          <w:color w:val="auto"/>
        </w:rPr>
        <w:t xml:space="preserve"> annexed to the Lease is hereby amended such that the reference to “Horseshoe Southern Indiana: $3,221,235.00” thereon is deleted from said </w:t>
      </w:r>
      <w:r>
        <w:rPr>
          <w:rFonts w:ascii="Arial" w:cs="Arial" w:eastAsia="Arial" w:hAnsi="Arial"/>
          <w:sz w:val="20"/>
          <w:szCs w:val="20"/>
          <w:u w:val="single" w:color="auto"/>
          <w:color w:val="auto"/>
        </w:rPr>
        <w:t>Schedule 5-A</w:t>
      </w:r>
      <w:r>
        <w:rPr>
          <w:rFonts w:ascii="Arial" w:cs="Arial" w:eastAsia="Arial" w:hAnsi="Arial"/>
          <w:sz w:val="20"/>
          <w:szCs w:val="20"/>
          <w:color w:val="auto"/>
        </w:rPr>
        <w:t>.</w:t>
      </w:r>
    </w:p>
    <w:p>
      <w:pPr>
        <w:spacing w:after="0" w:line="159" w:lineRule="exact"/>
        <w:rPr>
          <w:rFonts w:ascii="Arial" w:cs="Arial" w:eastAsia="Arial" w:hAnsi="Arial"/>
          <w:sz w:val="20"/>
          <w:szCs w:val="20"/>
          <w:color w:val="auto"/>
        </w:rPr>
      </w:pPr>
    </w:p>
    <w:p>
      <w:pPr>
        <w:jc w:val="both"/>
        <w:ind w:firstLine="654"/>
        <w:spacing w:after="0" w:line="290" w:lineRule="auto"/>
        <w:tabs>
          <w:tab w:leader="none" w:pos="1293" w:val="left"/>
        </w:tabs>
        <w:numPr>
          <w:ilvl w:val="0"/>
          <w:numId w:val="99"/>
        </w:numPr>
        <w:rPr>
          <w:rFonts w:ascii="Arial" w:cs="Arial" w:eastAsia="Arial" w:hAnsi="Arial"/>
          <w:sz w:val="19"/>
          <w:szCs w:val="19"/>
          <w:color w:val="auto"/>
        </w:rPr>
      </w:pPr>
      <w:r>
        <w:rPr>
          <w:rFonts w:ascii="Arial" w:cs="Arial" w:eastAsia="Arial" w:hAnsi="Arial"/>
          <w:sz w:val="19"/>
          <w:szCs w:val="19"/>
          <w:b w:val="1"/>
          <w:bCs w:val="1"/>
          <w:u w:val="single" w:color="auto"/>
          <w:color w:val="auto"/>
        </w:rPr>
        <w:t>No Other Modification or Amendment to the Lease</w:t>
      </w:r>
      <w:r>
        <w:rPr>
          <w:rFonts w:ascii="Arial" w:cs="Arial" w:eastAsia="Arial" w:hAnsi="Arial"/>
          <w:sz w:val="19"/>
          <w:szCs w:val="19"/>
          <w:color w:val="auto"/>
        </w:rPr>
        <w:t>. The Lease shall remain in full force and effect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expressly amended or modified by this Amendment. From and after the date of this Amendment, all references in the Lease to the “</w:t>
      </w:r>
      <w:r>
        <w:rPr>
          <w:rFonts w:ascii="Arial" w:cs="Arial" w:eastAsia="Arial" w:hAnsi="Arial"/>
          <w:sz w:val="19"/>
          <w:szCs w:val="19"/>
          <w:b w:val="1"/>
          <w:bCs w:val="1"/>
          <w:color w:val="auto"/>
        </w:rPr>
        <w:t>Lease</w:t>
      </w:r>
      <w:r>
        <w:rPr>
          <w:rFonts w:ascii="Arial" w:cs="Arial" w:eastAsia="Arial" w:hAnsi="Arial"/>
          <w:sz w:val="19"/>
          <w:szCs w:val="19"/>
          <w:color w:val="auto"/>
        </w:rPr>
        <w:t xml:space="preserve">” shall be deemed to refer to the Lease as amended by this Amendment. For the avoidance of doubt, the Lease shall continue in full force and effect with respect to the balance of (x) the Facilities (other than (i) the Bluegrass Downs Facility as of the Bluegrass Downs Severance Date in accordance with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of this Amendment and (ii) the Southern Indiana Facility as of the date hereof in accordance with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of this Amendment) and (y) the Leased Property (other than (i) the Bluegrass Downs Leased Property as of the Bluegrass Downs Severance Date in accordance with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of this Amendment and (ii) the Southern Indiana Leased Property as of the date hereof in accordance with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of this Amendment).</w:t>
      </w:r>
    </w:p>
    <w:p>
      <w:pPr>
        <w:spacing w:after="0" w:line="150" w:lineRule="exact"/>
        <w:rPr>
          <w:rFonts w:ascii="Arial" w:cs="Arial" w:eastAsia="Arial" w:hAnsi="Arial"/>
          <w:sz w:val="19"/>
          <w:szCs w:val="19"/>
          <w:color w:val="auto"/>
        </w:rPr>
      </w:pPr>
    </w:p>
    <w:p>
      <w:pPr>
        <w:jc w:val="both"/>
        <w:ind w:firstLine="654"/>
        <w:spacing w:after="0" w:line="251" w:lineRule="auto"/>
        <w:tabs>
          <w:tab w:leader="none" w:pos="1293" w:val="left"/>
        </w:tabs>
        <w:numPr>
          <w:ilvl w:val="0"/>
          <w:numId w:val="9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80" w:lineRule="exact"/>
        <w:rPr>
          <w:rFonts w:ascii="Arial" w:cs="Arial" w:eastAsia="Arial" w:hAnsi="Arial"/>
          <w:sz w:val="22"/>
          <w:szCs w:val="22"/>
          <w:color w:val="auto"/>
        </w:rPr>
      </w:pPr>
    </w:p>
    <w:p>
      <w:pPr>
        <w:ind w:firstLine="654"/>
        <w:spacing w:after="0" w:line="268" w:lineRule="auto"/>
        <w:tabs>
          <w:tab w:leader="none" w:pos="1293" w:val="left"/>
        </w:tabs>
        <w:numPr>
          <w:ilvl w:val="0"/>
          <w:numId w:val="99"/>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1" w:right="339" w:bottom="1440" w:gutter="0" w:footer="0" w:header="0"/>
        </w:sectPr>
      </w:pPr>
    </w:p>
    <w:bookmarkStart w:id="118" w:name="page119"/>
    <w:bookmarkEnd w:id="118"/>
    <w:p>
      <w:pPr>
        <w:ind w:right="20"/>
        <w:spacing w:after="0" w:line="262" w:lineRule="auto"/>
        <w:rPr>
          <w:sz w:val="20"/>
          <w:szCs w:val="20"/>
          <w:color w:val="auto"/>
        </w:rPr>
      </w:pPr>
      <w:r>
        <w:rPr>
          <w:rFonts w:ascii="Arial" w:cs="Arial" w:eastAsia="Arial" w:hAnsi="Arial"/>
          <w:sz w:val="22"/>
          <w:szCs w:val="22"/>
          <w:color w:val="auto"/>
        </w:rPr>
        <w:t>be deemed to constitute one and the same instrument. Facsimile and/or .pdf signatures shall be deemed to be originals for all purposes.</w:t>
      </w:r>
    </w:p>
    <w:p>
      <w:pPr>
        <w:spacing w:after="0" w:line="169" w:lineRule="exact"/>
        <w:rPr>
          <w:sz w:val="20"/>
          <w:szCs w:val="20"/>
          <w:color w:val="auto"/>
        </w:rPr>
      </w:pPr>
    </w:p>
    <w:p>
      <w:pPr>
        <w:ind w:firstLine="654"/>
        <w:spacing w:after="0" w:line="268" w:lineRule="auto"/>
        <w:tabs>
          <w:tab w:leader="none" w:pos="1293" w:val="left"/>
        </w:tabs>
        <w:numPr>
          <w:ilvl w:val="0"/>
          <w:numId w:val="100"/>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2" w:lineRule="exact"/>
        <w:rPr>
          <w:rFonts w:ascii="Arial" w:cs="Arial" w:eastAsia="Arial" w:hAnsi="Arial"/>
          <w:sz w:val="22"/>
          <w:szCs w:val="22"/>
          <w:color w:val="auto"/>
        </w:rPr>
      </w:pPr>
    </w:p>
    <w:p>
      <w:pPr>
        <w:jc w:val="both"/>
        <w:ind w:firstLine="654"/>
        <w:spacing w:after="0" w:line="274" w:lineRule="auto"/>
        <w:tabs>
          <w:tab w:leader="none" w:pos="1293" w:val="left"/>
        </w:tabs>
        <w:numPr>
          <w:ilvl w:val="0"/>
          <w:numId w:val="100"/>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If any provision of this Amendment is adjudicated to be invalid, illegal or unenforceable, in whole</w:t>
      </w:r>
      <w:r>
        <w:rPr>
          <w:rFonts w:ascii="Arial" w:cs="Arial" w:eastAsia="Arial" w:hAnsi="Arial"/>
          <w:sz w:val="20"/>
          <w:szCs w:val="20"/>
          <w:b w:val="1"/>
          <w:bCs w:val="1"/>
          <w:color w:val="auto"/>
        </w:rPr>
        <w:t xml:space="preserve"> </w:t>
      </w:r>
      <w:r>
        <w:rPr>
          <w:rFonts w:ascii="Arial" w:cs="Arial" w:eastAsia="Arial" w:hAnsi="Arial"/>
          <w:sz w:val="20"/>
          <w:szCs w:val="20"/>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5" w:right="339" w:bottom="1440" w:gutter="0" w:footer="0" w:header="0"/>
        </w:sectPr>
      </w:pPr>
    </w:p>
    <w:bookmarkStart w:id="119" w:name="page120"/>
    <w:bookmarkEnd w:id="119"/>
    <w:p>
      <w:pPr>
        <w:ind w:firstLine="646"/>
        <w:spacing w:after="0" w:line="26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COUNCIL BLUFFS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METROPOLIS LLC</w:t>
      </w:r>
    </w:p>
    <w:p>
      <w:pPr>
        <w:spacing w:after="0" w:line="3" w:lineRule="exact"/>
        <w:rPr>
          <w:sz w:val="20"/>
          <w:szCs w:val="20"/>
          <w:color w:val="auto"/>
        </w:rPr>
      </w:pPr>
    </w:p>
    <w:p>
      <w:pPr>
        <w:ind w:right="1720"/>
        <w:spacing w:after="0" w:line="242" w:lineRule="auto"/>
        <w:rPr>
          <w:sz w:val="20"/>
          <w:szCs w:val="20"/>
          <w:color w:val="auto"/>
        </w:rPr>
      </w:pPr>
      <w:r>
        <w:rPr>
          <w:rFonts w:ascii="Arial" w:cs="Arial" w:eastAsia="Arial" w:hAnsi="Arial"/>
          <w:sz w:val="22"/>
          <w:szCs w:val="22"/>
          <w:b w:val="1"/>
          <w:bCs w:val="1"/>
          <w:color w:val="auto"/>
        </w:rPr>
        <w:t>CAESARS SOUTHERN INDIANA PROPCO LLC (f/k/a HORSESHOE SOUTHERN INDIANA LLC) NEW HORSESHOE HAMMOND LLC</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HARRAH’S NORTH KANSAS CITY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BILOXI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TUNICA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TUNICA ROADHOUSE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ATLANTIC CITY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ATLANTIC CITY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LAKE TAHOE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LAKE TAHOE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RENO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BLUEGRASS DOWNS PROPERTY OWNER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DEVELOPMENT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OPERATING PROPERTY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 LAND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GULFPORT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PHILADELPHIA PROPCO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ATLANTIC CITY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LAUGHLIN OWNER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NEW ORLEANS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each, a Delaware limited liability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219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BOSSIER CITY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each, a Louisiana limited liability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219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ectPr>
          <w:pgSz w:w="11900" w:h="16838" w:orient="portrait"/>
          <w:cols w:equalWidth="0" w:num="1">
            <w:col w:w="11240"/>
          </w:cols>
          <w:pgMar w:left="320" w:top="14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Eighth Amendment to Regional Lease]</w:t>
      </w:r>
    </w:p>
    <w:p>
      <w:pPr>
        <w:sectPr>
          <w:pgSz w:w="11900" w:h="16838" w:orient="portrait"/>
          <w:cols w:equalWidth="0" w:num="1">
            <w:col w:w="11240"/>
          </w:cols>
          <w:pgMar w:left="320" w:top="1424"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TENANT: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SOUTHERN ILLINOIS RIVERBOAT/CASINO CRUISES LLC</w:t>
      </w:r>
      <w:r>
        <w:rPr>
          <w:rFonts w:ascii="Arial" w:cs="Arial" w:eastAsia="Arial" w:hAnsi="Arial"/>
          <w:sz w:val="20"/>
          <w:szCs w:val="20"/>
          <w:color w:val="auto"/>
        </w:rPr>
        <w:t>, an Illinois limited liability company,</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RIVERBOAT CASINO, LLC</w:t>
      </w:r>
      <w:r>
        <w:rPr>
          <w:rFonts w:ascii="Arial" w:cs="Arial" w:eastAsia="Arial" w:hAnsi="Arial"/>
          <w:sz w:val="22"/>
          <w:szCs w:val="22"/>
          <w:color w:val="auto"/>
        </w:rPr>
        <w:t>, an Indiana limited liability company,</w:t>
      </w:r>
    </w:p>
    <w:p>
      <w:pPr>
        <w:spacing w:after="0" w:line="3" w:lineRule="exact"/>
        <w:rPr>
          <w:sz w:val="20"/>
          <w:szCs w:val="20"/>
          <w:color w:val="auto"/>
        </w:rPr>
      </w:pPr>
    </w:p>
    <w:p>
      <w:pPr>
        <w:ind w:right="1899"/>
        <w:spacing w:after="0" w:line="242" w:lineRule="auto"/>
        <w:rPr>
          <w:sz w:val="20"/>
          <w:szCs w:val="20"/>
          <w:color w:val="auto"/>
        </w:rPr>
      </w:pPr>
      <w:r>
        <w:rPr>
          <w:rFonts w:ascii="Arial" w:cs="Arial" w:eastAsia="Arial" w:hAnsi="Arial"/>
          <w:sz w:val="22"/>
          <w:szCs w:val="22"/>
          <w:b w:val="1"/>
          <w:bCs w:val="1"/>
          <w:color w:val="auto"/>
        </w:rPr>
        <w:t>ROMAN HOLDING COMPANY OF INDIANA LLC</w:t>
      </w:r>
      <w:r>
        <w:rPr>
          <w:rFonts w:ascii="Arial" w:cs="Arial" w:eastAsia="Arial" w:hAnsi="Arial"/>
          <w:sz w:val="22"/>
          <w:szCs w:val="22"/>
          <w:color w:val="auto"/>
        </w:rPr>
        <w:t>, an Indiana limited liability company,</w:t>
      </w:r>
      <w:r>
        <w:rPr>
          <w:rFonts w:ascii="Arial" w:cs="Arial" w:eastAsia="Arial" w:hAnsi="Arial"/>
          <w:sz w:val="22"/>
          <w:szCs w:val="22"/>
          <w:b w:val="1"/>
          <w:bCs w:val="1"/>
          <w:color w:val="auto"/>
        </w:rPr>
        <w:t xml:space="preserve"> HORSESHOE HAMMOND, LLC</w:t>
      </w:r>
      <w:r>
        <w:rPr>
          <w:rFonts w:ascii="Arial" w:cs="Arial" w:eastAsia="Arial" w:hAnsi="Arial"/>
          <w:sz w:val="22"/>
          <w:szCs w:val="22"/>
          <w:color w:val="auto"/>
        </w:rPr>
        <w:t>, an Indiana limited liability company,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BOSSIER CITY INVESTMENT COMPANY, L.L.C.</w:t>
      </w:r>
      <w:r>
        <w:rPr>
          <w:rFonts w:ascii="Arial" w:cs="Arial" w:eastAsia="Arial" w:hAnsi="Arial"/>
          <w:sz w:val="20"/>
          <w:szCs w:val="20"/>
          <w:color w:val="auto"/>
        </w:rPr>
        <w:t>, a Louisiana limited liability company,</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line="3" w:lineRule="exact"/>
        <w:rPr>
          <w:sz w:val="20"/>
          <w:szCs w:val="20"/>
          <w:color w:val="auto"/>
        </w:rPr>
      </w:pPr>
    </w:p>
    <w:p>
      <w:pPr>
        <w:ind w:right="1739"/>
        <w:spacing w:after="0" w:line="267" w:lineRule="auto"/>
        <w:rPr>
          <w:sz w:val="20"/>
          <w:szCs w:val="20"/>
          <w:color w:val="auto"/>
        </w:rPr>
      </w:pPr>
      <w:r>
        <w:rPr>
          <w:rFonts w:ascii="Arial" w:cs="Arial" w:eastAsia="Arial" w:hAnsi="Arial"/>
          <w:sz w:val="20"/>
          <w:szCs w:val="20"/>
          <w:b w:val="1"/>
          <w:bCs w:val="1"/>
          <w:color w:val="auto"/>
        </w:rPr>
        <w:t>HARVEYS TAHOE MANAGEMENT COMPANY LLC</w:t>
      </w:r>
      <w:r>
        <w:rPr>
          <w:rFonts w:ascii="Arial" w:cs="Arial" w:eastAsia="Arial" w:hAnsi="Arial"/>
          <w:sz w:val="20"/>
          <w:szCs w:val="20"/>
          <w:color w:val="auto"/>
        </w:rPr>
        <w:t>, a Nevada limited liability company,</w:t>
      </w:r>
      <w:r>
        <w:rPr>
          <w:rFonts w:ascii="Arial" w:cs="Arial" w:eastAsia="Arial" w:hAnsi="Arial"/>
          <w:sz w:val="20"/>
          <w:szCs w:val="20"/>
          <w:b w:val="1"/>
          <w:bCs w:val="1"/>
          <w:color w:val="auto"/>
        </w:rPr>
        <w:t xml:space="preserve"> PLAYERS BLUEGRASS DOWNS LLC</w:t>
      </w:r>
      <w:r>
        <w:rPr>
          <w:rFonts w:ascii="Arial" w:cs="Arial" w:eastAsia="Arial" w:hAnsi="Arial"/>
          <w:sz w:val="20"/>
          <w:szCs w:val="20"/>
          <w:color w:val="auto"/>
        </w:rPr>
        <w:t>, a Kentucky limited liability company,</w:t>
      </w:r>
    </w:p>
    <w:p>
      <w:pPr>
        <w:spacing w:after="0"/>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1664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[Signature Page to Eighth Amendment to Regional Lease]</w:t>
      </w:r>
    </w:p>
    <w:p>
      <w:pPr>
        <w:sectPr>
          <w:pgSz w:w="11900" w:h="16838" w:orient="portrait"/>
          <w:cols w:equalWidth="0" w:num="1">
            <w:col w:w="10139"/>
          </w:cols>
          <w:pgMar w:left="320" w:top="1418" w:right="1440"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b w:val="1"/>
          <w:bCs w:val="1"/>
          <w:color w:val="auto"/>
        </w:rPr>
        <w:t>HORSESHOE ENTERTAINMENT,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Louisiana limited partnership</w:t>
      </w:r>
    </w:p>
    <w:p>
      <w:pPr>
        <w:spacing w:after="0" w:line="22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Nevada limited partnership,</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27"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Nevada limited liability company,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-17780</wp:posOffset>
            </wp:positionV>
            <wp:extent cx="11664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New Jersey limited liability company,</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-17780</wp:posOffset>
            </wp:positionV>
            <wp:extent cx="11664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2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-17780</wp:posOffset>
            </wp:positionV>
            <wp:extent cx="11664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1999"/>
        <w:spacing w:after="0"/>
        <w:rPr>
          <w:sz w:val="20"/>
          <w:szCs w:val="20"/>
          <w:color w:val="auto"/>
        </w:rPr>
      </w:pPr>
      <w:r>
        <w:rPr>
          <w:rFonts w:ascii="Arial" w:cs="Arial" w:eastAsia="Arial" w:hAnsi="Arial"/>
          <w:sz w:val="22"/>
          <w:szCs w:val="22"/>
          <w:color w:val="auto"/>
        </w:rPr>
        <w:t>[Signature Page to Eighth Amendment to Regional Lease]</w:t>
      </w:r>
    </w:p>
    <w:p>
      <w:pPr>
        <w:sectPr>
          <w:pgSz w:w="11900" w:h="16838" w:orient="portrait"/>
          <w:cols w:equalWidth="0" w:num="1">
            <w:col w:w="10139"/>
          </w:cols>
          <w:pgMar w:left="320" w:top="1418" w:right="1440"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b w:val="1"/>
          <w:bCs w:val="1"/>
          <w:color w:val="auto"/>
        </w:rPr>
        <w:t>CHESTER DOWNS AND MARINA,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27" w:lineRule="exact"/>
        <w:rPr>
          <w:sz w:val="20"/>
          <w:szCs w:val="20"/>
          <w:color w:val="auto"/>
        </w:rPr>
      </w:pPr>
    </w:p>
    <w:p>
      <w:pPr>
        <w:ind w:left="220" w:right="5019" w:hanging="214"/>
        <w:spacing w:after="0" w:line="262"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-17780</wp:posOffset>
            </wp:positionV>
            <wp:extent cx="11664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0" w:lineRule="exact"/>
        <w:rPr>
          <w:sz w:val="20"/>
          <w:szCs w:val="20"/>
          <w:color w:val="auto"/>
        </w:rPr>
      </w:pPr>
    </w:p>
    <w:p>
      <w:pPr>
        <w:ind w:right="4119"/>
        <w:spacing w:after="0" w:line="268"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-17780</wp:posOffset>
            </wp:positionV>
            <wp:extent cx="11664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1999"/>
        <w:spacing w:after="0"/>
        <w:rPr>
          <w:sz w:val="20"/>
          <w:szCs w:val="20"/>
          <w:color w:val="auto"/>
        </w:rPr>
      </w:pPr>
      <w:r>
        <w:rPr>
          <w:rFonts w:ascii="Arial" w:cs="Arial" w:eastAsia="Arial" w:hAnsi="Arial"/>
          <w:sz w:val="22"/>
          <w:szCs w:val="22"/>
          <w:color w:val="auto"/>
        </w:rPr>
        <w:t>[Signature Page to Eighth Amendment to Regional Lease]</w:t>
      </w:r>
    </w:p>
    <w:p>
      <w:pPr>
        <w:sectPr>
          <w:pgSz w:w="11900" w:h="16838" w:orient="portrait"/>
          <w:cols w:equalWidth="0" w:num="1">
            <w:col w:w="10139"/>
          </w:cols>
          <w:pgMar w:left="320" w:top="1418" w:right="1440"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color w:val="auto"/>
        </w:rPr>
        <w:t xml:space="preserve">Acknowledged and agreed, solely for the purposes of the penultimate paragraph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219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[Signature Page to Eighth Amendment to Regional Lease]</w:t>
      </w:r>
    </w:p>
    <w:p>
      <w:pPr>
        <w:sectPr>
          <w:pgSz w:w="11900" w:h="16838" w:orient="portrait"/>
          <w:cols w:equalWidth="0" w:num="1">
            <w:col w:w="10139"/>
          </w:cols>
          <w:pgMar w:left="320" w:top="1424"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The undersigned (“</w:t>
      </w:r>
      <w:r>
        <w:rPr>
          <w:rFonts w:ascii="Arial" w:cs="Arial" w:eastAsia="Arial" w:hAnsi="Arial"/>
          <w:sz w:val="20"/>
          <w:szCs w:val="20"/>
          <w:u w:val="single" w:color="auto"/>
          <w:color w:val="auto"/>
        </w:rPr>
        <w:t>Guarantor</w:t>
      </w:r>
      <w:r>
        <w:rPr>
          <w:rFonts w:ascii="Arial" w:cs="Arial" w:eastAsia="Arial" w:hAnsi="Arial"/>
          <w:sz w:val="20"/>
          <w:szCs w:val="20"/>
          <w:color w:val="auto"/>
        </w:rPr>
        <w:t>”) hereby: (a) acknowledges receipt of the Eighth Amendment to Lease (the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capitalized terms used herein without definition having the meanings set forth in the Amendment), dated as of September 1, 2021, by and among the entities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thereto, as Landlord, and the entities listed on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by and between Guarantor and Landlord, and agrees that, except as expressly set forth in </w:t>
      </w:r>
      <w:r>
        <w:rPr>
          <w:rFonts w:ascii="Arial" w:cs="Arial" w:eastAsia="Arial" w:hAnsi="Arial"/>
          <w:sz w:val="20"/>
          <w:szCs w:val="20"/>
          <w:u w:val="single" w:color="auto"/>
          <w:color w:val="auto"/>
        </w:rPr>
        <w:t>Section 2.A.ii.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3.A.ii.</w:t>
      </w:r>
      <w:r>
        <w:rPr>
          <w:rFonts w:ascii="Arial" w:cs="Arial" w:eastAsia="Arial" w:hAnsi="Arial"/>
          <w:sz w:val="20"/>
          <w:szCs w:val="20"/>
          <w:color w:val="auto"/>
        </w:rPr>
        <w:t xml:space="preserve">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73" w:lineRule="exact"/>
        <w:rPr>
          <w:sz w:val="20"/>
          <w:szCs w:val="20"/>
          <w:color w:val="auto"/>
        </w:rPr>
      </w:pPr>
    </w:p>
    <w:p>
      <w:pPr>
        <w:jc w:val="both"/>
        <w:ind w:firstLine="224"/>
        <w:spacing w:after="0" w:line="26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1, 2021.</w:t>
      </w:r>
    </w:p>
    <w:p>
      <w:pPr>
        <w:sectPr>
          <w:pgSz w:w="11900" w:h="16838" w:orient="portrait"/>
          <w:cols w:equalWidth="0" w:num="1">
            <w:col w:w="11240"/>
          </w:cols>
          <w:pgMar w:left="320" w:top="1419" w:right="33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b w:val="1"/>
          <w:bCs w:val="1"/>
          <w:color w:val="auto"/>
        </w:rPr>
        <w:t>CAESARS ENTERTAINMENT, INC.</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1664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18" w:right="1440" w:bottom="1440" w:gutter="0" w:footer="0" w:header="0"/>
        </w:sectPr>
      </w:pPr>
    </w:p>
    <w:bookmarkStart w:id="126" w:name="page127"/>
    <w:bookmarkEnd w:id="126"/>
    <w:p>
      <w:pPr>
        <w:jc w:val="center"/>
        <w:ind w:right="-1120"/>
        <w:spacing w:after="0"/>
        <w:rPr>
          <w:sz w:val="20"/>
          <w:szCs w:val="20"/>
          <w:color w:val="auto"/>
        </w:rPr>
      </w:pPr>
      <w:r>
        <w:rPr>
          <w:rFonts w:ascii="Arial" w:cs="Arial" w:eastAsia="Arial" w:hAnsi="Arial"/>
          <w:sz w:val="22"/>
          <w:szCs w:val="22"/>
          <w:u w:val="single" w:color="auto"/>
          <w:color w:val="auto"/>
        </w:rPr>
        <w:t>Schedule A</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LANDLORD ENTITIES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Caesars Southern Indiana Propco LLC (formerly known as Horseshoe Southern Indiana LLC)</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Bally’s Atlantic City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Lake Tahoe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Harvey’s Lake Tahoe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Reno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Bluegrass Downs Property Owner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Vegas Development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Vegas Operating Property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Miscellaneous Land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Propco Gulfport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Propco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New Laughlin Owner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424" w:right="1440" w:bottom="1440" w:gutter="0" w:footer="0" w:header="0"/>
        </w:sectPr>
      </w:pPr>
    </w:p>
    <w:bookmarkStart w:id="127" w:name="page128"/>
    <w:bookmarkEnd w:id="127"/>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218" w:lineRule="exact"/>
        <w:rPr>
          <w:sz w:val="20"/>
          <w:szCs w:val="20"/>
          <w:color w:val="auto"/>
        </w:rPr>
      </w:pPr>
    </w:p>
    <w:p>
      <w:pPr>
        <w:ind w:right="1819"/>
        <w:spacing w:after="0" w:line="345"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rPr>
          <w:sz w:val="20"/>
          <w:szCs w:val="20"/>
          <w:color w:val="auto"/>
        </w:rPr>
      </w:pPr>
      <w:r>
        <w:rPr>
          <w:rFonts w:ascii="Arial" w:cs="Arial" w:eastAsia="Arial" w:hAnsi="Arial"/>
          <w:sz w:val="22"/>
          <w:szCs w:val="22"/>
          <w:color w:val="auto"/>
        </w:rPr>
        <w:t>Harveys Iowa Management Company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Caesars Riverboat Casino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Roman Holding Company of Indiana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Investment Company,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Players Bluegrass Downs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Schedule B</w:t>
      </w:r>
    </w:p>
    <w:p>
      <w:pPr>
        <w:sectPr>
          <w:pgSz w:w="11900" w:h="16838" w:orient="portrait"/>
          <w:cols w:equalWidth="0" w:num="1">
            <w:col w:w="10139"/>
          </w:cols>
          <w:pgMar w:left="320" w:top="1424"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22"/>
          <w:szCs w:val="22"/>
          <w:u w:val="single" w:color="auto"/>
          <w:color w:val="auto"/>
        </w:rPr>
        <w:t>Schedule 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highlight w:val="white"/>
        </w:rPr>
        <w:t>follows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C</w:t>
      </w:r>
    </w:p>
    <w:p>
      <w:pPr>
        <w:sectPr>
          <w:pgSz w:w="11900" w:h="16838" w:orient="portrait"/>
          <w:cols w:equalWidth="0" w:num="1">
            <w:col w:w="9019"/>
          </w:cols>
          <w:pgMar w:left="1440" w:top="1424" w:right="1440" w:bottom="1440" w:gutter="0" w:footer="0" w:header="0"/>
        </w:sectPr>
      </w:pPr>
    </w:p>
    <w:bookmarkStart w:id="129" w:name="page130"/>
    <w:bookmarkEnd w:id="129"/>
    <w:p>
      <w:pPr>
        <w:ind w:left="5080"/>
        <w:spacing w:after="0"/>
        <w:rPr>
          <w:sz w:val="20"/>
          <w:szCs w:val="20"/>
          <w:color w:val="auto"/>
        </w:rPr>
      </w:pPr>
      <w:r>
        <w:rPr>
          <w:rFonts w:ascii="Arial" w:cs="Arial" w:eastAsia="Arial" w:hAnsi="Arial"/>
          <w:sz w:val="22"/>
          <w:szCs w:val="22"/>
          <w:u w:val="single" w:color="auto"/>
          <w:color w:val="auto"/>
        </w:rPr>
        <w:t>EXHIBIT A</w:t>
      </w:r>
    </w:p>
    <w:p>
      <w:pPr>
        <w:spacing w:after="0" w:line="218"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FACILITIES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Property</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State</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Fee Owner</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Operating Entity</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3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Horseshoe Council Bluffs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Iowa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Horseshoe Council Bluffs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HBR Realty Company LLC</w:t>
            </w:r>
          </w:p>
        </w:tc>
      </w:tr>
      <w:tr>
        <w:trPr>
          <w:trHeight w:val="417"/>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Harveys BR Management</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42"/>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Harrah’s Council Bluffs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Iowa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Harrah's Council Bluffs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Harveys Iowa Management</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417"/>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by merger to Caesars</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42"/>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Harrah’s Metropolis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Harrah's Metropolis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Southern Illinois Riverboat/Casino</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Cruises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3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Horseshoe Hammond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Indiana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Horseshoe Hammond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Horseshoe Hammond,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3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Horseshoe Bossier City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Louisiana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Horseshoe Bossier City Prop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Horseshoe Entertainment</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Harrah’s Bossier City (Louisiana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Louisiana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Harrah's Bossier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Harrah's Bossier City Investment</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Downs)</w:t>
            </w: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Harrah’s North Kansas City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Missouri</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Harrah's North Kansas City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Harrah’s North Kansas City LLC</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LLC</w:t>
            </w:r>
          </w:p>
        </w:tc>
        <w:tc>
          <w:tcPr>
            <w:tcW w:w="2600" w:type="dxa"/>
            <w:vAlign w:val="bottom"/>
            <w:tcBorders>
              <w:right w:val="single" w:sz="8" w:color="auto"/>
            </w:tcBorders>
          </w:tcPr>
          <w:p>
            <w:pPr>
              <w:spacing w:after="0"/>
              <w:rPr>
                <w:sz w:val="19"/>
                <w:szCs w:val="19"/>
                <w:color w:val="auto"/>
              </w:rPr>
            </w:pP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Harrah’s Gulf Coast (formerly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Mississippi</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Grand Biloxi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Grand Casinos of Biloxi, LLC</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known as Grand Biloxi Casino</w:t>
            </w: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Hotel) and Biloxi Land</w:t>
            </w: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Casino Computer Programming,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w:t>
            </w:r>
          </w:p>
        </w:tc>
      </w:tr>
      <w:tr>
        <w:trPr>
          <w:trHeight w:val="242"/>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C</w:t>
      </w:r>
    </w:p>
    <w:p>
      <w:pPr>
        <w:sectPr>
          <w:pgSz w:w="11900" w:h="16838" w:orient="portrait"/>
          <w:cols w:equalWidth="0" w:num="1">
            <w:col w:w="11260"/>
          </w:cols>
          <w:pgMar w:left="320" w:top="1424" w:right="319" w:bottom="1440" w:gutter="0" w:footer="0" w:header="0"/>
        </w:sectPr>
      </w:pPr>
    </w:p>
    <w:bookmarkStart w:id="130" w:name="page131"/>
    <w:bookmarkEnd w:id="130"/>
    <w:tbl>
      <w:tblPr>
        <w:tblLayout w:type="fixed"/>
        <w:tblInd w:w="10" w:type="dxa"/>
        <w:tblCellMar>
          <w:top w:w="0" w:type="dxa"/>
          <w:left w:w="0" w:type="dxa"/>
          <w:bottom w:w="0" w:type="dxa"/>
          <w:right w:w="0" w:type="dxa"/>
        </w:tblCellMar>
      </w:tblPr>
      <w:tr>
        <w:trPr>
          <w:trHeight w:val="256"/>
        </w:trPr>
        <w:tc>
          <w:tcPr>
            <w:tcW w:w="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Horseshoe Tunica</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Mississippi and Arkansas</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Horseshoe Tunica LLC</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Robinson Property Group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3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Tunica Roadhouse</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Mississippi</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Tunica Roadhouse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Tunica Roadhouse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Caesars Atlantic City (includes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New Jersey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Caesars Atlantic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Boardwalk Regency LLC</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Wild Wild West and Block 488</w:t>
            </w: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Parcel)</w:t>
            </w: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Bally's Atlantic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Caesars New Jersey LLC</w:t>
            </w:r>
          </w:p>
        </w:tc>
      </w:tr>
      <w:tr>
        <w:trPr>
          <w:trHeight w:val="242"/>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Harrah’s Lake Tahoe</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Nevada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Harrah's Lake Tahoe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Harveys Tahoe Management</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417"/>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by merger to Caesars</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42"/>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Harvey’s Lake Tahoe</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Nevada and California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Harvey's Lake Tahoe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Harveys Tahoe Management</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Reno Billboard Parcel</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Nevada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Harrah's Reno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by merger to Caesars</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Las Vegas Land Assemblage</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Nevada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Vegas Development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Hole in the Wall, LLC</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Properties</w:t>
            </w: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r>
      <w:tr>
        <w:trPr>
          <w:trHeight w:val="417"/>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by merger to Caesars</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42"/>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222"/>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Harrah’s Airplane Hangar</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Nevada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Vegas Operating Property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by merger to Caesars</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C</w:t>
      </w:r>
    </w:p>
    <w:p>
      <w:pPr>
        <w:sectPr>
          <w:pgSz w:w="11900" w:h="16838" w:orient="portrait"/>
          <w:cols w:equalWidth="0" w:num="1">
            <w:col w:w="11260"/>
          </w:cols>
          <w:pgMar w:left="320" w:top="1439" w:right="319" w:bottom="1440" w:gutter="0" w:footer="0" w:header="0"/>
        </w:sectPr>
      </w:pPr>
    </w:p>
    <w:bookmarkStart w:id="131" w:name="page132"/>
    <w:bookmarkEnd w:id="131"/>
    <w:tbl>
      <w:tblPr>
        <w:tblLayout w:type="fixed"/>
        <w:tblInd w:w="10" w:type="dxa"/>
        <w:tblCellMar>
          <w:top w:w="0" w:type="dxa"/>
          <w:left w:w="0" w:type="dxa"/>
          <w:bottom w:w="0" w:type="dxa"/>
          <w:right w:w="0" w:type="dxa"/>
        </w:tblCellMar>
      </w:tblPr>
      <w:tr>
        <w:trPr>
          <w:trHeight w:val="242"/>
        </w:trPr>
        <w:tc>
          <w:tcPr>
            <w:tcW w:w="860" w:type="dxa"/>
            <w:vAlign w:val="bottom"/>
            <w:tcBorders>
              <w:top w:val="single" w:sz="8" w:color="auto"/>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17.</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Land Leftover from Harrah’s</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Mississippi</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Propco Gulfport LLC</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Gulfport</w:t>
            </w: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by merger to Caesars</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18.</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Vacant Land in Splendora, TX</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Texas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Miscellaneous Land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by merger to Caesars</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19.</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Vacant Land at Turfway Park</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Kentucky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Miscellaneous Land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by merger to Caesars</w:t>
            </w:r>
          </w:p>
        </w:tc>
      </w:tr>
      <w:tr>
        <w:trPr>
          <w:trHeight w:val="215"/>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36"/>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Harrah’s Philadelphia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Pennsylvania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Philadelphia Propco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Chester Downs and Marina,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21.</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Harrah’s Atlantic City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New Jersey</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Harrah’s Atlantic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Harrah’s Atlantic City Operating</w:t>
            </w: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36"/>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22.</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Harrah’s Laughlin</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Nevada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New Laughlin Owner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Harrah’s Laughlin,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36"/>
        </w:trPr>
        <w:tc>
          <w:tcPr>
            <w:tcW w:w="86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23.</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Harrah’s New Orleans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Louisiana</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Harrah’s New Orleans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Jazz Casino Company, L.L.C.</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C</w:t>
      </w:r>
    </w:p>
    <w:p>
      <w:pPr>
        <w:sectPr>
          <w:pgSz w:w="11900" w:h="16838" w:orient="portrait"/>
          <w:cols w:equalWidth="0" w:num="1">
            <w:col w:w="11260"/>
          </w:cols>
          <w:pgMar w:left="320" w:top="1439" w:right="3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u w:val="single" w:color="auto"/>
          <w:color w:val="auto"/>
        </w:rPr>
        <w:t>Annex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Southern Indiana Leased Property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PARCEL I:</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TRACT I:</w:t>
      </w:r>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Part of Section 12, Township 4 South, Range 5 East, in Posey Township, in Harrison County, Indiana, more particularly described as follows: Commencing at a point on the bank of the Ohio River referred to as a stone corner to James Farnsley and Arthur J. Cunningham in the Townsend deed, said point also being the Southernmost corner of Lot #3 of the Farnsley Survey, as recorded in Deed Record “Z” page 148; thence with the Southern line of Lot #3 of said Farnsley Survey North 64 degrees 29 minutes 9 seconds West, 271.46 feet to a #4 reinforcing bar in the Northern right of way of State Road #111, THIS BEING THE POINT OF BEGINNING; thence continue with the Southern line of #3 North 64 degrees 29 minutes 9 seconds West, 141.04 feet, North 21 degrees 30 minutes 51 seconds East, 495.00 feet, North 11 degrees 29 minutes 9 seconds West, 657.19 feet, North 74 degrees 14 minutes 25 seconds West, 1444.07 feet to an iron pin; thence North 4 degrees 5 minutes 13 seconds West, 418.77 feet to an iron pin found; thence South 86 degrees 54 minutes 47 seconds West, 429.00 feet; thence North 84 degrees 40 minutes 23 seconds West, 891.00 feet; thence South 51 degrees 54 minutes 51 seconds West, 561.00 feet to an iron pin found in the Southern line of Tract #3 of the Farnsley Survey; thence along the Eastern line of Tract #6 of the Farnsley Survey continuing as follows: South 29 degrees 55 minutes 31 seconds West, 495.00 feet to an iron pin found, South 4 degrees 25 minutes 31 seconds West, 561.00 feet to an iron pin found; thence along the South line of Tract #6 South 89 degrees 34 minutes 29 seconds East, 555.60 feet to a point in the center of the Old Dug Road; thence along the center of the Old Dug Road as follows: North 2 degrees 3 minutes 54 seconds East, 161.56 feet, North 15 degrees 56 minutes 4 seconds East, 102.40 feet, North 73 degrees 13 minutes 24 seconds East, 139.57 feet, South 76 degrees 36 minutes 56 seconds East, 139.40 feet, North 80 degrees 16 minutes 44 seconds East, 135.03 feet, North 52 degrees 10 minutes 34 seconds East, 125.26 feet, North 39 degrees 22 minutes 34 seconds East, 53.31 feet, North 37 degrees 8 minutes 44 seconds East, 149.95 feet, North 66 degrees 10 minutes 4 seconds East, 98.95 feet, North 71 degrees 55 minutes 54 seconds East, 115.29 feet, North 44 degrees 54 minutes 04 seconds East, 223.85 feet, North 57 degrees 11 minutes 44 seconds East, 217.43 feet, South 89 degrees 31 minutes 46 seconds East, 91.00 feet, South 38 degrees 49 minutes 56 seconds East, 69.42 feet; thence leaving the center of said road South 16 degrees 47 minutes 36 seconds East, 196.85 feet to a #4 reinforcing bar; thence South 82 degrees 52 minutes 16 seconds West, 391.74 feet; thence South 17 degrees 15 minutes 54 seconds East, 600.00 feet; thence North 80 degrees 01 minutes 40 seconds East, 289.89 feet to an iron pin found on the top of the bluff; thence along the top of the bluff as follows: South 10 degrees 58 minutes 17 seconds East, 6.57 feet, South 26 degrees 36 minutes 3 seconds East, 52.67 feet, South 11 degrees 47 minutes 12 seconds West, 167.91 feet, South 10 degrees 59 minutes 28 seconds East, 86.18 feet,South 14 degrees 46 minutes 32 seconds West, 222.64 feet, South 3 degrees 39 minutes 48 seconds East, 117.73 feet, South 12 degrees 21 minutes 48 seconds East, 73.62 feet, South 16 degrees 51 minutes 48 seconds East, 78.03 feet, South 16 degrees 23 minutes 22 seconds West, 88.62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ectPr>
          <w:pgSz w:w="11900" w:h="16838" w:orient="portrait"/>
          <w:cols w:equalWidth="0" w:num="1">
            <w:col w:w="11240"/>
          </w:cols>
          <w:pgMar w:left="320" w:top="1424" w:right="339" w:bottom="1440" w:gutter="0" w:footer="0" w:header="0"/>
        </w:sectPr>
      </w:pPr>
    </w:p>
    <w:bookmarkStart w:id="133" w:name="page134"/>
    <w:bookmarkEnd w:id="133"/>
    <w:p>
      <w:pPr>
        <w:jc w:val="both"/>
        <w:spacing w:after="0" w:line="273" w:lineRule="auto"/>
        <w:rPr>
          <w:sz w:val="20"/>
          <w:szCs w:val="20"/>
          <w:color w:val="auto"/>
        </w:rPr>
      </w:pPr>
      <w:r>
        <w:rPr>
          <w:rFonts w:ascii="Arial" w:cs="Arial" w:eastAsia="Arial" w:hAnsi="Arial"/>
          <w:sz w:val="20"/>
          <w:szCs w:val="20"/>
          <w:color w:val="auto"/>
        </w:rPr>
        <w:t>South 8 degrees 14 minutes 52 seconds West, 74.71 feet; thence leaving the top of said bluff South 88 degrees 28 minutes 56 seconds East, 459.18 feet to a #4 reinforcing bar; thence North 27 degrees 11 minutes 34 seconds East, 26.92 feet to a point in the Northern line of Bridge Street, in the Town of Bridgeport, as recorded in the Harrison County Courthouse; thence along the Northern right of way of Bridge Street, South 73 degrees 59 minutes 56 seconds East, 477.21 feet to a right of way marker in the Northern right of way of State Road #111; thence with said right of way as follows: North 63 degrees 2 minutes 1 second East, 460.09 feet, North 75 degrees 19 minutes 58 seconds East, 140.83 feet; thence along a curve concave Northwesterly whose radius is 502.96 feet and whose long chord bears North 57 degrees 18 minutes 17 seconds East, having a length of 100.41 feet, a distance of 100.58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ALSO:</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Part of Section 12, Township 4 South, Range 5 East, in Posey Township,in Harrison County, Indiana, more particularly described as follows: Commencing at a point on the bank of the Ohio River referred to as a stone corner of James Farnsley and Arthur J. Cunningham in the Townsend deed, said point also being the Southernmost corner of Lot #3 of the Farnsley Survey, as recorded in Deed Record Book “Z” page 148, THIS BEING THE POINT OF BEGINNING; thence along the Southern line of Lot 3 of said Farnsley tract North 64 degrees 29 minutes 9 seconds West, 87.64 feet to a #4 reinforcing bar in the Southern right of way of State Road #111; thence with said right of way as follows: Along a curve concave Northwesterly whose radius is 672.96 feet and whose long chord bears South 47 degrees 1 minute 20 seconds West, having a length of 54.93 feet, a distance of 54.95 feet to a #4 reinforcing bar; thence South 24 degrees 35 minutes 30 seconds West, 274.71 feet to a #4 reinforcing bar; thence along a curve concave Northwesterly whose radius is 226.00 feet and whose long chord bears South 38 degrees 7 minutes 12 seconds West, 105.73 feet, a distance of 106.72 feet to a #4 reinforcing bar; thence South 6 degrees 31 minutes 30 seconds West, 298.78 feet to a point at the edge of the Ohio River; thence North 27 degrees 51 minutes 54 seconds East, 712.09 feet to the point of beginning.</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TRACT II:</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Part of Section 12, Township 4 South, Range 5 East, in Posey Township, in Harrison County, Indiana AND Part of Section 7, Township 4 South, Range 6 East of the Second Principal Meridian, in Franklin Township, in Floyd County, Indiana, more particularly described as follows: Commencing at a stone corner to James Farnsley and Arthur J. Cunningham, which is also the Southernmost corner of Lot #3 of the Farnsley Survey, as recorded in Deed Record Book “Z” page 148, said point being recreated and being on the bank of the Ohio River, THIS BEING THE POINT OF BEGINNING, thence along the Southwestern line of Lot #3 of said Farnsley Tract North 64 degrees 29 minutes 9 seconds West, 87.64 feet to a #4 reinforcing bar placed in the Southern right of way of Indiana State Highway #111; thence along the right of way of said highway as follows: Along a curve concave Northwesterly whose radius is 672.96 feet and whose long chord bears North 34 degrees 10 minutes 30 seconds East, having a length of 245.46 feet, a distance of 246.84 feet to a #4 reinforcing bar; thence continuing along said right of way North 8 degrees 11 minutes 51 seconds West, 119.27 feet to a #4 reinforcing bar; thence North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ectPr>
          <w:pgSz w:w="11900" w:h="16838" w:orient="portrait"/>
          <w:cols w:equalWidth="0" w:num="1">
            <w:col w:w="11240"/>
          </w:cols>
          <w:pgMar w:left="320" w:top="1424" w:right="339" w:bottom="1440" w:gutter="0" w:footer="0" w:header="0"/>
        </w:sectPr>
      </w:pPr>
    </w:p>
    <w:bookmarkStart w:id="134" w:name="page135"/>
    <w:bookmarkEnd w:id="134"/>
    <w:p>
      <w:pPr>
        <w:jc w:val="both"/>
        <w:spacing w:after="0" w:line="283" w:lineRule="auto"/>
        <w:rPr>
          <w:sz w:val="20"/>
          <w:szCs w:val="20"/>
          <w:color w:val="auto"/>
        </w:rPr>
      </w:pPr>
      <w:r>
        <w:rPr>
          <w:rFonts w:ascii="Arial" w:cs="Arial" w:eastAsia="Arial" w:hAnsi="Arial"/>
          <w:sz w:val="19"/>
          <w:szCs w:val="19"/>
          <w:color w:val="auto"/>
        </w:rPr>
        <w:t>65 degrees 10 minutes 25 seconds West, 70.00 feet to a #4 reinforcing bar; thence South 44 degrees 7 minutes 0 seconds West, 105.95 feet to a #4 reinforcing bar; thence along a curve concave Northwesterly whose radius is 502.96 feet and whose long chord bears South 37 degrees 37 minutes 17 seconds West, having a length of 242.57 feet, a distance of 244.99 feet to a #4 reinforcing bar in the Southern line of Lot #3 of said Farnsley Tract; thence with said line North 64 degrees 29 minutes 9 seconds West, 141.04 feet; thence along the line of Lot #3 as follows: North 21 degrees 30 minutes 51 seconds East, 495.00 feet, North 11 degrees 29 minutes 9 seconds West, 657.19 feet, North 74 degrees 14 minutes 25 seconds West, 543.21 feet to an iron pin found marking the corner of property, recorded in Deed Record Book “C-9” page 128; thence leaving the Southern line of Lot #3 and along the property line of said tract as follows: North 18 degrees 26 minutes 36 seconds West, 112.26 feet to an iron pin found, North 57 degrees 5 minutes 56 seconds West, 194.06 feet to an iron pin found, North 47 degrees 22 minutes 31 seconds West, 157.28 feet to an iron pin found, North 35 degrees 54 minutes 56 seconds West, 172.63 feet to an iron pin found, North 65 degrees 25 minutes 11 seconds West, 134.39 feet to an iron pin found, North 79 degrees 11 minutes 31 seconds West, 166.74 feet to an iron pin found, North 59 degrees 5 minutes 30 seconds West, 227.74 feet to an iron pin found marking the Northwestern corner of said tract; thence said point being a corner of Lot #3 of said Farnsley Tract; thence continue along the perimeter of said Lot #3 of Farnsley Tract as follows: South 86 degrees 54 minutes 47 seconds West, 429.00 feet, North 84 degrees 40 minutes 23 seconds West, 891.00 feet, South 51 degrees 54 minutes 51 seconds West, 561.00 feet to an iron pin found, North 60 degrees 23 minutes 49 seconds West, 746.55 feet to an iron pin found; thence leaving the Southern line of Lot #3 of said Farnsley Tract North 13 degrees 9 minutes 43 seconds West, 135.00 feet to an iron pin found; thence South 50 degrees 42 minutes 35 seconds West, 282.00 feet to a iron pin found in the West line of the Northeast Quarter of the Northwest Quarter; thence with the West line of said Quarter, Quarter North 0 degrees 6 minutes 54 seconds East, 967.33 feet to an iron pin found at the Northwest corner of the Northeast Quarter of the Northwest Quarter of Section 12; thence with the North line of said Section, East, basis of bearings this description, 132.86 feet to a pin found as set in a legal survey completed April, 1979; thence continuing with said line East, 3027.53 feet to a stone found; thence South 57 degrees 1 minute 58 seconds East, 672.07 feet to a stone found; thence South 56 degrees 22 minutes 46 seconds East, 39.82 feet to an iron pin found; thence South 1 degree 8 minutes 40 seconds East, 281.84 feet to an iron pin found; thence South 74 degrees 0 minutes 16 seconds East, 724.42 feet to an iron pin found; thence South 66 degrees 32 minutes 11 seconds East, 922.90 feet to a point at the top of the bank of the Ohio River; thence with the bank of said river as follows: South 38 degrees 32 minutes 6 seconds West, 240.86 feet, South 33 degrees 40 minutes 44 seconds West, 208.82 feet, South 15 degrees 36 minutes 28 seconds West, 215.79 feet, South 27 degrees 58 minutes 14 seconds West, 188.90 feet, South 30 degrees 59 minutes 57 seconds West, 198.02 feet, South 29 degrees 30 minutes 53 seconds West, 229.26 feet, South 22 degrees 41 minutes 22 seconds West, 203.10 feet, South 24 degrees 17 minutes 17 seconds West, 194.43 feet, South 8 degrees 50 minutes 5 seconds West, 206.21 feet, South 27 degrees 15 minutes 27 seconds West, 205.43 feet to the point of beginning.</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EXCEPT that part conveyed to Hoosier Energy Rural Electric Cooperative in a deed recorded August 31, 1998 as Instrument No. 98056759 and more particularly described as follows: Being a part of Section 12, Township 4 South, Range 5 East, in Harrison County, Indiana, and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ectPr>
          <w:pgSz w:w="11900" w:h="16838" w:orient="portrait"/>
          <w:cols w:equalWidth="0" w:num="1">
            <w:col w:w="11240"/>
          </w:cols>
          <w:pgMar w:left="320" w:top="1424" w:right="339" w:bottom="1440" w:gutter="0" w:footer="0" w:header="0"/>
        </w:sectPr>
      </w:pPr>
    </w:p>
    <w:bookmarkStart w:id="135" w:name="page136"/>
    <w:bookmarkEnd w:id="135"/>
    <w:p>
      <w:pPr>
        <w:jc w:val="both"/>
        <w:spacing w:after="0" w:line="271" w:lineRule="auto"/>
        <w:rPr>
          <w:sz w:val="20"/>
          <w:szCs w:val="20"/>
          <w:color w:val="auto"/>
        </w:rPr>
      </w:pPr>
      <w:r>
        <w:rPr>
          <w:rFonts w:ascii="Arial" w:cs="Arial" w:eastAsia="Arial" w:hAnsi="Arial"/>
          <w:sz w:val="20"/>
          <w:szCs w:val="20"/>
          <w:color w:val="auto"/>
        </w:rPr>
        <w:t>part of the property conveyed to RDI/Caesars Riverboat Casino, LLC, as described by deed, recorded in Deed Book “9-O” page 337, said part being more particularly described as follows: Commencing at the Northwest corner of the Northeast Quarter of the Northwest Quarter of Section 12, Township 4 South, Range 5 East of the Second Principal Meridian; thence South 00 degrees 06 minutes 54 seconds West, 967.33 feet, North 50 degrees 42 minutes 35 seconds East, 282.00 feet, South 13 degrees 09 minutes 43 seconds East, 135.00 feet, South 60 degrees 23 minutes 49 seconds East, 756.44 feet, North 51 degrees 54 minutes 51 seconds East, 561.00 feet, South 84 degrees 40 minutes 23 seconds East, 891.00 feet; and thence crossing Stuckeys Road, North 86 degrees 54 minutes 47 seconds East, 429.00 feet to a four inch diameter steel pipe; thence North 38 degrees 51 minutes 17 seconds East, 285.15 feet to THE TRUE POINT OF BEGINNING of the tract being herein described; thence North 22 degrees 13 minutes 02 seconds East, 280.00 feet to a point; thence South 67 degrees 46 minutes 58 seconds East, 185.00 feet to a point; thence South 22 degrees 13 minutes 02 seconds West, 280.00 feet to a point; thence North 67 degrees 46 minutes 58 seconds West, 185.00 feet to the true point of beginning.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TRACT III:</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Being a part of the Northeast Quarter of Fractional Section 12, Township 4 South, Range 5 East, in Posey Township, in Harrison County, Indiana, and being the same property conveyed to Melvin Earl Porter and Marilyn Sue Porter as described by deed, recorded in Deed Book “C-9” page 128, said property being more particularly described as follows: Commencing at the Northwest corner of the Northeast Quarter of the Northwest Quarter of Fractional Section 12, Township 4 South, Range 5 East of the Second Principal Meridian; thence the following courses: South 00 degrees 06 minutes 54 seconds West, 967.33 feet, North 50 degrees 42 minutes 35 seconds East, 282.00 feet, South 13 degrees 09 minutes 43 seconds East, 135.00 feet, South 60 degrees 23 minutes 49 seconds East, 756.55 feet, North 51 degrees 54 minutes 51 seconds East, 561.00 feet, South 84 degrees 40 minutes 23 seconds East, 891.00 feet, and North 86 degrees 54 minutes 47 seconds East, 429.00 feet to a found four-inch diameter steel pipe, BEING THE TRUE POINT OF BEGINNING of the tract being herein described; thence with the line between Porter and Caesar's (Deed Book “9-O” page 449), South 59 degrees 05 minutes 30 seconds East, 227.74 feet to a 5/8” diameter steel rebar; thence South 79 degrees 11 minutes 31 seconds East, 166.74 feet to a 5/8” diameter steel rebar; thence South 65 degrees 25 minutes 11 seconds East, 134.39 feet to a 5/8” diameter steel rebar; thence South 35 degrees 54 minutes 56 seconds East, 172.63 feet at a 5/8” diameter steel rebar; thence South 47 degrees 22 minutes 31 seconds East, 157.28 feet to a 5/8” diameter steel rebar; thence South 57 degrees 05 minutes 56 seconds East, 194.06 feet to a 5/8” diameter steel rebar; thence South 18 degrees 26 minutes 36 seconds East, 112.26 feet to a 5/8” diameter steel rebar in the line between Porter and Caesar's (Deed Book “9-N” page 458); thence with said line, North 74 degrees 14 minutes 25 seconds West, 900.36 feet to a nail in Stuckeys Road; thence with Stuckeys Road part of the way and beyond, North 04 degrees 05 minutes 13 seconds West, 418.77 feet to the point of beginning. (Being the same real estate as intended in Deed Record Book “R-9 page 320, in the Recorder's Office, in Harrison County, Indiana.)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PARCEL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ectPr>
          <w:pgSz w:w="11900" w:h="16838" w:orient="portrait"/>
          <w:cols w:equalWidth="0" w:num="1">
            <w:col w:w="11240"/>
          </w:cols>
          <w:pgMar w:left="320" w:top="1425" w:right="339" w:bottom="1440" w:gutter="0" w:footer="0" w:header="0"/>
        </w:sectPr>
      </w:pPr>
    </w:p>
    <w:bookmarkStart w:id="136" w:name="page137"/>
    <w:bookmarkEnd w:id="136"/>
    <w:p>
      <w:pPr>
        <w:jc w:val="both"/>
        <w:spacing w:after="0" w:line="252" w:lineRule="auto"/>
        <w:rPr>
          <w:sz w:val="20"/>
          <w:szCs w:val="20"/>
          <w:color w:val="auto"/>
        </w:rPr>
      </w:pPr>
      <w:r>
        <w:rPr>
          <w:rFonts w:ascii="Arial" w:cs="Arial" w:eastAsia="Arial" w:hAnsi="Arial"/>
          <w:sz w:val="22"/>
          <w:szCs w:val="22"/>
          <w:color w:val="auto"/>
        </w:rPr>
        <w:t>Being a part of the Northwest Quarter of fractional Section 13, Township 4 South, Range 5 East, in Harrison County, Indiana and being part of the property conveyed to Lytle L. Smith as described by deed recorded in Deed Book 8-D, page 531, said part being more particularly described as follows: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Commencing at the northwest corner of the northwest quarter of fractional Section 13; thence east with the north line of Section 13, 1125.00 feet to a point in Lotticks Corner Road; thence continuing East 380.99 feet to a point; thence departing the road and with the east line of Meytz (Deed Book 9-F, page 440), south 05 degrees 58 minutes 36 seconds West 723.72 feet to a found iron pipe; thence with the north line of Voogd (Deed Book 9-K, page 967), East 63.80 feet to the true point of beginning of the tract being herein described; thence North 34 degrees 30 minutes 38 seconds East 220.00 feet to a point; thence East 220.00 feet to a point in Doolittle Hill road; thence with Doolittle Hill road, South 34 degrees 30 minutes 38 seconds West 220.00 feet to a point; thence departing the road and with the north line of Voogd, West (passing a found iron pipe at 21.78 feet) 220.00 feet in all to the true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A</w:t>
      </w:r>
    </w:p>
    <w:p>
      <w:pPr>
        <w:sectPr>
          <w:pgSz w:w="11900" w:h="16838" w:orient="portrait"/>
          <w:cols w:equalWidth="0" w:num="1">
            <w:col w:w="11240"/>
          </w:cols>
          <w:pgMar w:left="320" w:top="1424"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u w:val="single" w:color="auto"/>
          <w:color w:val="auto"/>
        </w:rPr>
        <w:t>Annex B</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Bluegrass Downs Leased Property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TRACT 1:</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(Map Number 094-20-01-022)</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Beginning at a 1/2" rebar located S. 55° 05' 21" E., 93.65 feet from a 1" iron pipe marking the northeast corner of Stuart Nelson Park, said northeast corner of Stuart Nelson Park located approximately 343 feet west of the centerline of Metcalf Lane, if extended, and located approximately 2436 feet north of the north right-of-way line of Hinkleville Road (U.S. Highway 60); thence from said point of beginning and along the north line of Stuart Nelson Park, N. 55° 05' 21" W., 458.52 feet to a 1/2" rebar located at the southeast corner of J.E.D.D., as recorded in Deed Book 695, Page 849 in the McCracken County Court Clerk's Office; thence along the east line of said J.E.D.D., N. 15° 02' 24" E., 666.47 feet to a 1/2" rebar located on the south line of Illinois Central Railroad; thence along the south line of Illinois Central Railroad, N. 82° 27' 04" E., 561.21 feet to a 1/2" rebar located on the East line of H. G. Ullerich, as recorded in Deed Book 282, Page 113, aforesaid clerk's office; thence along said Ullerich's East line, S. 19° 49' 41" W., 1041.53 feet to the point of beginning.</w:t>
      </w:r>
    </w:p>
    <w:p>
      <w:pPr>
        <w:spacing w:after="0" w:line="173" w:lineRule="exact"/>
        <w:rPr>
          <w:sz w:val="20"/>
          <w:szCs w:val="20"/>
          <w:color w:val="auto"/>
        </w:rPr>
      </w:pPr>
    </w:p>
    <w:p>
      <w:pPr>
        <w:jc w:val="both"/>
        <w:ind w:right="20"/>
        <w:spacing w:after="0" w:line="312" w:lineRule="auto"/>
        <w:rPr>
          <w:sz w:val="20"/>
          <w:szCs w:val="20"/>
          <w:color w:val="auto"/>
        </w:rPr>
      </w:pPr>
      <w:r>
        <w:rPr>
          <w:rFonts w:ascii="Arial" w:cs="Arial" w:eastAsia="Arial" w:hAnsi="Arial"/>
          <w:sz w:val="20"/>
          <w:szCs w:val="20"/>
          <w:color w:val="auto"/>
        </w:rPr>
        <w:t>Being in all respects the same property conveyed to Players Bluegrass Downs, Inc., a Kentucky Corporation, by deed dated and recorded November 22, 1993, in Deed Book 801, Page 408, McCracken County Court Clerk's Office.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TRACT 2:</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(Map Number 095-30-00-001)</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Commencing at a right-of-way monument located on the East side of Metcalf Lane, 46 feet left of centerline station 107+45.00 as shown on the Kentucky Department of Transportation plans for Hinkleville Road, Project No. S.P. 73-6172; thence along the North right-of-way line of Hinkleville Road, S. 87° 07' 11" E., 746.09 feet; thence along the West right-of-way line of Downs Drive, N. 1° 55' 08" E., 400.04 feet to a 1/2" rebar located at the northwest corner of Downs Drive and said rebar being the point of beginning of the property herein described; thence from said point of beginning and along the North line of N. S. Rhodes Property, as recorded in Deed Book 716, Page 626 in the McCracken County Court Clerk's Office, N. 87° 08' 26" W., 440.94 feet to a 1/2" rebar located on the East line of H. W. Roberts, Jr. Property, as recorded in Deed Book 540, Page 295, aforesaid clerk's office; thence along the East line of C. S. Pirtle, as recorded in Deed Book 429, Page 531 and Deed Book 667, Page 704, aforesaid clerk's office, Mary Sue Taylor, as recorded in Deed Book 783, Page 748, aforesaid clerk's office, and Barbara Riley, as recorded in Deed Book 530, Page 688, aforesaid clerk's office, N. 02° 27' 00" E., 719.12 feet to a 1/2" rebar; thence along the North Property line of said Barbara Riley, N. 87° 43' 24" W., 316.20 feet to a 1/2" rebar located at the Northeast corner of Metcalf Lane; thence N. 87° 37' 18" E., 5.00 feet from said northwest corner; thence along the west right-of-way line of Metcalf Lane, 25 feet from and parallel to the centerline thereof, S. 02° 22' 42" W., 92.00 feet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w:t>
      </w:r>
    </w:p>
    <w:p>
      <w:pPr>
        <w:sectPr>
          <w:pgSz w:w="11900" w:h="16838" w:orient="portrait"/>
          <w:cols w:equalWidth="0" w:num="1">
            <w:col w:w="11240"/>
          </w:cols>
          <w:pgMar w:left="320" w:top="1425" w:right="339" w:bottom="1440" w:gutter="0" w:footer="0" w:header="0"/>
        </w:sectPr>
      </w:pPr>
    </w:p>
    <w:bookmarkStart w:id="138" w:name="page139"/>
    <w:bookmarkEnd w:id="138"/>
    <w:p>
      <w:pPr>
        <w:jc w:val="both"/>
        <w:spacing w:after="0" w:line="269" w:lineRule="auto"/>
        <w:rPr>
          <w:sz w:val="20"/>
          <w:szCs w:val="20"/>
          <w:color w:val="auto"/>
        </w:rPr>
      </w:pPr>
      <w:r>
        <w:rPr>
          <w:rFonts w:ascii="Arial" w:cs="Arial" w:eastAsia="Arial" w:hAnsi="Arial"/>
          <w:sz w:val="20"/>
          <w:szCs w:val="20"/>
          <w:color w:val="auto"/>
        </w:rPr>
        <w:t>a 1/2" rebar located on the North Line of D. F. Crosthwaite, as recorded in Deed Book 471, Page 564, aforesaid clerk's office; thence along said Crosthwaite's North line, N. 87° 37’ 18” W. 317.95 feet to a 1/2” rebar located at the northwest corner of said Crosthwaite; thence N. 02° 25' 25" E. 953.75 feet to a 1/2" rebar located at the southeast corner of Stuart Nelson Park; thence along the East line of Stuart Nelson Park, N. 02° 12' 35" E., 461.23 feet to a 1" iron pipe located at the Northeast corner of Stuart Nelson Park; thence S. 55° 05' 21" E., 93.65 feet to a 1/2" rebar; thence N. 19° 49' 41" E., 40.68 feet to a 1/2" rebar located at the Southwest corner of H. G. Ullerich, as recorded in Deed Book 282, Page 113, aforesaid clerk's office; thence along the South Line of H. G. Ullerich, as recorded in Deed Book 282, Pages 34 and 113, aforesaid clerk's office, Helen Gramse, as recorded in Deed Book 240, Page 508, aforesaid clerk's office, and William Baumer, as recorded in Deed Book 723, Page 557, aforesaid clerk's office, the following three calls: S. 59° 40' 47" E., 1655.72 feet to a 1/2" rebar; S. 63° 24' 13" E., 94.30 feet to a 1/2" rebar; S. 59° 03' 33" E., 1054.28 feet to a 1/2" rebar located on the West right-of-way line of the Floodwall, S. 24° 02' 34" W. 40.29 feet to a 1/2" rebar located on the North line of Gibraltar Management Co., Inc., as recorded in Deed Book 528, Page 298 and Deed Book 559, Page 81, aforesaid clerk's office; thence along said Gibraltor Management Co., Inc. Property, the following three calls: N. 59° 03' 33" W., 1057.60 feet to a nail in the race track, thence N. 63° 24' 13" W., 94.09 feet to a nail in the race track; thence S. 03° 20' 54" W., 1225.40 feet to a 1/2" rebar located at the Northeast corner of Wynn Sales and Service, Inc., as recorded in Deed Book 667, Page 786, aforesaid clerk's office; thence along the north line of said Wynn Sales and Service, Inc., N. 87° 08' 26" W., 335.75 feet to a 1/2" rebar located at the Northeast corner of Downs Drive; thence N. 87° 08' 26" W., 60.00 feet to the point of beginning.</w:t>
      </w:r>
    </w:p>
    <w:p>
      <w:pPr>
        <w:spacing w:after="0" w:line="184" w:lineRule="exact"/>
        <w:rPr>
          <w:sz w:val="20"/>
          <w:szCs w:val="20"/>
          <w:color w:val="auto"/>
        </w:rPr>
      </w:pPr>
    </w:p>
    <w:p>
      <w:pPr>
        <w:jc w:val="both"/>
        <w:ind w:right="20"/>
        <w:spacing w:after="0" w:line="262" w:lineRule="auto"/>
        <w:rPr>
          <w:sz w:val="20"/>
          <w:szCs w:val="20"/>
          <w:color w:val="auto"/>
        </w:rPr>
      </w:pPr>
      <w:r>
        <w:rPr>
          <w:rFonts w:ascii="Arial" w:cs="Arial" w:eastAsia="Arial" w:hAnsi="Arial"/>
          <w:sz w:val="22"/>
          <w:szCs w:val="22"/>
          <w:color w:val="auto"/>
        </w:rPr>
        <w:t>Less and except an off-conveyance to the City of Paducah (1.065 acres) by deed dated December 17, 2004, of record in Deed Book 1055, page 180, aforesaid clerk’s office.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BEING in all respects the same property conveyed to Players Bluegrass Downs, Inc., a Kentucky Corporation, by deed dated and recorded November 22, 1993, in Deed Book 801, Page 411, McCracken County Court Clerk's Office.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TRACT 3:</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(Map Number 095-10-00-014.01)</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Being Parcel B, containing 9.480 acres more or less, as shown on Waiver of Subdivision, Plat of Survey for Harrah's Entertainment recorded on January 11, 2000 in Plat Section L, Page 404, McCracken County Clerk’s Office, and being more particularly described as follows: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Being a tract of land located North of U.S. Highway 60 or Park Avenue and West of Metcalf Lane in the City of Paducah, McCracken County, Kentucky, more particularly described as follows: Beginning at a steel rod, ½ inch in diameter by 30 inches line with a plastic cap stamped "KRLS 1842" (hereinafter referred to as a steel rod and cap) set at the Southeasterly corner of the herein described property, said steel rod and cap being located North 02° 25' 25" East, a distance of 714.83 feet from a mag nail set on the Northerly right of way line of U.S. Highway 60, with said mag nail being located North 87° 08' 15" West, a distance of 307.10 feet from a concrete right of way marker located at the intersection of said Northerly right of way line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w:t>
      </w:r>
    </w:p>
    <w:p>
      <w:pPr>
        <w:sectPr>
          <w:pgSz w:w="11900" w:h="16838" w:orient="portrait"/>
          <w:cols w:equalWidth="0" w:num="1">
            <w:col w:w="11240"/>
          </w:cols>
          <w:pgMar w:left="320" w:top="1424" w:right="339" w:bottom="1440" w:gutter="0" w:footer="0" w:header="0"/>
        </w:sectPr>
      </w:pPr>
    </w:p>
    <w:bookmarkStart w:id="139" w:name="page140"/>
    <w:bookmarkEnd w:id="139"/>
    <w:p>
      <w:pPr>
        <w:jc w:val="both"/>
        <w:spacing w:after="0" w:line="276" w:lineRule="auto"/>
        <w:rPr>
          <w:sz w:val="20"/>
          <w:szCs w:val="20"/>
          <w:color w:val="auto"/>
        </w:rPr>
      </w:pPr>
      <w:r>
        <w:rPr>
          <w:rFonts w:ascii="Arial" w:cs="Arial" w:eastAsia="Arial" w:hAnsi="Arial"/>
          <w:sz w:val="20"/>
          <w:szCs w:val="20"/>
          <w:color w:val="auto"/>
        </w:rPr>
        <w:t>Westerly right of way line of Metcalf Lane; thence from said point of beginning proceed North 86° 34' 29" West along and with the Southerly line of the herein described parcel 328.86 feet to a rebar with a metal cap found at the Southwesterly corner of the subject site herein described; thence North 02° 31' 05" East, along and with the Westerly line of said site, 1,259.80 feet to a one inch diameter iron pipe found; the Northwesterly corner of the herein descried tract; thence South 86° 34' 19" East, a distance of 326.78 feet to a steel rod and cap set at the Northeasterly corner of the subject site; thence South 02° 25' 25" West, a distance of 1,259.82 feet to the point of beginning.</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Together with a non-exclusive 40 foot wide easement for ingress and egress set forth in Agreement by and among Inez Johnson, Wayne Simpson and Players Bluegrass Downs, Inc. dated December 16, 1999 recorded Deed Book 929, Page 367, and as shown on as shown on Waiver of Subdivision, Plat of Survey for Harrah's Entertainment recorded on January 11, 2000 in Plat Section L, Page 404, both in the McCracken County Clerk’s office</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Being the same property leased to by unrecorded lease dated May 22, 1987, by and between Inez Johnson and Coy Stacey and Bobby Dextor, the Original Lessees, and subsequently assigned to Bluegrass Downs of Paducah, Ltd., (“Successor Lessee”) by an unrecorded Assignment of Lease dated June 1, 1987, all as evidenced of record by Memorandum of Lease dated June 1, 1987, of record in Deed Book 703, page 373. Said Successor Lessee having assigned all of its right, title and interest in and to said Lease to Players Bluegrass Downs, Inc., a Kentucky corporation, by Assignment of Lease dated November 22, 1993, as evidenced of record by memorandum thereof recorded in Deed Book 801, page 405, and as further affected by Agreement between Inez Johnson and Players Bluegrass Downs, Inc., dated December 16, 1999, recorded in Deed Book 929, page 367, all in the aforesaid clerk’s office.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TRACT 4:</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 part of Map Number 095-10-00-014)</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Being Parcel A, containing 1.950 acres more or less, as shown on Waiver of Subdivision, Plat of Survey for Harrah's Entertainment recorded on January 11, 2000 in Plat Section L, Page 404, McCracken County Clerk’s Office, and being more particularly described as follows: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Being a parcel of land located North of U.S. Highway 60 or Park Avenue and West of Metcalf Lane in the City of Paducah, McCracken County, Kentucky, more particularly described as follows: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Beginning at a steel rod, ½” diameter by 30" long with a plastic cap stamped "KRLS 1842" set at the time of this survey (hereinafter referred to as a steel rod and cap) at the Southeasterly corner of the herein described property, said steel rod and cap being located N. 02°-25'-25" E., a distance of 229.35 feet from a mag. Nail set on the Northwesterly right-of-way line of U.S. Highway 60 with said Mag. Nail being located N. 87°-08'-15" W., as distance of 307.10 feet from a concrete right-of-way marker located at the intersection of said Northerly right-of-way line with the Westerly right-of-way line of Metcalf Lane; thence from said point of beginning proceed N. 87°-55'-41" W. along and with the Southwestly line of the herein described parcel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w:t>
      </w:r>
    </w:p>
    <w:p>
      <w:pPr>
        <w:sectPr>
          <w:pgSz w:w="11900" w:h="16838" w:orient="portrait"/>
          <w:cols w:equalWidth="0" w:num="1">
            <w:col w:w="11240"/>
          </w:cols>
          <w:pgMar w:left="320" w:top="1424" w:right="339" w:bottom="1440" w:gutter="0" w:footer="0" w:header="0"/>
        </w:sectPr>
      </w:pPr>
    </w:p>
    <w:bookmarkStart w:id="140" w:name="page141"/>
    <w:bookmarkEnd w:id="140"/>
    <w:p>
      <w:pPr>
        <w:jc w:val="both"/>
        <w:spacing w:after="0" w:line="274" w:lineRule="auto"/>
        <w:rPr>
          <w:sz w:val="20"/>
          <w:szCs w:val="20"/>
          <w:color w:val="auto"/>
        </w:rPr>
      </w:pPr>
      <w:r>
        <w:rPr>
          <w:rFonts w:ascii="Arial" w:cs="Arial" w:eastAsia="Arial" w:hAnsi="Arial"/>
          <w:sz w:val="20"/>
          <w:szCs w:val="20"/>
          <w:color w:val="auto"/>
        </w:rPr>
        <w:t>and with an existing six foot high chain link fence, 167.45 feet to a steel rod and cap set at the Southwesterly corner of the herein described property; thence N 25°-31'-05" W. and continuing along and with said chain-link fence, a distance of 20.17 feet to a steel rod and cap set on the Westerly line of the herein described parcel of land, thence N 03°03'-47" E. along and with the Westerly line aforesaid and continuing along and with the chain-link fence aforesaid, 471.72 feet to a steel road and cap set, the Northwesterly corner of the subject property; thence S 86°-34'-29" E. along and with the Northerly line of said subject site, 171.66 feet to a steel rod and cap set, the Northeasterly corner of said site; thence S 02°-25'-25" W. along and with an existing six foot high chain-link fence, 485.48 feet to the point of beginning.</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Together with a non-exclusive 40 foot wide easement for ingress and egress set forth in Agreement by and among Inez Johnson, Wayne Simpson and Players Bluegrass Downs, Inc. dated December 16, 1999 recorded Deed Book 929, Page 367, and as shown on as shown on Waiver of Subdivision, Plat of Survey for Harrah's Entertainment recorded on January 11, 2000 in Plat Section L, Page 404, both in the Office aforesaid.</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Being the same property leased to Wayne Simpson and Gloria Simpson from Inez Johnson, by unrecorded lease dated July 31, 1987, and assigned to Players Bluegrass Downs, Inc., by Assignment of Lease dated June 13, 1994, of record in Deed Book 805, Page 423, in the office aforesaid, and as amended by Agreement between Inez Johnson, Wayne Simpson and Gloria Simpson, husband and wife, and Players Bluegrass Downs, Inc., dated December 16, 1999, recorded in Deed Book 929, Page 343, all in the office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w:t>
      </w:r>
    </w:p>
    <w:p>
      <w:pPr>
        <w:sectPr>
          <w:pgSz w:w="11900" w:h="16838" w:orient="portrait"/>
          <w:cols w:equalWidth="0" w:num="1">
            <w:col w:w="11240"/>
          </w:cols>
          <w:pgMar w:left="320" w:top="1424"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u w:val="single" w:color="auto"/>
          <w:color w:val="auto"/>
        </w:rPr>
        <w:t>Annex 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Ground Leased Property (Bluegrass Downs Facility)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BLUEGRASS DOWNS - TRACT 3</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TRACT 3:</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(Map Number 095-10-00-014.01)</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Being Parcel B, containing 9.480 acres more or less, as shown on Waiver of Subdivision, Plat of Survey for Harrah's Entertainment recorded on January 11, 2000 in Plat Section L, Page 404, McCracken County Clerk’s Office, and being more particularly described as follows: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Being a tract of land located North of U.S. Highway 60 or Park Avenue and West of Metcalf Lane in the City of Paducah, McCracken County, Kentucky, more particularly described as follows: Beginning at a steel rod, ½ inch in diameter by 30 inches line with a plastic cap stamped "KRLS 1842" (hereinafter referred to as a steel rod and cap) set at the Southeasterly corner of the herein described property, said steel rod and cap being located North 02° 25' 25" East, a distance of 714.83 feet from a mag nail set on the Northerly right of way line of U.S. Highway 60, with said mag nail being located North 87° 08' 15" West, a distance of 307.10 feet from a concrete right of way marker located at the intersection of said Northerly right of way line with the Westerly right of way line of Metcalf Lane; thence from said point of beginning proceed North 86° 34' 29" West along and with the Southerly line of the herein described parcel 328.86 feet to a rebar with a metal cap found at the Southwesterly corner of the subject site herein described; thence North 02° 31' 05" East, along and with the Westerly line of said site, 1,259.80 feet to a one inch diameter iron pipe found; the Northwesterly corner of the herein descried tract; thence South 86° 34' 19" East, a distance of 326.78 feet to a steel rod and cap set at the Northeasterly corner of the subject site; thence South 02° 25' 25" West, a distance of 1,259.82 feet to the point of beginning.</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Together with a non-exclusive 40 foot wide easement for ingress and egress set forth in Agreement by and among Inez Johnson, Wayne Simpson and Players Bluegrass Downs, Inc. dated December 16, 1999 recorded Deed Book 929, Page 367, and as shown on as shown on Waiver of Subdivision, Plat of Survey for Harrah's Entertainment recorded on January 11, 2000 in Plat Section L, Page 404, both in the McCracken County Clerk’s office.</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Being the same property leased to by unrecorded lease dated May 22, 1987, by and between Inez Johnson and Coy Stacey and Bobby Dextor, the Original Lessees, and subsequently assigned to Bluegrass Downs of Paducah, Ltd., (“Successor Lessee”) by an unrecorded Assignment of Lease dated June 1, 1987, all as evidenced of record by Memorandum of Lease dated June 1, 1987, of record in Deed Book 703, page 373. Said Successor Lessee having assigned all of its right, title and interest in and to said Lease to Players Bluegrass Downs, Inc., a Kentucky corporation, by Assignment of Lease dated November 22, 1993, as evidenced of record by memorandum thereof recorded in Deed Book 801, page 405, and as further affected by Agreement between Inez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C</w:t>
      </w:r>
    </w:p>
    <w:p>
      <w:pPr>
        <w:sectPr>
          <w:pgSz w:w="11900" w:h="16838" w:orient="portrait"/>
          <w:cols w:equalWidth="0" w:num="1">
            <w:col w:w="11240"/>
          </w:cols>
          <w:pgMar w:left="320" w:top="1425" w:right="339" w:bottom="1440" w:gutter="0" w:footer="0" w:header="0"/>
        </w:sectPr>
      </w:pPr>
    </w:p>
    <w:bookmarkStart w:id="142" w:name="page143"/>
    <w:bookmarkEnd w:id="142"/>
    <w:p>
      <w:pPr>
        <w:jc w:val="both"/>
        <w:spacing w:after="0" w:line="262" w:lineRule="auto"/>
        <w:rPr>
          <w:sz w:val="20"/>
          <w:szCs w:val="20"/>
          <w:color w:val="auto"/>
        </w:rPr>
      </w:pPr>
      <w:r>
        <w:rPr>
          <w:rFonts w:ascii="Arial" w:cs="Arial" w:eastAsia="Arial" w:hAnsi="Arial"/>
          <w:sz w:val="22"/>
          <w:szCs w:val="22"/>
          <w:color w:val="auto"/>
        </w:rPr>
        <w:t>Johnson and Players Bluegrass Downs, Inc., dated December 16, 1999, recorded in Deed Book 929, page 367, all in the aforesaid clerk’s office.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BLUEGRASS DOWNS - TRACT 4</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TRACT 4:</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 part of Map Number 095-10-00-014)</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Being Parcel A, containing 1.950 acres more or less, as shown on Waiver of Subdivision, Plat of Survey for Harrah's Entertainment recorded on January 11, 2000 in Plat Section L, Page 404, McCracken County Clerk’s Office, and being more particularly described as follows: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Being a parcel of land located North of U.S. Highway 60 or Park Avenue and West of Metcalf Lane in the City of Paducah, McCracken County, Kentucky, more particularly described as follows: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Beginning at a steel rod, ½” diameter by 30" long with a plastic cap stamped "KRLS 1842" set at the time of this survey (hereinafter referred to as a steel rod and cap) at the Southeasterly corner of the herein described property, said steel rod and cap being located N. 02°-25'-25" E., a distance of 229.35 feet from a mag. Nail set on the Northwesterly right-of-way line of U.S. Highway 60 with said Mag. Nail being located N. 87°-08'-15" W., as distance of 307.10 feet from a concrete right-of-way marker located at the intersection of said Northerly right-of-way line with the Westerly right-of-way line of Metcalf Lane; thence from said point of beginning proceed N. 87°-55'-41" W. along and with the Southwestly line of the herein described parcel and with an existing six foot high chain link fence, 167.45 feet to a steel rod and cap set at the Southwesterly corner of the herein described property; thence N 25°-31'-05" W. and continuing along and with said chain-link fence, a distance of 20.17 feet to a steel rod and cap set on the Westerly line of the herein described parcel of land, thence N 03°03'-47" E. along and with the Westerly line aforesaid and continuing along and with the chain-link fence aforesaid, 471.72 feet to a steel road and cap set, the Northwesterly corner of the subject property; thence S 86°-34'-29" E. along and with the Northerly line of said subject site, 171.66 feet to a steel rod and cap set, the Northeasterly corner of said site; thence S 02°-25'-25" W. along and with an existing six foot high chain-link fence, 485.48 feet to the point of beginning.</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Together with a non-exclusive 40 foot wide easement for ingress and egress set forth in Agreement by and among Inez Johnson, Wayne Simpson and Players Bluegrass Downs, Inc. dated December 16, 1999 recorded Deed Book 929, Page 367, and as shown on as shown on Waiver of Subdivision, Plat of Survey for Harrah's Entertainment recorded on January 11, 2000 in Plat Section L, Page 404, both in the Office aforesaid.</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Being the same property leased to Wayne Simpson and Gloria Simpson from Inez Johnson, by unrecorded lease dated July 31, 1987, and assigned to Players Bluegrass Downs, Inc., by Assignment of Lease dated June 13, 1994, of record in Deed Book 805, Page 423, in the office aforesaid, and as amended by Agreement between Inez Johnson, Wayne Simpson and Gloria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C</w:t>
      </w:r>
    </w:p>
    <w:p>
      <w:pPr>
        <w:sectPr>
          <w:pgSz w:w="11900" w:h="16838" w:orient="portrait"/>
          <w:cols w:equalWidth="0" w:num="1">
            <w:col w:w="11240"/>
          </w:cols>
          <w:pgMar w:left="320" w:top="1424" w:right="339" w:bottom="1440" w:gutter="0" w:footer="0" w:header="0"/>
        </w:sectPr>
      </w:pPr>
    </w:p>
    <w:bookmarkStart w:id="143" w:name="page144"/>
    <w:bookmarkEnd w:id="143"/>
    <w:p>
      <w:pPr>
        <w:spacing w:after="0" w:line="262" w:lineRule="auto"/>
        <w:rPr>
          <w:sz w:val="20"/>
          <w:szCs w:val="20"/>
          <w:color w:val="auto"/>
        </w:rPr>
      </w:pPr>
      <w:r>
        <w:rPr>
          <w:rFonts w:ascii="Arial" w:cs="Arial" w:eastAsia="Arial" w:hAnsi="Arial"/>
          <w:sz w:val="22"/>
          <w:szCs w:val="22"/>
          <w:color w:val="auto"/>
        </w:rPr>
        <w:t>Simpson, husband and wife, and Players Bluegrass Downs, Inc., dated December 16, 1999, recorded in Deed Book 929, Page 343, all in the office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C</w:t>
      </w:r>
    </w:p>
    <w:p>
      <w:pPr>
        <w:sectPr>
          <w:pgSz w:w="11900" w:h="16838" w:orient="portrait"/>
          <w:cols w:equalWidth="0" w:num="1">
            <w:col w:w="11240"/>
          </w:cols>
          <w:pgMar w:left="320" w:top="1424"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2"/>
          <w:szCs w:val="22"/>
          <w:u w:val="single" w:color="auto"/>
          <w:color w:val="auto"/>
        </w:rPr>
        <w:t>Annex 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Ground Leases (Bluegrass Downs Facility)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Bluegrass Downs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Lease Agreement dated as of May 22, 1987, by and between the Inez Johnson, as landlord, and Coy Stacey and Bobby Dexter, as tenant, as assigned to Bluegrass Downs of Paducah, LTD, as of June 1, 1987, as further assigned to Players Bluegrass Downs, Inc. as of November 22, 1993</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Leases dated as of July 31, 1987, by and between the Inez Johnson, as landlord, and Wayne and Gloria Simpson, as tenant, as assigned to Players Bluegrass Downs Inc., as of December 16, 1999, and as extended by that certain Extension of Lease Agreement dated as of September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D</w:t>
      </w:r>
    </w:p>
    <w:p>
      <w:pPr>
        <w:sectPr>
          <w:pgSz w:w="11900" w:h="16838" w:orient="portrait"/>
          <w:cols w:equalWidth="0" w:num="1">
            <w:col w:w="11240"/>
          </w:cols>
          <w:pgMar w:left="320" w:top="142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FIFTH AMENDMENT TO LEASE</w:t>
      </w:r>
    </w:p>
    <w:p>
      <w:pPr>
        <w:spacing w:after="0" w:line="218" w:lineRule="exact"/>
        <w:rPr>
          <w:sz w:val="20"/>
          <w:szCs w:val="20"/>
          <w:color w:val="auto"/>
        </w:rPr>
      </w:pPr>
    </w:p>
    <w:p>
      <w:pPr>
        <w:jc w:val="both"/>
        <w:ind w:firstLine="646"/>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FIFTH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 2021, by and among </w:t>
      </w:r>
      <w:r>
        <w:rPr>
          <w:rFonts w:ascii="Arial" w:cs="Arial" w:eastAsia="Arial" w:hAnsi="Arial"/>
          <w:sz w:val="22"/>
          <w:szCs w:val="22"/>
          <w:b w:val="1"/>
          <w:bCs w:val="1"/>
          <w:color w:val="auto"/>
        </w:rPr>
        <w:t>HARRAH’S JOLIET LANDCO LLC</w:t>
      </w:r>
      <w:r>
        <w:rPr>
          <w:rFonts w:ascii="Arial" w:cs="Arial" w:eastAsia="Arial" w:hAnsi="Arial"/>
          <w:sz w:val="22"/>
          <w:szCs w:val="22"/>
          <w:color w:val="auto"/>
        </w:rPr>
        <w:t>, a Delaware limited liability company (together with its 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 PLAINES DEVELOPMENT LIMITED PARTNERSHIP</w:t>
      </w:r>
      <w:r>
        <w:rPr>
          <w:rFonts w:ascii="Arial" w:cs="Arial" w:eastAsia="Arial" w:hAnsi="Arial"/>
          <w:sz w:val="22"/>
          <w:szCs w:val="22"/>
          <w:color w:val="auto"/>
        </w:rPr>
        <w:t>, a Delaware limited partnership (together with its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last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8"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Landlord, Tenant and, solely for the purposes of the last paragraph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Lease, Propco TRS</w:t>
      </w:r>
      <w:r>
        <w:rPr>
          <w:rFonts w:ascii="Arial" w:cs="Arial" w:eastAsia="Arial" w:hAnsi="Arial"/>
          <w:sz w:val="20"/>
          <w:szCs w:val="20"/>
          <w:b w:val="1"/>
          <w:bCs w:val="1"/>
          <w:color w:val="auto"/>
        </w:rPr>
        <w:t xml:space="preserve"> </w:t>
      </w:r>
      <w:r>
        <w:rPr>
          <w:rFonts w:ascii="Arial" w:cs="Arial" w:eastAsia="Arial" w:hAnsi="Arial"/>
          <w:sz w:val="20"/>
          <w:szCs w:val="20"/>
          <w:color w:val="auto"/>
        </w:rPr>
        <w:t>are parties to that certain Lease (Joliet), dated as of October 6, 2017, as amended by that certain First Amendment to Lease (Joliet), dated as of December 26, 2018, as amended by that certain Omnibus Amendment to Leases, dated as of June 1, 2020, as amended by that certain Second Amendment to Lease (Joliet), dated as of July 20, 2020, as amended by that certain Third Amendment to Lease, dated as of September 30, 2020, as amended by that certain Amended and Restated Omnibus Amendment to Leases, dated as of October 27, 2020, and as amended by that certain Fourth Amendment to Lease, dated as of November 18, 2020 (collectively, as amended, the “</w:t>
      </w:r>
      <w:r>
        <w:rPr>
          <w:rFonts w:ascii="Arial" w:cs="Arial" w:eastAsia="Arial" w:hAnsi="Arial"/>
          <w:sz w:val="20"/>
          <w:szCs w:val="20"/>
          <w:u w:val="single" w:color="auto"/>
          <w:color w:val="auto"/>
        </w:rPr>
        <w:t>Lease</w:t>
      </w:r>
      <w:r>
        <w:rPr>
          <w:rFonts w:ascii="Arial" w:cs="Arial" w:eastAsia="Arial" w:hAnsi="Arial"/>
          <w:sz w:val="20"/>
          <w:szCs w:val="20"/>
          <w:color w:val="auto"/>
        </w:rPr>
        <w:t>”), pursuant to which Landlord leases to Tenant, and Tenant leases from Landlord, certain real property as more particularly described in the Lease;</w:t>
      </w:r>
    </w:p>
    <w:p>
      <w:pPr>
        <w:spacing w:after="0" w:line="162" w:lineRule="exact"/>
        <w:rPr>
          <w:sz w:val="20"/>
          <w:szCs w:val="20"/>
          <w:color w:val="auto"/>
        </w:rPr>
      </w:pPr>
    </w:p>
    <w:p>
      <w:pPr>
        <w:jc w:val="both"/>
        <w:ind w:firstLine="646"/>
        <w:spacing w:after="0" w:line="27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on December 28, 2020, Bluegrass Downs Property Owner LLC conveyed to McCracken County, Kentucky</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real property interests associated with the former gaming and entertainment facility known as Bluegrass Downs located in Paducah, Kentucky, which facility was (prior to such conveyance) subject to the “Regional Lease” (as defined in the Lease) (the “</w:t>
      </w:r>
      <w:r>
        <w:rPr>
          <w:rFonts w:ascii="Arial" w:cs="Arial" w:eastAsia="Arial" w:hAnsi="Arial"/>
          <w:sz w:val="20"/>
          <w:szCs w:val="20"/>
          <w:u w:val="single" w:color="auto"/>
          <w:color w:val="auto"/>
        </w:rPr>
        <w:t>Bluegrass Downs Transaction</w:t>
      </w:r>
      <w:r>
        <w:rPr>
          <w:rFonts w:ascii="Arial" w:cs="Arial" w:eastAsia="Arial" w:hAnsi="Arial"/>
          <w:sz w:val="20"/>
          <w:szCs w:val="20"/>
          <w:color w:val="auto"/>
        </w:rPr>
        <w:t>”), and the Bluegrass Downs Leased Property (as defined in the amendment to the Regional Lease being entered into concurrently with this Amendment in connection with the Bluegrass Downs Transaction and the LAD Transaction (as defined below)) was severed from the Regional Lease as of such date;</w:t>
      </w:r>
    </w:p>
    <w:p>
      <w:pPr>
        <w:spacing w:after="0" w:line="158" w:lineRule="exact"/>
        <w:rPr>
          <w:sz w:val="20"/>
          <w:szCs w:val="20"/>
          <w:color w:val="auto"/>
        </w:rPr>
      </w:pPr>
    </w:p>
    <w:p>
      <w:pPr>
        <w:jc w:val="both"/>
        <w:ind w:firstLine="646"/>
        <w:spacing w:after="0" w:line="247"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CEOC, LLC and Roman Holding Company of Indiana LLC, collectively as sellers</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w:t>
      </w:r>
      <w:r>
        <w:rPr>
          <w:rFonts w:ascii="Arial" w:cs="Arial" w:eastAsia="Arial" w:hAnsi="Arial"/>
          <w:sz w:val="22"/>
          <w:szCs w:val="22"/>
          <w:u w:val="single" w:color="auto"/>
          <w:color w:val="auto"/>
        </w:rPr>
        <w:t>Sellers</w:t>
      </w:r>
      <w:r>
        <w:rPr>
          <w:rFonts w:ascii="Arial" w:cs="Arial" w:eastAsia="Arial" w:hAnsi="Arial"/>
          <w:sz w:val="22"/>
          <w:szCs w:val="22"/>
          <w:color w:val="auto"/>
        </w:rPr>
        <w:t>”), and EBCI MezzCo LLC, as purchaser, are closing a purchase and sale transaction under that certain Equity Purchase Agreement, dated as of December 24, 2020, with respect to Sellers’ aggregate one hundred percent (100%) equity interest in Caesars Riverboat Casino, LLC, which entity operates the gaming and entertainment facility known as Caesars Southern Indiana (formerly known as Horseshoe Southern Indiana), located in Elizabeth, Indiana (and, together with Roman Holding Company of Indiana LLC, leases such facility pursuant to the terms of the “Regional Lease” (as defined in the Lease)) (the “</w:t>
      </w:r>
      <w:r>
        <w:rPr>
          <w:rFonts w:ascii="Arial" w:cs="Arial" w:eastAsia="Arial" w:hAnsi="Arial"/>
          <w:sz w:val="22"/>
          <w:szCs w:val="22"/>
          <w:u w:val="single" w:color="auto"/>
          <w:color w:val="auto"/>
        </w:rPr>
        <w:t>Southern Indiana Transaction</w:t>
      </w:r>
      <w:r>
        <w:rPr>
          <w:rFonts w:ascii="Arial" w:cs="Arial" w:eastAsia="Arial" w:hAnsi="Arial"/>
          <w:sz w:val="22"/>
          <w:szCs w:val="22"/>
          <w:color w:val="auto"/>
        </w:rPr>
        <w:t>”); and</w:t>
      </w:r>
    </w:p>
    <w:p>
      <w:pPr>
        <w:spacing w:after="0" w:line="184"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Bluegrass Downs Transaction and the Southern Indiana Transaction,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desire to amend the Lease as set forth herein.</w:t>
      </w:r>
    </w:p>
    <w:p>
      <w:pPr>
        <w:sectPr>
          <w:pgSz w:w="11900" w:h="16838" w:orient="portrait"/>
          <w:cols w:equalWidth="0" w:num="1">
            <w:col w:w="11240"/>
          </w:cols>
          <w:pgMar w:left="320" w:top="125" w:right="339" w:bottom="1440" w:gutter="0" w:footer="0" w:header="0"/>
        </w:sectPr>
      </w:pPr>
    </w:p>
    <w:bookmarkStart w:id="146" w:name="page147"/>
    <w:bookmarkEnd w:id="146"/>
    <w:p>
      <w:pPr>
        <w:jc w:val="both"/>
        <w:ind w:firstLine="646"/>
        <w:spacing w:after="0" w:line="25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7" w:lineRule="exact"/>
        <w:rPr>
          <w:sz w:val="20"/>
          <w:szCs w:val="20"/>
          <w:color w:val="auto"/>
        </w:rPr>
      </w:pPr>
    </w:p>
    <w:p>
      <w:pPr>
        <w:ind w:firstLine="654"/>
        <w:spacing w:after="0" w:line="268" w:lineRule="auto"/>
        <w:tabs>
          <w:tab w:leader="none" w:pos="1293"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2" w:lineRule="exact"/>
        <w:rPr>
          <w:rFonts w:ascii="Arial" w:cs="Arial" w:eastAsia="Arial" w:hAnsi="Arial"/>
          <w:sz w:val="22"/>
          <w:szCs w:val="22"/>
          <w:color w:val="auto"/>
        </w:rPr>
      </w:pPr>
    </w:p>
    <w:p>
      <w:pPr>
        <w:ind w:left="1300" w:hanging="646"/>
        <w:spacing w:after="0"/>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p>
    <w:p>
      <w:pPr>
        <w:spacing w:after="0" w:line="224" w:lineRule="exact"/>
        <w:rPr>
          <w:sz w:val="20"/>
          <w:szCs w:val="20"/>
          <w:color w:val="auto"/>
        </w:rPr>
      </w:pPr>
    </w:p>
    <w:p>
      <w:pPr>
        <w:jc w:val="both"/>
        <w:ind w:left="980" w:hanging="326"/>
        <w:spacing w:after="0" w:line="249" w:lineRule="auto"/>
        <w:tabs>
          <w:tab w:leader="none" w:pos="96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Fourteen Million Five Hundred Thousand and No/100 Dollars ($114,500,000.00)” with a reference to “One Hundred Eight Million Six Hundred Thousand and No/100 Dollars ($108,600,000.00)”.</w:t>
      </w:r>
    </w:p>
    <w:p>
      <w:pPr>
        <w:spacing w:after="0" w:line="189" w:lineRule="exact"/>
        <w:rPr>
          <w:rFonts w:ascii="Arial" w:cs="Arial" w:eastAsia="Arial" w:hAnsi="Arial"/>
          <w:sz w:val="22"/>
          <w:szCs w:val="22"/>
          <w:color w:val="auto"/>
        </w:rPr>
      </w:pPr>
    </w:p>
    <w:p>
      <w:pPr>
        <w:jc w:val="both"/>
        <w:ind w:left="980" w:hanging="326"/>
        <w:spacing w:after="0" w:line="278" w:lineRule="auto"/>
        <w:tabs>
          <w:tab w:leader="none" w:pos="98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Annual Minimum Per-Lease B&amp;I Cap Ex Requirement</w:t>
      </w:r>
      <w:r>
        <w:rPr>
          <w:rFonts w:ascii="Arial" w:cs="Arial" w:eastAsia="Arial" w:hAnsi="Arial"/>
          <w:sz w:val="20"/>
          <w:szCs w:val="20"/>
          <w:color w:val="auto"/>
        </w:rPr>
        <w:t xml:space="preserve">. Landlord and Tenant hereby acknowledge, for the avoidance of doubt, that the Net Revenue attributable to the Southern Indiana Facility (as defined in the amendment to the Regional Lease being entered into concurrently with this Amendment in connection with the Bluegrass Downs Transaction and the Southern Indiana Transaction) for the 2020 Fiscal Year and the 2021 Fiscal Year shall not be included for purposes of calculating the Capital Expenditures required under </w:t>
      </w:r>
      <w:r>
        <w:rPr>
          <w:rFonts w:ascii="Arial" w:cs="Arial" w:eastAsia="Arial" w:hAnsi="Arial"/>
          <w:sz w:val="20"/>
          <w:szCs w:val="20"/>
          <w:u w:val="single" w:color="auto"/>
          <w:color w:val="auto"/>
        </w:rPr>
        <w:t>Section 10.5(a)(ii)</w:t>
      </w:r>
      <w:r>
        <w:rPr>
          <w:rFonts w:ascii="Arial" w:cs="Arial" w:eastAsia="Arial" w:hAnsi="Arial"/>
          <w:sz w:val="20"/>
          <w:szCs w:val="20"/>
          <w:color w:val="auto"/>
        </w:rPr>
        <w:t xml:space="preserve"> of the Lease.</w:t>
      </w:r>
    </w:p>
    <w:p>
      <w:pPr>
        <w:spacing w:after="0" w:line="163" w:lineRule="exact"/>
        <w:rPr>
          <w:rFonts w:ascii="Arial" w:cs="Arial" w:eastAsia="Arial" w:hAnsi="Arial"/>
          <w:sz w:val="20"/>
          <w:szCs w:val="20"/>
          <w:color w:val="auto"/>
        </w:rPr>
      </w:pPr>
    </w:p>
    <w:p>
      <w:pPr>
        <w:jc w:val="both"/>
        <w:ind w:left="980" w:hanging="326"/>
        <w:spacing w:after="0" w:line="249" w:lineRule="auto"/>
        <w:tabs>
          <w:tab w:leader="none" w:pos="96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Triennial Allocated Minimum Cap Ex Amount B Floor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Allocated Minimum Cap Ex Amount B Floor” is hereby revised and modified to replace the reference therein to “Three Hundred Eleven Million and No/100 Dollars ($311,000,000.00)” with a reference to “Two Hundred Ninety Million and No/100 Dollars ($290,000,000.00)”.</w:t>
      </w:r>
    </w:p>
    <w:p>
      <w:pPr>
        <w:spacing w:after="0" w:line="189" w:lineRule="exact"/>
        <w:rPr>
          <w:rFonts w:ascii="Arial" w:cs="Arial" w:eastAsia="Arial" w:hAnsi="Arial"/>
          <w:sz w:val="22"/>
          <w:szCs w:val="22"/>
          <w:color w:val="auto"/>
        </w:rPr>
      </w:pPr>
    </w:p>
    <w:p>
      <w:pPr>
        <w:jc w:val="both"/>
        <w:ind w:left="980" w:hanging="326"/>
        <w:spacing w:after="0" w:line="282" w:lineRule="auto"/>
        <w:tabs>
          <w:tab w:leader="none" w:pos="98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Triennial Minimum Cap Ex Amount A</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of the Lease is hereby amended such that the definition of “Triennial Minimum Cap Ex Amount A” is hereby revised and modified to replace the reference therein to “Five Hundred Sixty-Six Million Seven Hundred Thousand and No/100 Dollars ($566,700,000.00)” with a reference to “Five Hundred Thirty-Seven Million Five Hundred Thousand and No/100 Dollars ($537,500,000.00)”.</w:t>
      </w:r>
    </w:p>
    <w:p>
      <w:pPr>
        <w:spacing w:after="0" w:line="158" w:lineRule="exact"/>
        <w:rPr>
          <w:rFonts w:ascii="Arial" w:cs="Arial" w:eastAsia="Arial" w:hAnsi="Arial"/>
          <w:sz w:val="20"/>
          <w:szCs w:val="20"/>
          <w:color w:val="auto"/>
        </w:rPr>
      </w:pPr>
    </w:p>
    <w:p>
      <w:pPr>
        <w:jc w:val="both"/>
        <w:ind w:left="980" w:hanging="326"/>
        <w:spacing w:after="0" w:line="282" w:lineRule="auto"/>
        <w:tabs>
          <w:tab w:leader="none" w:pos="968"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Triennial Minimum Cap Ex Amount B</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of the Lease is hereby amended such that the definition of “Triennial Minimum Cap Ex Amount B” is hereby revised and modified to replace the reference therein to “Four Hundred Five Million Two Hundred Thousand and No/100 Dollars ($405,200,000.00)” with a reference to “Three Hundred Eighty-Four Million Three Hundred Thousand and No/100 Dollars ($384,300,000.00)”.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8" w:right="339" w:bottom="1440" w:gutter="0" w:footer="0" w:header="0"/>
        </w:sectPr>
      </w:pPr>
    </w:p>
    <w:bookmarkStart w:id="147" w:name="page148"/>
    <w:bookmarkEnd w:id="147"/>
    <w:p>
      <w:pPr>
        <w:ind w:left="306" w:hanging="306"/>
        <w:spacing w:after="0"/>
        <w:tabs>
          <w:tab w:leader="none" w:pos="30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18" w:lineRule="exact"/>
        <w:rPr>
          <w:rFonts w:ascii="Arial" w:cs="Arial" w:eastAsia="Arial" w:hAnsi="Arial"/>
          <w:sz w:val="22"/>
          <w:szCs w:val="22"/>
          <w:color w:val="auto"/>
        </w:rPr>
      </w:pPr>
    </w:p>
    <w:p>
      <w:pPr>
        <w:jc w:val="both"/>
        <w:ind w:left="966" w:hanging="319"/>
        <w:spacing w:after="0" w:line="276" w:lineRule="auto"/>
        <w:tabs>
          <w:tab w:leader="none" w:pos="958"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Section 10.5(a)(v)(b)</w:t>
      </w:r>
      <w:r>
        <w:rPr>
          <w:rFonts w:ascii="Arial" w:cs="Arial" w:eastAsia="Arial" w:hAnsi="Arial"/>
          <w:sz w:val="20"/>
          <w:szCs w:val="20"/>
          <w:color w:val="auto"/>
        </w:rPr>
        <w:t xml:space="preserve"> of the Lease is hereby amended to (a) replace the reference therein to “Five Hundred Sixty-Six Million Seven Hundred Thousand and No/100 Dollars ($566,700,000.00)” with a reference to “Five Hundred Thirty-Seven Million Five Hundred Thousand and No/100 Dollars ($537,500,000.00)” and (b) replace the reference therein to “One Hundred Eighty-Eight Million Nine Hundred Thousand and No/100 Dollars ($188,900,000.00)” with a reference to “One Hundred Seventy-Nine Million One Hundred Sixty-Six Thousand Six Hundred Sixty-Seven and No/100 Dollars ($179,166,667.00)”,</w:t>
      </w:r>
    </w:p>
    <w:p>
      <w:pPr>
        <w:spacing w:after="0" w:line="164" w:lineRule="exact"/>
        <w:rPr>
          <w:rFonts w:ascii="Arial" w:cs="Arial" w:eastAsia="Arial" w:hAnsi="Arial"/>
          <w:sz w:val="20"/>
          <w:szCs w:val="20"/>
          <w:color w:val="auto"/>
        </w:rPr>
      </w:pPr>
    </w:p>
    <w:p>
      <w:pPr>
        <w:jc w:val="both"/>
        <w:ind w:left="966" w:hanging="319"/>
        <w:spacing w:after="0" w:line="276" w:lineRule="auto"/>
        <w:tabs>
          <w:tab w:leader="none" w:pos="964"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Section 10.5(a)(v)(c)</w:t>
      </w:r>
      <w:r>
        <w:rPr>
          <w:rFonts w:ascii="Arial" w:cs="Arial" w:eastAsia="Arial" w:hAnsi="Arial"/>
          <w:sz w:val="20"/>
          <w:szCs w:val="20"/>
          <w:color w:val="auto"/>
        </w:rPr>
        <w:t xml:space="preserve"> of the Lease is hereby amended to (a) replace the reference therein to “Four Hundred Five Million Two Hundred Thousand and No/100 Dollars ($405,200,000.00)” with a reference to “Three Hundred Eighty-Four Million Three Hundred Thousand and No/100 Dollars ($384,300,000.00)” and (b) replace the reference therein to “One Hundred Thirty-Five Million Sixty-Six Thousand Six Hundred Sixty-Six and 67/100 Dollars ($135,066,666.67)” with a reference to “One Hundred Twenty-Eight Million One Hundred Thousand and No/100 Dollars ($128,100,000.00)”, and</w:t>
      </w:r>
    </w:p>
    <w:p>
      <w:pPr>
        <w:spacing w:after="0" w:line="164" w:lineRule="exact"/>
        <w:rPr>
          <w:rFonts w:ascii="Arial" w:cs="Arial" w:eastAsia="Arial" w:hAnsi="Arial"/>
          <w:sz w:val="20"/>
          <w:szCs w:val="20"/>
          <w:color w:val="auto"/>
        </w:rPr>
      </w:pPr>
    </w:p>
    <w:p>
      <w:pPr>
        <w:jc w:val="both"/>
        <w:ind w:left="966" w:hanging="319"/>
        <w:spacing w:after="0" w:line="271" w:lineRule="auto"/>
        <w:tabs>
          <w:tab w:leader="none" w:pos="957" w:val="left"/>
        </w:tabs>
        <w:numPr>
          <w:ilvl w:val="1"/>
          <w:numId w:val="103"/>
        </w:numPr>
        <w:rPr>
          <w:rFonts w:ascii="Arial" w:cs="Arial" w:eastAsia="Arial" w:hAnsi="Arial"/>
          <w:sz w:val="20"/>
          <w:szCs w:val="20"/>
          <w:color w:val="auto"/>
        </w:rPr>
      </w:pPr>
      <w:r>
        <w:rPr>
          <w:rFonts w:ascii="Arial" w:cs="Arial" w:eastAsia="Arial" w:hAnsi="Arial"/>
          <w:sz w:val="20"/>
          <w:szCs w:val="20"/>
          <w:color w:val="auto"/>
        </w:rPr>
        <w:t>The second sentence of Section 10.5(a)(v) of the Lease is hereby amended to (a) replace the reference therein to “Five Hundred Sixty-Six Million Seven Hundred Thousand and No/100 Dollars ($566,700,000.00)” with a reference to “Five Hundred Thirty-Seven Million Five Hundred Thousand and No/100 Dollars ($537,500,000.00)”, (b) replace the reference therein to “One Hundred Eighty-Eight Million Nine Hundred Thousand and No/100 Dollars ($188,900,000.00)” with a reference to “One Hundred Seventy-Nine Million One Hundred Sixty-Six Thousand Six Hundred Sixty-Seven and No/100 Dollars ($179,166,667.00)”, (c) replace the reference therein to “Four Hundred Five Million Two Hundred Thousand and No/100 Dollars ($405,200,000.00)” with a reference to “Three Hundred Eighty-Four Million Three Hundred Thousand and No/100 Dollars ($384,300,000.00)” and (d) replace the reference therein to “One Hundred Thirty-Five Million Sixty-Six Thousand Six Hundred Sixty-Six and 67/100 Dollars ($135,066,666.67)” with a reference to “One Hundred Twenty-Eight Million One Hundred Thousand and No/100 Dollars ($128,100,000.00)”.</w:t>
      </w:r>
    </w:p>
    <w:p>
      <w:pPr>
        <w:spacing w:after="0" w:line="173" w:lineRule="exact"/>
        <w:rPr>
          <w:rFonts w:ascii="Arial" w:cs="Arial" w:eastAsia="Arial" w:hAnsi="Arial"/>
          <w:sz w:val="20"/>
          <w:szCs w:val="20"/>
          <w:color w:val="auto"/>
        </w:rPr>
      </w:pPr>
    </w:p>
    <w:p>
      <w:pPr>
        <w:ind w:left="326" w:hanging="326"/>
        <w:spacing w:after="0"/>
        <w:tabs>
          <w:tab w:leader="none" w:pos="32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Regional Lease Section 22.2(vii) Transfer</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jc w:val="both"/>
        <w:ind w:left="966" w:right="40" w:hanging="319"/>
        <w:spacing w:after="0" w:line="235" w:lineRule="auto"/>
        <w:tabs>
          <w:tab w:leader="none" w:pos="958" w:val="left"/>
        </w:tabs>
        <w:numPr>
          <w:ilvl w:val="1"/>
          <w:numId w:val="103"/>
        </w:numPr>
        <w:rPr>
          <w:rFonts w:ascii="Arial" w:cs="Arial" w:eastAsia="Arial" w:hAnsi="Arial"/>
          <w:sz w:val="22"/>
          <w:szCs w:val="22"/>
          <w:color w:val="auto"/>
        </w:rPr>
      </w:pPr>
      <w:r>
        <w:rPr>
          <w:rFonts w:ascii="Arial" w:cs="Arial" w:eastAsia="Arial" w:hAnsi="Arial"/>
          <w:sz w:val="22"/>
          <w:szCs w:val="22"/>
          <w:color w:val="auto"/>
        </w:rPr>
        <w:t xml:space="preserve">Landlord and Tenant hereby acknowledge and agree that the Southern Indiana Transaction shall be deemed to be, and treated as, a transfer of a Regional Facility by Regional Tenant in accordance with </w:t>
      </w:r>
      <w:r>
        <w:rPr>
          <w:rFonts w:ascii="Arial" w:cs="Arial" w:eastAsia="Arial" w:hAnsi="Arial"/>
          <w:sz w:val="22"/>
          <w:szCs w:val="22"/>
          <w:u w:val="single" w:color="auto"/>
          <w:color w:val="auto"/>
        </w:rPr>
        <w:t>Section 22.2(vii)</w:t>
      </w:r>
      <w:r>
        <w:rPr>
          <w:rFonts w:ascii="Arial" w:cs="Arial" w:eastAsia="Arial" w:hAnsi="Arial"/>
          <w:sz w:val="22"/>
          <w:szCs w:val="22"/>
          <w:color w:val="auto"/>
        </w:rPr>
        <w:t xml:space="preserve"> of the Regional Lease (including, without limitation, for purposes of any determinations under clause (6) of </w:t>
      </w:r>
      <w:r>
        <w:rPr>
          <w:rFonts w:ascii="Arial" w:cs="Arial" w:eastAsia="Arial" w:hAnsi="Arial"/>
          <w:sz w:val="22"/>
          <w:szCs w:val="22"/>
          <w:u w:val="single" w:color="auto"/>
          <w:color w:val="auto"/>
        </w:rPr>
        <w:t>Section 22.2(vii)</w:t>
      </w:r>
      <w:r>
        <w:rPr>
          <w:rFonts w:ascii="Arial" w:cs="Arial" w:eastAsia="Arial" w:hAnsi="Arial"/>
          <w:sz w:val="22"/>
          <w:szCs w:val="22"/>
          <w:color w:val="auto"/>
        </w:rPr>
        <w:t xml:space="preserve"> of the Lease), irrespective of whether or not </w:t>
      </w:r>
      <w:r>
        <w:rPr>
          <w:rFonts w:ascii="Arial" w:cs="Arial" w:eastAsia="Arial" w:hAnsi="Arial"/>
          <w:sz w:val="22"/>
          <w:szCs w:val="22"/>
          <w:u w:val="single" w:color="auto"/>
          <w:color w:val="auto"/>
        </w:rPr>
        <w:t>Section 22.2(vii)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22.9</w:t>
      </w:r>
      <w:r>
        <w:rPr>
          <w:rFonts w:ascii="Arial" w:cs="Arial" w:eastAsia="Arial" w:hAnsi="Arial"/>
          <w:sz w:val="22"/>
          <w:szCs w:val="22"/>
          <w:color w:val="auto"/>
        </w:rPr>
        <w:t xml:space="preserve"> of the Regional Lease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26"/>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6"/>
          </w:cols>
          <w:pgMar w:left="974" w:top="1424" w:right="339" w:bottom="1440" w:gutter="0" w:footer="0" w:header="0"/>
        </w:sectPr>
      </w:pPr>
    </w:p>
    <w:bookmarkStart w:id="148" w:name="page149"/>
    <w:bookmarkEnd w:id="148"/>
    <w:p>
      <w:pPr>
        <w:jc w:val="both"/>
        <w:ind w:left="1620" w:right="40"/>
        <w:spacing w:after="0" w:line="296" w:lineRule="auto"/>
        <w:rPr>
          <w:sz w:val="20"/>
          <w:szCs w:val="20"/>
          <w:color w:val="auto"/>
        </w:rPr>
      </w:pPr>
      <w:r>
        <w:rPr>
          <w:rFonts w:ascii="Arial" w:cs="Arial" w:eastAsia="Arial" w:hAnsi="Arial"/>
          <w:sz w:val="19"/>
          <w:szCs w:val="19"/>
          <w:color w:val="auto"/>
        </w:rPr>
        <w:t xml:space="preserve">applicable to the Southern Indiana Transaction. For the avoidance of doubt, after giving effect to the Southern Indiana Transaction, the percentage of the 2018 EBITDAR Pool that remains available for application to any and all subsequent transfers pursuant to </w:t>
      </w:r>
      <w:r>
        <w:rPr>
          <w:rFonts w:ascii="Arial" w:cs="Arial" w:eastAsia="Arial" w:hAnsi="Arial"/>
          <w:sz w:val="19"/>
          <w:szCs w:val="19"/>
          <w:u w:val="single" w:color="auto"/>
          <w:color w:val="auto"/>
        </w:rPr>
        <w:t>Section 22.2(vii)</w:t>
      </w:r>
      <w:r>
        <w:rPr>
          <w:rFonts w:ascii="Arial" w:cs="Arial" w:eastAsia="Arial" w:hAnsi="Arial"/>
          <w:sz w:val="19"/>
          <w:szCs w:val="19"/>
          <w:color w:val="auto"/>
        </w:rPr>
        <w:t xml:space="preserve"> of the Lease shall not exceed 18.4% in the aggregate.</w:t>
      </w:r>
    </w:p>
    <w:p>
      <w:pPr>
        <w:spacing w:after="0" w:line="134" w:lineRule="exact"/>
        <w:rPr>
          <w:sz w:val="20"/>
          <w:szCs w:val="20"/>
          <w:color w:val="auto"/>
        </w:rPr>
      </w:pPr>
    </w:p>
    <w:p>
      <w:pPr>
        <w:jc w:val="both"/>
        <w:ind w:left="1620" w:right="40" w:hanging="319"/>
        <w:spacing w:after="0" w:line="237" w:lineRule="auto"/>
        <w:tabs>
          <w:tab w:leader="none" w:pos="161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The amount of the 2018 EBITDAR Pool shall not be reduced as a result of the Southern Indiana Facility no longer being a Regional Facility under the Regional Lease, and, without limitation, </w:t>
      </w:r>
      <w:r>
        <w:rPr>
          <w:rFonts w:ascii="Arial" w:cs="Arial" w:eastAsia="Arial" w:hAnsi="Arial"/>
          <w:sz w:val="22"/>
          <w:szCs w:val="22"/>
          <w:u w:val="single" w:color="auto"/>
          <w:color w:val="auto"/>
        </w:rPr>
        <w:t>Schedule 7</w:t>
      </w:r>
      <w:r>
        <w:rPr>
          <w:rFonts w:ascii="Arial" w:cs="Arial" w:eastAsia="Arial" w:hAnsi="Arial"/>
          <w:sz w:val="22"/>
          <w:szCs w:val="22"/>
          <w:color w:val="auto"/>
        </w:rPr>
        <w:t xml:space="preserve"> to the Lease (setting forth the 2018 Facility EBITDAR of Tenant and Regional Tenant) shall not be modified as a result of the Southern Indiana Transaction.</w:t>
      </w:r>
    </w:p>
    <w:p>
      <w:pPr>
        <w:spacing w:after="0" w:line="185" w:lineRule="exact"/>
        <w:rPr>
          <w:rFonts w:ascii="Arial" w:cs="Arial" w:eastAsia="Arial" w:hAnsi="Arial"/>
          <w:sz w:val="22"/>
          <w:szCs w:val="22"/>
          <w:color w:val="auto"/>
        </w:rPr>
      </w:pPr>
    </w:p>
    <w:p>
      <w:pPr>
        <w:jc w:val="both"/>
        <w:ind w:left="1620" w:right="40" w:hanging="319"/>
        <w:spacing w:after="0" w:line="239" w:lineRule="auto"/>
        <w:tabs>
          <w:tab w:leader="none" w:pos="1611"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treatment of the Southern Indiana Transaction hereunder is not intended to serve as a precedent for the treatment of future dispositions (if any) which may be effectuated under any applicable provision of the Regional Lease.</w:t>
      </w:r>
    </w:p>
    <w:p>
      <w:pPr>
        <w:spacing w:after="0" w:line="187" w:lineRule="exact"/>
        <w:rPr>
          <w:rFonts w:ascii="Arial" w:cs="Arial" w:eastAsia="Arial" w:hAnsi="Arial"/>
          <w:sz w:val="22"/>
          <w:szCs w:val="22"/>
          <w:color w:val="auto"/>
        </w:rPr>
      </w:pPr>
    </w:p>
    <w:p>
      <w:pPr>
        <w:ind w:left="980" w:hanging="326"/>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Bluegrass Downs Transaction</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jc w:val="both"/>
        <w:ind w:left="1620" w:right="40" w:hanging="319"/>
        <w:spacing w:after="0" w:line="264" w:lineRule="auto"/>
        <w:tabs>
          <w:tab w:leader="none" w:pos="1612"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amount of the 2018 EBITDAR Pool shall not be reduced as a result of the Bluegrass Downs Facility (as defined in the amendment to the Regional Lease being entered into concurrently with this Amendment in connection with the Bluegrass Downs Transaction and the Southern Indiana Transaction) no longer being a Regional Facility under the Regional Lease, and the removal of the Bluegrass Downs Facility from the Regional Lease shall not constitute a L1 Transfer or a L2 Transfer under the Regional Lease.</w:t>
      </w:r>
    </w:p>
    <w:p>
      <w:pPr>
        <w:spacing w:after="0" w:line="162" w:lineRule="exact"/>
        <w:rPr>
          <w:rFonts w:ascii="Arial" w:cs="Arial" w:eastAsia="Arial" w:hAnsi="Arial"/>
          <w:sz w:val="20"/>
          <w:szCs w:val="20"/>
          <w:color w:val="auto"/>
        </w:rPr>
      </w:pPr>
    </w:p>
    <w:p>
      <w:pPr>
        <w:jc w:val="both"/>
        <w:ind w:left="1620" w:right="40" w:hanging="319"/>
        <w:spacing w:after="0" w:line="239" w:lineRule="auto"/>
        <w:tabs>
          <w:tab w:leader="none" w:pos="161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treatment of the Bluegrass Downs Transaction hereunder is not intended to serve as a precedent for the treatment of future dispositions (if any) which may be effectuated under any applicable provision of the Regional Lease.</w:t>
      </w:r>
    </w:p>
    <w:p>
      <w:pPr>
        <w:spacing w:after="0" w:line="195" w:lineRule="exact"/>
        <w:rPr>
          <w:sz w:val="20"/>
          <w:szCs w:val="20"/>
          <w:color w:val="auto"/>
        </w:rPr>
      </w:pPr>
    </w:p>
    <w:p>
      <w:pPr>
        <w:jc w:val="both"/>
        <w:ind w:firstLine="654"/>
        <w:spacing w:after="0" w:line="255" w:lineRule="auto"/>
        <w:tabs>
          <w:tab w:leader="none" w:pos="1293"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w:t>
      </w:r>
      <w:r>
        <w:rPr>
          <w:rFonts w:ascii="Arial" w:cs="Arial" w:eastAsia="Arial" w:hAnsi="Arial"/>
          <w:sz w:val="22"/>
          <w:szCs w:val="22"/>
          <w:b w:val="1"/>
          <w:bCs w:val="1"/>
          <w:color w:val="auto"/>
        </w:rPr>
        <w:t>Lease</w:t>
      </w:r>
      <w:r>
        <w:rPr>
          <w:rFonts w:ascii="Arial" w:cs="Arial" w:eastAsia="Arial" w:hAnsi="Arial"/>
          <w:sz w:val="22"/>
          <w:szCs w:val="22"/>
          <w:color w:val="auto"/>
        </w:rPr>
        <w:t>” shall be deemed to refer to the Lease as amended by this Amendment.</w:t>
      </w:r>
    </w:p>
    <w:p>
      <w:pPr>
        <w:spacing w:after="0" w:line="176" w:lineRule="exact"/>
        <w:rPr>
          <w:rFonts w:ascii="Arial" w:cs="Arial" w:eastAsia="Arial" w:hAnsi="Arial"/>
          <w:sz w:val="22"/>
          <w:szCs w:val="22"/>
          <w:color w:val="auto"/>
        </w:rPr>
      </w:pPr>
    </w:p>
    <w:p>
      <w:pPr>
        <w:jc w:val="both"/>
        <w:ind w:firstLine="654"/>
        <w:spacing w:after="0" w:line="251" w:lineRule="auto"/>
        <w:tabs>
          <w:tab w:leader="none" w:pos="1293"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80" w:lineRule="exact"/>
        <w:rPr>
          <w:rFonts w:ascii="Arial" w:cs="Arial" w:eastAsia="Arial" w:hAnsi="Arial"/>
          <w:sz w:val="22"/>
          <w:szCs w:val="22"/>
          <w:color w:val="auto"/>
        </w:rPr>
      </w:pPr>
    </w:p>
    <w:p>
      <w:pPr>
        <w:jc w:val="both"/>
        <w:ind w:firstLine="654"/>
        <w:spacing w:after="0" w:line="255" w:lineRule="auto"/>
        <w:tabs>
          <w:tab w:leader="none" w:pos="1293"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1" w:right="339" w:bottom="1440" w:gutter="0" w:footer="0" w:header="0"/>
        </w:sectPr>
      </w:pPr>
    </w:p>
    <w:bookmarkStart w:id="149" w:name="page150"/>
    <w:bookmarkEnd w:id="149"/>
    <w:p>
      <w:pPr>
        <w:ind w:firstLine="654"/>
        <w:spacing w:after="0" w:line="268" w:lineRule="auto"/>
        <w:tabs>
          <w:tab w:leader="none" w:pos="1293"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2" w:lineRule="exact"/>
        <w:rPr>
          <w:rFonts w:ascii="Arial" w:cs="Arial" w:eastAsia="Arial" w:hAnsi="Arial"/>
          <w:sz w:val="22"/>
          <w:szCs w:val="22"/>
          <w:color w:val="auto"/>
        </w:rPr>
      </w:pPr>
    </w:p>
    <w:p>
      <w:pPr>
        <w:jc w:val="both"/>
        <w:ind w:firstLine="654"/>
        <w:spacing w:after="0" w:line="274" w:lineRule="auto"/>
        <w:tabs>
          <w:tab w:leader="none" w:pos="1293" w:val="left"/>
        </w:tabs>
        <w:numPr>
          <w:ilvl w:val="0"/>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If any provision of this Amendment is adjudicated to be invalid, illegal or unenforceable, in whole</w:t>
      </w:r>
      <w:r>
        <w:rPr>
          <w:rFonts w:ascii="Arial" w:cs="Arial" w:eastAsia="Arial" w:hAnsi="Arial"/>
          <w:sz w:val="20"/>
          <w:szCs w:val="20"/>
          <w:b w:val="1"/>
          <w:bCs w:val="1"/>
          <w:color w:val="auto"/>
        </w:rPr>
        <w:t xml:space="preserve"> </w:t>
      </w:r>
      <w:r>
        <w:rPr>
          <w:rFonts w:ascii="Arial" w:cs="Arial" w:eastAsia="Arial" w:hAnsi="Arial"/>
          <w:sz w:val="20"/>
          <w:szCs w:val="20"/>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150" w:name="page151"/>
    <w:bookmarkEnd w:id="150"/>
    <w:p>
      <w:pPr>
        <w:ind w:firstLine="646"/>
        <w:spacing w:after="0" w:line="26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JOLIET LANDCO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0833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David Kieske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Fifth Amendment to Joliet Lease]</w:t>
      </w:r>
    </w:p>
    <w:p>
      <w:pPr>
        <w:sectPr>
          <w:pgSz w:w="11900" w:h="16838" w:orient="portrait"/>
          <w:cols w:equalWidth="0" w:num="1">
            <w:col w:w="11240"/>
          </w:cols>
          <w:pgMar w:left="320" w:top="1425"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b w:val="1"/>
          <w:bCs w:val="1"/>
          <w:color w:val="auto"/>
        </w:rPr>
        <w:t>TENANT:</w:t>
      </w:r>
    </w:p>
    <w:p>
      <w:pPr>
        <w:spacing w:after="0" w:line="218" w:lineRule="exact"/>
        <w:rPr>
          <w:sz w:val="20"/>
          <w:szCs w:val="20"/>
          <w:color w:val="auto"/>
        </w:rPr>
      </w:pPr>
    </w:p>
    <w:p>
      <w:pPr>
        <w:ind w:right="4359"/>
        <w:spacing w:after="0" w:line="268" w:lineRule="auto"/>
        <w:rPr>
          <w:sz w:val="20"/>
          <w:szCs w:val="20"/>
          <w:color w:val="auto"/>
        </w:rPr>
      </w:pPr>
      <w:r>
        <w:rPr>
          <w:rFonts w:ascii="Arial" w:cs="Arial" w:eastAsia="Arial" w:hAnsi="Arial"/>
          <w:sz w:val="22"/>
          <w:szCs w:val="22"/>
          <w:b w:val="1"/>
          <w:bCs w:val="1"/>
          <w:color w:val="auto"/>
        </w:rPr>
        <w:t xml:space="preserve">DES PLAINES DEVELOPMENT LIMITED PARTNERSHIP, </w:t>
      </w:r>
      <w:r>
        <w:rPr>
          <w:rFonts w:ascii="Arial" w:cs="Arial" w:eastAsia="Arial" w:hAnsi="Arial"/>
          <w:sz w:val="22"/>
          <w:szCs w:val="22"/>
          <w:color w:val="auto"/>
        </w:rPr>
        <w:t>a Delaware limited partnership</w:t>
      </w:r>
    </w:p>
    <w:p>
      <w:pPr>
        <w:spacing w:after="0" w:line="19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Harrah’s Illinois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Nevada limited liability company,</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-17780</wp:posOffset>
            </wp:positionV>
            <wp:extent cx="11664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26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[Signature Page to Fifth Amendment to Joliet Lease]</w:t>
      </w:r>
    </w:p>
    <w:p>
      <w:pPr>
        <w:sectPr>
          <w:pgSz w:w="11900" w:h="16838" w:orient="portrait"/>
          <w:cols w:equalWidth="0" w:num="1">
            <w:col w:w="10139"/>
          </w:cols>
          <w:pgMar w:left="320" w:top="1419" w:right="1440" w:bottom="1440" w:gutter="0" w:footer="0" w:header="0"/>
        </w:sectPr>
      </w:pPr>
    </w:p>
    <w:bookmarkStart w:id="152" w:name="page153"/>
    <w:bookmarkEnd w:id="152"/>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0833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David Kieske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20"/>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[Signature Page to Fifth Amendment to Joliet Lease]</w:t>
      </w:r>
    </w:p>
    <w:p>
      <w:pPr>
        <w:sectPr>
          <w:pgSz w:w="11900" w:h="16838" w:orient="portrait"/>
          <w:cols w:equalWidth="0" w:num="1">
            <w:col w:w="10139"/>
          </w:cols>
          <w:pgMar w:left="320" w:top="1425" w:right="1440"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b w:val="1"/>
          <w:bCs w:val="1"/>
          <w:color w:val="auto"/>
        </w:rPr>
        <w:t xml:space="preserve">CEOC, LLC </w:t>
      </w:r>
      <w:r>
        <w:rPr>
          <w:rFonts w:ascii="Arial" w:cs="Arial" w:eastAsia="Arial" w:hAnsi="Arial"/>
          <w:sz w:val="19"/>
          <w:szCs w:val="19"/>
          <w:color w:val="auto"/>
        </w:rPr>
        <w:t>hereby acknowledges this Amendment and reaffirms its joinder attached to the Lease.</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1664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[Signature Page to Fifth Amendment to Joliet Lease]</w:t>
      </w:r>
    </w:p>
    <w:p>
      <w:pPr>
        <w:sectPr>
          <w:pgSz w:w="11900" w:h="16838" w:orient="portrait"/>
          <w:cols w:equalWidth="0" w:num="1">
            <w:col w:w="10139"/>
          </w:cols>
          <w:pgMar w:left="320" w:top="1419"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20"/>
          <w:szCs w:val="20"/>
          <w:b w:val="1"/>
          <w:bCs w:val="1"/>
          <w:color w:val="auto"/>
        </w:rPr>
        <w:t>ACKNOWLEDGMENT AND AGREEMENT OF GUARANTOR</w:t>
      </w:r>
    </w:p>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Fifth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September 1, 2021, by and among Harrah’s Joliet Landco LLC, a Delaware limited liability company, as Landlord, Des Plaines Development Limited Partnership, a Delaware limited partnership,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90" w:lineRule="exact"/>
        <w:rPr>
          <w:sz w:val="20"/>
          <w:szCs w:val="20"/>
          <w:color w:val="auto"/>
        </w:rPr>
      </w:pPr>
    </w:p>
    <w:p>
      <w:pPr>
        <w:jc w:val="both"/>
        <w:ind w:firstLine="298"/>
        <w:spacing w:after="0" w:line="259" w:lineRule="auto"/>
        <w:rPr>
          <w:sz w:val="20"/>
          <w:szCs w:val="20"/>
          <w:color w:val="auto"/>
        </w:rPr>
      </w:pPr>
      <w:r>
        <w:rPr>
          <w:rFonts w:ascii="Arial" w:cs="Arial" w:eastAsia="Arial" w:hAnsi="Arial"/>
          <w:sz w:val="20"/>
          <w:szCs w:val="20"/>
          <w:color w:val="auto"/>
        </w:rPr>
        <w:t>IN WITNESS WHEREOF, the undersigned has caused this Acknowledgment and Agreement of Guarantor to be duly executed as of September 1, 2021.</w:t>
      </w:r>
    </w:p>
    <w:p>
      <w:pPr>
        <w:sectPr>
          <w:pgSz w:w="11900" w:h="16838" w:orient="portrait"/>
          <w:cols w:equalWidth="0" w:num="1">
            <w:col w:w="11240"/>
          </w:cols>
          <w:pgMar w:left="320" w:top="1410" w:right="33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b w:val="1"/>
          <w:bCs w:val="1"/>
          <w:color w:val="auto"/>
        </w:rPr>
        <w:t>CAESARS ENTERTAINMENT, INC.</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-17780</wp:posOffset>
            </wp:positionV>
            <wp:extent cx="11664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Bret D. Yunker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19"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0" w:lineRule="exact"/>
        <w:rPr>
          <w:sz w:val="20"/>
          <w:szCs w:val="20"/>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0" w:lineRule="exact"/>
        <w:rPr>
          <w:rFonts w:ascii="Arial" w:cs="Arial" w:eastAsia="Arial" w:hAnsi="Arial"/>
          <w:sz w:val="18"/>
          <w:szCs w:val="18"/>
          <w:color w:val="auto"/>
        </w:rPr>
      </w:pPr>
    </w:p>
    <w:p>
      <w:pPr>
        <w:jc w:val="both"/>
        <w:ind w:left="660" w:hanging="329"/>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9"/>
        <w:spacing w:after="0" w:line="306"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7"/>
          <w:szCs w:val="17"/>
          <w:color w:val="auto"/>
        </w:rPr>
      </w:pPr>
    </w:p>
    <w:p>
      <w:pPr>
        <w:jc w:val="both"/>
        <w:ind w:left="660" w:hanging="329"/>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3"/>
        <w:spacing w:after="0" w:line="263" w:lineRule="auto"/>
        <w:tabs>
          <w:tab w:leader="none" w:pos="129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3"/>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323"/>
        <w:spacing w:after="0" w:line="341" w:lineRule="auto"/>
        <w:tabs>
          <w:tab w:leader="none" w:pos="129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3"/>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9"/>
        <w:spacing w:after="0" w:line="306"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7"/>
          <w:szCs w:val="17"/>
          <w:color w:val="auto"/>
        </w:rPr>
      </w:pPr>
    </w:p>
    <w:p>
      <w:pPr>
        <w:ind w:left="1300" w:hanging="323"/>
        <w:spacing w:after="0" w:line="306" w:lineRule="auto"/>
        <w:tabs>
          <w:tab w:leader="none" w:pos="129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7"/>
          <w:szCs w:val="17"/>
          <w:color w:val="auto"/>
        </w:rPr>
      </w:pPr>
    </w:p>
    <w:p>
      <w:pPr>
        <w:ind w:left="1300" w:hanging="323"/>
        <w:spacing w:after="0" w:line="276"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2021</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13970</wp:posOffset>
            </wp:positionV>
            <wp:extent cx="39338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3933825" cy="8255"/>
                    </a:xfrm>
                    <a:prstGeom prst="rect">
                      <a:avLst/>
                    </a:prstGeom>
                    <a:noFill/>
                  </pic:spPr>
                </pic:pic>
              </a:graphicData>
            </a:graphic>
          </wp:anchor>
        </w:drawing>
      </w:r>
    </w:p>
    <w:p>
      <w:pPr>
        <w:spacing w:after="0" w:line="10"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0" w:lineRule="exact"/>
        <w:rPr>
          <w:sz w:val="20"/>
          <w:szCs w:val="20"/>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0" w:lineRule="exact"/>
        <w:rPr>
          <w:rFonts w:ascii="Arial" w:cs="Arial" w:eastAsia="Arial" w:hAnsi="Arial"/>
          <w:sz w:val="18"/>
          <w:szCs w:val="18"/>
          <w:color w:val="auto"/>
        </w:rPr>
      </w:pPr>
    </w:p>
    <w:p>
      <w:pPr>
        <w:jc w:val="both"/>
        <w:ind w:left="660" w:hanging="329"/>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9"/>
        <w:spacing w:after="0" w:line="306"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7"/>
          <w:szCs w:val="17"/>
          <w:color w:val="auto"/>
        </w:rPr>
      </w:pPr>
    </w:p>
    <w:p>
      <w:pPr>
        <w:jc w:val="both"/>
        <w:ind w:left="660" w:hanging="329"/>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3"/>
        <w:spacing w:after="0" w:line="263" w:lineRule="auto"/>
        <w:tabs>
          <w:tab w:leader="none" w:pos="12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3"/>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323"/>
        <w:spacing w:after="0" w:line="341" w:lineRule="auto"/>
        <w:tabs>
          <w:tab w:leader="none" w:pos="129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3"/>
        <w:spacing w:after="0" w:line="263"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9"/>
        <w:spacing w:after="0" w:line="306"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7"/>
          <w:szCs w:val="17"/>
          <w:color w:val="auto"/>
        </w:rPr>
      </w:pPr>
    </w:p>
    <w:p>
      <w:pPr>
        <w:ind w:left="1300" w:hanging="323"/>
        <w:spacing w:after="0" w:line="306" w:lineRule="auto"/>
        <w:tabs>
          <w:tab w:leader="none" w:pos="129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7"/>
          <w:szCs w:val="17"/>
          <w:color w:val="auto"/>
        </w:rPr>
      </w:pPr>
    </w:p>
    <w:p>
      <w:pPr>
        <w:ind w:left="1300" w:hanging="323"/>
        <w:spacing w:after="0" w:line="276"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Date:</w:t>
        <w:tab/>
        <w:t>October 27, 2021</w:t>
      </w:r>
    </w:p>
    <w:p>
      <w:pPr>
        <w:spacing w:after="0" w:line="23" w:lineRule="exact"/>
        <w:rPr>
          <w:sz w:val="20"/>
          <w:szCs w:val="20"/>
          <w:color w:val="auto"/>
        </w:rPr>
      </w:pPr>
    </w:p>
    <w:p>
      <w:pPr>
        <w:ind w:left="46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13970</wp:posOffset>
            </wp:positionV>
            <wp:extent cx="39338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3933825" cy="8255"/>
                    </a:xfrm>
                    <a:prstGeom prst="rect">
                      <a:avLst/>
                    </a:prstGeom>
                    <a:noFill/>
                  </pic:spPr>
                </pic:pic>
              </a:graphicData>
            </a:graphic>
          </wp:anchor>
        </w:drawing>
      </w:r>
    </w:p>
    <w:p>
      <w:pPr>
        <w:spacing w:after="0" w:line="10"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6"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7" w:lineRule="exact"/>
        <w:rPr>
          <w:sz w:val="20"/>
          <w:szCs w:val="20"/>
          <w:color w:val="auto"/>
        </w:rPr>
      </w:pPr>
    </w:p>
    <w:p>
      <w:pPr>
        <w:ind w:firstLine="412"/>
        <w:spacing w:after="0" w:line="306" w:lineRule="auto"/>
        <w:tabs>
          <w:tab w:leader="none" w:pos="64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2021 (the “Report”) fully complies with the requirements of Section 13(a) or Section 15(d), as applicable, of the Securities Exchange Act of 1934, as amended; and</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2021</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13970</wp:posOffset>
            </wp:positionV>
            <wp:extent cx="39338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3933825" cy="8255"/>
                    </a:xfrm>
                    <a:prstGeom prst="rect">
                      <a:avLst/>
                    </a:prstGeom>
                    <a:noFill/>
                  </pic:spPr>
                </pic:pic>
              </a:graphicData>
            </a:graphic>
          </wp:anchor>
        </w:drawing>
      </w:r>
    </w:p>
    <w:p>
      <w:pPr>
        <w:spacing w:after="0" w:line="10"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7" w:lineRule="exact"/>
        <w:rPr>
          <w:sz w:val="20"/>
          <w:szCs w:val="20"/>
          <w:color w:val="auto"/>
        </w:rPr>
      </w:pPr>
    </w:p>
    <w:p>
      <w:pPr>
        <w:ind w:firstLine="412"/>
        <w:spacing w:after="0" w:line="306" w:lineRule="auto"/>
        <w:tabs>
          <w:tab w:leader="none" w:pos="64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2021 (the “Report”) fully complies with the requirements of Section 13(a) or Section 15(d), as applicable, of the Securities Exchange Act of 1934, as amended; and</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2021</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13970</wp:posOffset>
            </wp:positionV>
            <wp:extent cx="39338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933825" cy="8255"/>
                    </a:xfrm>
                    <a:prstGeom prst="rect">
                      <a:avLst/>
                    </a:prstGeom>
                    <a:noFill/>
                  </pic:spPr>
                </pic:pic>
              </a:graphicData>
            </a:graphic>
          </wp:anchor>
        </w:drawing>
      </w:r>
    </w:p>
    <w:p>
      <w:pPr>
        <w:spacing w:after="0" w:line="10"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decimal"/>
      <w:start w:val="842"/>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lowerLetter"/>
      <w:start w:val="35"/>
    </w:lvl>
  </w:abstractNum>
  <w:abstractNum w:abstractNumId="9">
    <w:nsid w:val="D34B6A8"/>
    <w:multiLevelType w:val="hybridMultilevel"/>
    <w:lvl w:ilvl="0">
      <w:lvlJc w:val="left"/>
      <w:lvlText w:val="(%1)"/>
      <w:numFmt w:val="lowerLetter"/>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1)"/>
      <w:numFmt w:val="decimal"/>
      <w:start w:val="1"/>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decimal"/>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decimal"/>
      <w:start w:val="15"/>
    </w:lvl>
  </w:abstractNum>
  <w:abstractNum w:abstractNumId="19">
    <w:nsid w:val="25A70BF7"/>
    <w:multiLevelType w:val="hybridMultilevel"/>
    <w:lvl w:ilvl="0">
      <w:lvlJc w:val="left"/>
      <w:lvlText w:val="(%1)"/>
      <w:numFmt w:val="decimal"/>
      <w:start w:val="1"/>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1)"/>
      <w:numFmt w:val="decimal"/>
      <w:start w:val="1"/>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1)"/>
      <w:numFmt w:val="decimal"/>
      <w:start w:val="1"/>
    </w:lvl>
  </w:abstractNum>
  <w:abstractNum w:abstractNumId="27">
    <w:nsid w:val="15014ACB"/>
    <w:multiLevelType w:val="hybridMultilevel"/>
    <w:lvl w:ilvl="0">
      <w:lvlJc w:val="left"/>
      <w:lvlText w:val="(%1)"/>
      <w:numFmt w:val="decimal"/>
      <w:start w:val="1"/>
    </w:lvl>
  </w:abstractNum>
  <w:abstractNum w:abstractNumId="28">
    <w:nsid w:val="5F5E7FD0"/>
    <w:multiLevelType w:val="hybridMultilevel"/>
    <w:lvl w:ilvl="0">
      <w:lvlJc w:val="left"/>
      <w:lvlText w:val="(%1)"/>
      <w:numFmt w:val="decimal"/>
      <w:start w:val="1"/>
    </w:lvl>
  </w:abstractNum>
  <w:abstractNum w:abstractNumId="29">
    <w:nsid w:val="98A3148"/>
    <w:multiLevelType w:val="hybridMultilevel"/>
    <w:lvl w:ilvl="0">
      <w:lvlJc w:val="left"/>
      <w:lvlText w:val="(%1)"/>
      <w:numFmt w:val="lowerRoman"/>
      <w:start w:val="3"/>
    </w:lvl>
  </w:abstractNum>
  <w:abstractNum w:abstractNumId="30">
    <w:nsid w:val="799D0247"/>
    <w:multiLevelType w:val="hybridMultilevel"/>
    <w:lvl w:ilvl="0">
      <w:lvlJc w:val="left"/>
      <w:lvlText w:val="(%1)"/>
      <w:numFmt w:val="lowerRoman"/>
      <w:start w:val="6"/>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lowerRoman"/>
      <w:start w:val="2"/>
    </w:lvl>
  </w:abstractNum>
  <w:abstractNum w:abstractNumId="48">
    <w:nsid w:val="68EB2F63"/>
    <w:multiLevelType w:val="hybridMultilevel"/>
    <w:lvl w:ilvl="0">
      <w:lvlJc w:val="left"/>
      <w:lvlText w:val="(%1)"/>
      <w:numFmt w:val="decimal"/>
      <w:start w:val="2"/>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lvl w:ilvl="1">
      <w:lvlJc w:val="left"/>
      <w:lvlText w:val="%2"/>
      <w:numFmt w:val="decimal"/>
      <w:start w:val="104"/>
    </w:lvl>
  </w:abstractNum>
  <w:abstractNum w:abstractNumId="66">
    <w:nsid w:val="3222E7CD"/>
    <w:multiLevelType w:val="hybridMultilevel"/>
    <w:lvl w:ilvl="0">
      <w:lvlJc w:val="left"/>
      <w:lvlText w:val="**"/>
      <w:numFmt w:val="bullet"/>
      <w:start w:val="1"/>
    </w:lvl>
    <w:lvl w:ilvl="1">
      <w:lvlJc w:val="left"/>
      <w:lvlText w:val="%2"/>
      <w:numFmt w:val="decimal"/>
      <w:start w:val="1"/>
    </w:lvl>
  </w:abstractNum>
  <w:abstractNum w:abstractNumId="67">
    <w:nsid w:val="74DE0EE3"/>
    <w:multiLevelType w:val="hybridMultilevel"/>
    <w:lvl w:ilvl="0">
      <w:lvlJc w:val="left"/>
      <w:lvlText w:val="%1."/>
      <w:numFmt w:val="decimal"/>
      <w:start w:val="1"/>
    </w:lvl>
    <w:lvl w:ilvl="1">
      <w:lvlJc w:val="left"/>
      <w:lvlText w:val="%2"/>
      <w:numFmt w:val="lowerLetter"/>
      <w:start w:val="1"/>
    </w:lvl>
  </w:abstractNum>
  <w:abstractNum w:abstractNumId="68">
    <w:nsid w:val="68EBC550"/>
    <w:multiLevelType w:val="hybridMultilevel"/>
    <w:lvl w:ilvl="0">
      <w:lvlJc w:val="left"/>
      <w:lvlText w:val="%1."/>
      <w:numFmt w:val="decimal"/>
      <w:start w:val="3"/>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Letter"/>
      <w:start w:val="3"/>
    </w:lvl>
    <w:lvl w:ilvl="1">
      <w:lvlJc w:val="left"/>
      <w:lvlText w:val="%2."/>
      <w:numFmt w:val="decimal"/>
      <w:start w:val="12"/>
    </w:lvl>
  </w:abstractNum>
  <w:abstractNum w:abstractNumId="71">
    <w:nsid w:val="4A2AC315"/>
    <w:multiLevelType w:val="hybridMultilevel"/>
    <w:lvl w:ilvl="0">
      <w:lvlJc w:val="left"/>
      <w:lvlText w:val="%1."/>
      <w:numFmt w:val="lowerLetter"/>
      <w:start w:val="4"/>
    </w:lvl>
    <w:lvl w:ilvl="1">
      <w:lvlJc w:val="left"/>
      <w:lvlText w:val="(%2)"/>
      <w:numFmt w:val="lowerLetter"/>
      <w:start w:val="3"/>
    </w:lvl>
  </w:abstractNum>
  <w:abstractNum w:abstractNumId="72">
    <w:nsid w:val="39EE015C"/>
    <w:multiLevelType w:val="hybridMultilevel"/>
    <w:lvl w:ilvl="0">
      <w:lvlJc w:val="left"/>
      <w:lvlText w:val="%1"/>
      <w:numFmt w:val="lowerLetter"/>
      <w:start w:val="1"/>
    </w:lvl>
    <w:lvl w:ilvl="1">
      <w:lvlJc w:val="left"/>
      <w:lvlText w:val="(%2)"/>
      <w:numFmt w:val="lowerLetter"/>
      <w:start w:val="4"/>
    </w:lvl>
  </w:abstractNum>
  <w:abstractNum w:abstractNumId="73">
    <w:nsid w:val="57FC4FBB"/>
    <w:multiLevelType w:val="hybridMultilevel"/>
    <w:lvl w:ilvl="0">
      <w:lvlJc w:val="left"/>
      <w:lvlText w:val="(%1)"/>
      <w:numFmt w:val="lowerRoman"/>
      <w:start w:val="1"/>
    </w:lvl>
  </w:abstractNum>
  <w:abstractNum w:abstractNumId="74">
    <w:nsid w:val="CC1016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75">
    <w:nsid w:val="43F18422"/>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76">
    <w:nsid w:val="60EF0119"/>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77">
    <w:nsid w:val="26F324BA"/>
    <w:multiLevelType w:val="hybridMultilevel"/>
    <w:lvl w:ilvl="0">
      <w:lvlJc w:val="left"/>
      <w:lvlText w:val="%1."/>
      <w:numFmt w:val="decimal"/>
      <w:start w:val="1"/>
    </w:lvl>
  </w:abstractNum>
  <w:abstractNum w:abstractNumId="78">
    <w:nsid w:val="7F01579B"/>
    <w:multiLevelType w:val="hybridMultilevel"/>
    <w:lvl w:ilvl="0">
      <w:lvlJc w:val="left"/>
      <w:lvlText w:val="(%1)"/>
      <w:numFmt w:val="lowerRoman"/>
      <w:start w:val="1"/>
    </w:lvl>
  </w:abstractNum>
  <w:abstractNum w:abstractNumId="79">
    <w:nsid w:val="49DA307D"/>
    <w:multiLevelType w:val="hybridMultilevel"/>
    <w:lvl w:ilvl="0">
      <w:lvlJc w:val="left"/>
      <w:lvlText w:val="%1."/>
      <w:numFmt w:val="decimal"/>
      <w:start w:val="2"/>
    </w:lvl>
  </w:abstractNum>
  <w:abstractNum w:abstractNumId="80">
    <w:nsid w:val="7055A5F5"/>
    <w:multiLevelType w:val="hybridMultilevel"/>
    <w:lvl w:ilvl="0">
      <w:lvlJc w:val="left"/>
      <w:lvlText w:val="%1."/>
      <w:numFmt w:val="decimal"/>
      <w:start w:val="3"/>
    </w:lvl>
  </w:abstractNum>
  <w:abstractNum w:abstractNumId="81">
    <w:nsid w:val="5FB8370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2">
    <w:nsid w:val="50801EE1"/>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83">
    <w:nsid w:val="488AC1A"/>
    <w:multiLevelType w:val="hybridMultilevel"/>
    <w:lvl w:ilvl="0">
      <w:lvlJc w:val="left"/>
      <w:lvlText w:val="%1."/>
      <w:numFmt w:val="decimal"/>
      <w:start w:val="6"/>
    </w:lvl>
  </w:abstractNum>
  <w:abstractNum w:abstractNumId="84">
    <w:nsid w:val="5FB8011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85">
    <w:nsid w:val="6AA78F7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86">
    <w:nsid w:val="7672BD23"/>
    <w:multiLevelType w:val="hybridMultilevel"/>
    <w:lvl w:ilvl="0">
      <w:lvlJc w:val="left"/>
      <w:lvlText w:val="%1."/>
      <w:numFmt w:val="upperLetter"/>
      <w:start w:val="3"/>
    </w:lvl>
    <w:lvl w:ilvl="1">
      <w:lvlJc w:val="left"/>
      <w:lvlText w:val="%2."/>
      <w:numFmt w:val="lowerRoman"/>
      <w:start w:val="1"/>
    </w:lvl>
  </w:abstractNum>
  <w:abstractNum w:abstractNumId="87">
    <w:nsid w:val="6FC75AF8"/>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88">
    <w:nsid w:val="6A5F7029"/>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89">
    <w:nsid w:val="7D5E18F8"/>
    <w:multiLevelType w:val="hybridMultilevel"/>
    <w:lvl w:ilvl="0">
      <w:lvlJc w:val="left"/>
      <w:lvlText w:val="%1."/>
      <w:numFmt w:val="lowerRoman"/>
      <w:start w:val="2"/>
    </w:lvl>
  </w:abstractNum>
  <w:abstractNum w:abstractNumId="90">
    <w:nsid w:val="5F3534A4"/>
    <w:multiLevelType w:val="hybridMultilevel"/>
    <w:lvl w:ilvl="0">
      <w:lvlJc w:val="left"/>
      <w:lvlText w:val="%1."/>
      <w:numFmt w:val="upperLetter"/>
      <w:start w:val="2"/>
    </w:lvl>
    <w:lvl w:ilvl="1">
      <w:lvlJc w:val="left"/>
      <w:lvlText w:val="%2."/>
      <w:numFmt w:val="lowerRoman"/>
      <w:start w:val="1"/>
    </w:lvl>
  </w:abstractNum>
  <w:abstractNum w:abstractNumId="91">
    <w:nsid w:val="73A1821B"/>
    <w:multiLevelType w:val="hybridMultilevel"/>
    <w:lvl w:ilvl="0">
      <w:lvlJc w:val="left"/>
      <w:lvlText w:val="%1"/>
      <w:numFmt w:val="lowerRoman"/>
      <w:start w:val="1"/>
    </w:lvl>
    <w:lvl w:ilvl="1">
      <w:lvlJc w:val="left"/>
      <w:lvlText w:val="(%2)"/>
      <w:numFmt w:val="lowerRoman"/>
      <w:start w:val="4"/>
    </w:lvl>
  </w:abstractNum>
  <w:abstractNum w:abstractNumId="92">
    <w:nsid w:val="7DE67713"/>
    <w:multiLevelType w:val="hybridMultilevel"/>
    <w:lvl w:ilvl="0">
      <w:lvlJc w:val="left"/>
      <w:lvlText w:val="%1."/>
      <w:numFmt w:val="lowerRoman"/>
      <w:start w:val="3"/>
    </w:lvl>
    <w:lvl w:ilvl="1">
      <w:lvlJc w:val="left"/>
      <w:lvlText w:val="%2"/>
      <w:numFmt w:val="lowerRoman"/>
      <w:start w:val="1"/>
    </w:lvl>
  </w:abstractNum>
  <w:abstractNum w:abstractNumId="93">
    <w:nsid w:val="555C55B5"/>
    <w:multiLevelType w:val="hybridMultilevel"/>
    <w:lvl w:ilvl="0">
      <w:lvlJc w:val="left"/>
      <w:lvlText w:val="%1."/>
      <w:numFmt w:val="upperLetter"/>
      <w:start w:val="3"/>
    </w:lvl>
    <w:lvl w:ilvl="1">
      <w:lvlJc w:val="left"/>
      <w:lvlText w:val="%2."/>
      <w:numFmt w:val="lowerRoman"/>
      <w:start w:val="1"/>
    </w:lvl>
  </w:abstractNum>
  <w:abstractNum w:abstractNumId="94">
    <w:nsid w:val="3FA62ACA"/>
    <w:multiLevelType w:val="hybridMultilevel"/>
    <w:lvl w:ilvl="0">
      <w:lvlJc w:val="left"/>
      <w:lvlText w:val="%1."/>
      <w:numFmt w:val="upperLetter"/>
      <w:start w:val="6"/>
    </w:lvl>
    <w:lvl w:ilvl="1">
      <w:lvlJc w:val="left"/>
      <w:lvlText w:val="%2."/>
      <w:numFmt w:val="lowerRoman"/>
      <w:start w:val="1"/>
    </w:lvl>
  </w:abstractNum>
  <w:abstractNum w:abstractNumId="95">
    <w:nsid w:val="14FCE74E"/>
    <w:multiLevelType w:val="hybridMultilevel"/>
    <w:lvl w:ilvl="0">
      <w:lvlJc w:val="left"/>
      <w:lvlText w:val="%1."/>
      <w:numFmt w:val="upperLetter"/>
      <w:start w:val="10"/>
    </w:lvl>
    <w:lvl w:ilvl="1">
      <w:lvlJc w:val="left"/>
      <w:lvlText w:val="%2."/>
      <w:numFmt w:val="lowerRoman"/>
      <w:start w:val="1"/>
    </w:lvl>
  </w:abstractNum>
  <w:abstractNum w:abstractNumId="96">
    <w:nsid w:val="6A3DD3E8"/>
    <w:multiLevelType w:val="hybridMultilevel"/>
    <w:lvl w:ilvl="0">
      <w:lvlJc w:val="left"/>
      <w:lvlText w:val="%1."/>
      <w:numFmt w:val="lowerRoman"/>
      <w:start w:val="2"/>
    </w:lvl>
  </w:abstractNum>
  <w:abstractNum w:abstractNumId="97">
    <w:nsid w:val="71C91298"/>
    <w:multiLevelType w:val="hybridMultilevel"/>
    <w:lvl w:ilvl="0">
      <w:lvlJc w:val="left"/>
      <w:lvlText w:val="%1"/>
      <w:numFmt w:val="decimal"/>
      <w:start w:val="1"/>
    </w:lvl>
    <w:lvl w:ilvl="1">
      <w:lvlJc w:val="left"/>
      <w:lvlText w:val="%2."/>
      <w:numFmt w:val="lowerRoman"/>
      <w:start w:val="8"/>
    </w:lvl>
  </w:abstractNum>
  <w:abstractNum w:abstractNumId="98">
    <w:nsid w:val="9DAF632"/>
    <w:multiLevelType w:val="hybridMultilevel"/>
    <w:lvl w:ilvl="0">
      <w:lvlJc w:val="left"/>
      <w:lvlText w:val="%1."/>
      <w:numFmt w:val="decimal"/>
      <w:start w:val="4"/>
    </w:lvl>
    <w:lvl w:ilvl="1">
      <w:lvlJc w:val="left"/>
      <w:lvlText w:val="%2"/>
      <w:numFmt w:val="lowerRoman"/>
      <w:start w:val="1"/>
    </w:lvl>
  </w:abstractNum>
  <w:abstractNum w:abstractNumId="99">
    <w:nsid w:val="53299938"/>
    <w:multiLevelType w:val="hybridMultilevel"/>
    <w:lvl w:ilvl="0">
      <w:lvlJc w:val="left"/>
      <w:lvlText w:val="%1."/>
      <w:numFmt w:val="decimal"/>
      <w:start w:val="7"/>
    </w:lvl>
  </w:abstractNum>
  <w:abstractNum w:abstractNumId="100">
    <w:nsid w:val="1FBFE8E0"/>
    <w:multiLevelType w:val="hybridMultilevel"/>
    <w:lvl w:ilvl="0">
      <w:lvlJc w:val="left"/>
      <w:lvlText w:val="%1."/>
      <w:numFmt w:val="decimal"/>
      <w:start w:val="1"/>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lowerLetter"/>
      <w:start w:val="6"/>
    </w:lvl>
    <w:lvl w:ilvl="1">
      <w:lvlJc w:val="left"/>
      <w:lvlText w:val="%2."/>
      <w:numFmt w:val="lowerRoman"/>
      <w:start w:val="1"/>
    </w:lvl>
  </w:abstractNum>
  <w:abstractNum w:abstractNumId="103">
    <w:nsid w:val="59ADEA3D"/>
    <w:multiLevelType w:val="hybridMultilevel"/>
    <w:lvl w:ilvl="0">
      <w:lvlJc w:val="left"/>
      <w:lvlText w:val="%1"/>
      <w:numFmt w:val="lowerLetter"/>
      <w:start w:val="1"/>
    </w:lvl>
    <w:lvl w:ilvl="1">
      <w:lvlJc w:val="left"/>
      <w:lvlText w:val="%2."/>
      <w:numFmt w:val="lowerRoman"/>
      <w:start w:val="2"/>
    </w:lvl>
  </w:abstractNum>
  <w:abstractNum w:abstractNumId="104">
    <w:nsid w:val="288F1A34"/>
    <w:multiLevelType w:val="hybridMultilevel"/>
    <w:lvl w:ilvl="0">
      <w:lvlJc w:val="left"/>
      <w:lvlText w:val="%1."/>
      <w:numFmt w:val="lowerLetter"/>
      <w:start w:val="8"/>
    </w:lvl>
    <w:lvl w:ilvl="1">
      <w:lvlJc w:val="left"/>
      <w:lvlText w:val="%2."/>
      <w:numFmt w:val="lowerRoman"/>
      <w:start w:val="1"/>
    </w:lvl>
  </w:abstractNum>
  <w:abstractNum w:abstractNumId="105">
    <w:nsid w:val="2A155DBC"/>
    <w:multiLevelType w:val="hybridMultilevel"/>
    <w:lvl w:ilvl="0">
      <w:lvlJc w:val="left"/>
      <w:lvlText w:val="%1."/>
      <w:numFmt w:val="decimal"/>
      <w:start w:val="3"/>
    </w:lvl>
  </w:abstractNum>
  <w:abstractNum w:abstractNumId="106">
    <w:nsid w:val="1D9F6E5F"/>
    <w:multiLevelType w:val="hybridMultilevel"/>
    <w:lvl w:ilvl="0">
      <w:lvlJc w:val="left"/>
      <w:lvlText w:val="%1."/>
      <w:numFmt w:val="decimal"/>
      <w:start w:val="6"/>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lowerRoman"/>
      <w:start w:val="1"/>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jpe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jpe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22" Type="http://schemas.openxmlformats.org/officeDocument/2006/relationships/hyperlink" Target="http://www.sec.gov/ix?doc=/Archives/edgar/data/0001705696/000170569621000030/vici-20201231.htm" TargetMode="External"/><Relationship Id="rId81" Type="http://schemas.openxmlformats.org/officeDocument/2006/relationships/hyperlink" Target="http://www.sec.gov/Archives/edgar/data/0001705696/000170569621000030/vici-20201231.htm" TargetMode="External"/><Relationship Id="rId82" Type="http://schemas.openxmlformats.org/officeDocument/2006/relationships/hyperlink" Target="https://www.sec.gov/Archives/edgar/data/0001705696/000170569621000030/vici-20201231.htm" TargetMode="External"/><Relationship Id="rId105" Type="http://schemas.openxmlformats.org/officeDocument/2006/relationships/hyperlink" Target="http://www.sec.gov/Archives/edgar/data/1705696/000170569621000099/vici-20210331.htm" TargetMode="External"/><Relationship Id="rId118" Type="http://schemas.openxmlformats.org/officeDocument/2006/relationships/hyperlink" Target="http://www.sec.gov/Archives/edgar/data/1705696/000170569621000154/mastertransactionagreementa.htm" TargetMode="External"/><Relationship Id="rId119" Type="http://schemas.openxmlformats.org/officeDocument/2006/relationships/hyperlink" Target="http://www.sec.gov/Archives/edgar/data/1705696/000170569621000183/vici-articlesofamendmentse.htm" TargetMode="External"/><Relationship Id="rId120" Type="http://schemas.openxmlformats.org/officeDocument/2006/relationships/hyperlink" Target="http://www.sec.gov/Archives/edgar/data/1705696/000170569621000154/commitmentletter-mgpacqui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2021-10-27T15:47:30Z</dcterms:created>
  <dcterms:modified xsi:type="dcterms:W3CDTF">2021-10-27T15:47:30Z</dcterms:modified>
</cp:coreProperties>
</file>