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20th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7045" w:type="dxa"/>
        <w:jc w:val="left"/>
        <w:tblInd w:w="0" w:type="dxa"/>
        <w:tblLayout w:type="fixed"/>
        <w:tblCellMar>
          <w:top w:w="28" w:type="dxa"/>
          <w:left w:w="28" w:type="dxa"/>
          <w:bottom w:w="28" w:type="dxa"/>
          <w:right w:w="28" w:type="dxa"/>
        </w:tblCellMar>
      </w:tblPr>
      <w:tblGrid>
        <w:gridCol w:w="1222"/>
        <w:gridCol w:w="1075"/>
        <w:gridCol w:w="1077"/>
        <w:gridCol w:w="109"/>
        <w:gridCol w:w="109"/>
        <w:gridCol w:w="109"/>
        <w:gridCol w:w="978"/>
        <w:gridCol w:w="978"/>
        <w:gridCol w:w="1388"/>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   No  </w:t>
            </w: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October 23, 2023, VICI Properties Inc. had 1,034,532,105 shares of common stock, $0.01 par value per share, outstanding. VICI Properties L.P. has no common stock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and nine months ended September 30, 2023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“General Partner”), the sole general partner of VICI LP. As of September 30, 2023,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MGM Resorts International or its affiliates.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September 30, 2023.</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September 30, 2023,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49"/>
        <w:gridCol w:w="286"/>
        <w:gridCol w:w="286"/>
        <w:gridCol w:w="612"/>
        <w:gridCol w:w="612"/>
        <w:gridCol w:w="527"/>
        <w:gridCol w:w="2364"/>
        <w:gridCol w:w="2040"/>
        <w:gridCol w:w="1957"/>
        <w:gridCol w:w="348"/>
        <w:gridCol w:w="286"/>
        <w:gridCol w:w="438"/>
      </w:tblGrid>
      <w:tr>
        <w:trPr/>
        <w:tc>
          <w:tcPr>
            <w:tcW w:w="4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SEPTEMBER 30,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3">
              <w:r>
                <w:rPr>
                  <w:rStyle w:val="InternetLink"/>
                  <w:rFonts w:ascii="Times New Roman;sans-serif" w:hAnsi="Times New Roman;sans-serif"/>
                  <w:b/>
                  <w:color w:val="0000FF"/>
                  <w:sz w:val="20"/>
                  <w:u w:val="single"/>
                </w:rPr>
                <w:t>PART I.</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3">
              <w:r>
                <w:rPr>
                  <w:rStyle w:val="InternetLink"/>
                  <w:rFonts w:ascii="Times New Roman;sans-serif" w:hAnsi="Times New Roman;sans-serif"/>
                  <w:b/>
                  <w:color w:val="0000FF"/>
                  <w:sz w:val="20"/>
                  <w:u w:val="single"/>
                </w:rPr>
                <w:t>FINANCIAL INFORMATION</w:t>
              </w:r>
            </w:hyperlink>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3">
              <w:r>
                <w:rPr>
                  <w:rStyle w:val="InternetLink"/>
                  <w:rFonts w:ascii="Times New Roman;sans-serif" w:hAnsi="Times New Roman;sans-serif"/>
                  <w:b w:val="false"/>
                  <w:color w:val="0000FF"/>
                  <w:sz w:val="20"/>
                  <w:u w:val="single"/>
                </w:rPr>
                <w:t>Item 1.</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3">
              <w:r>
                <w:rPr>
                  <w:rStyle w:val="InternetLink"/>
                  <w:rFonts w:ascii="Times New Roman;sans-serif" w:hAnsi="Times New Roman;sans-serif"/>
                  <w:b w:val="false"/>
                  <w:color w:val="0000FF"/>
                  <w:sz w:val="20"/>
                  <w:u w:val="single"/>
                </w:rPr>
                <w:t>Financial Statements of VICI Properties Inc. (Unaudited)</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3">
              <w:r>
                <w:rPr>
                  <w:rStyle w:val="InternetLink"/>
                  <w:rFonts w:ascii="Times New Roman;sans-serif" w:hAnsi="Times New Roman;sans-serif"/>
                  <w:b w:val="false"/>
                  <w:color w:val="0000FF"/>
                  <w:sz w:val="20"/>
                  <w:u w:val="single"/>
                </w:rPr>
                <w:t>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9">
              <w:r>
                <w:rPr>
                  <w:rStyle w:val="InternetLink"/>
                  <w:rFonts w:ascii="Times New Roman;sans-serif" w:hAnsi="Times New Roman;sans-serif"/>
                  <w:b w:val="false"/>
                  <w:color w:val="000080"/>
                  <w:sz w:val="20"/>
                  <w:u w:val="single"/>
                </w:rPr>
                <w:t xml:space="preserve">Consolidated Balance Sheets as of </w:t>
              </w:r>
            </w:hyperlink>
            <w:hyperlink w:anchor="ie1960b1d976b4148b3d478b9e76c8e4e_19">
              <w:r>
                <w:rPr>
                  <w:rStyle w:val="InternetLink"/>
                  <w:rFonts w:ascii="Times New Roman;sans-serif" w:hAnsi="Times New Roman;sans-serif"/>
                  <w:b w:val="false"/>
                  <w:color w:val="000080"/>
                  <w:sz w:val="20"/>
                  <w:u w:val="single"/>
                </w:rPr>
                <w:t>September</w:t>
              </w:r>
            </w:hyperlink>
            <w:hyperlink w:anchor="ie1960b1d976b4148b3d478b9e76c8e4e_19">
              <w:r>
                <w:rPr>
                  <w:rStyle w:val="InternetLink"/>
                  <w:rFonts w:ascii="Times New Roman;sans-serif" w:hAnsi="Times New Roman;sans-serif"/>
                  <w:b w:val="false"/>
                  <w:color w:val="000080"/>
                  <w:sz w:val="20"/>
                  <w:u w:val="single"/>
                </w:rPr>
                <w:t xml:space="preserve"> 30, 2023 and December 31,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9">
              <w:r>
                <w:rPr>
                  <w:rStyle w:val="InternetLink"/>
                  <w:rFonts w:ascii="Times New Roman;sans-serif" w:hAnsi="Times New Roman;sans-serif"/>
                  <w:b w:val="false"/>
                  <w:color w:val="0000FF"/>
                  <w:sz w:val="20"/>
                  <w:u w:val="single"/>
                </w:rPr>
                <w:t>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22">
              <w:r>
                <w:rPr>
                  <w:rStyle w:val="InternetLink"/>
                  <w:rFonts w:ascii="Times New Roman;sans-serif" w:hAnsi="Times New Roman;sans-serif"/>
                  <w:b w:val="false"/>
                  <w:color w:val="000080"/>
                  <w:sz w:val="20"/>
                  <w:u w:val="single"/>
                </w:rPr>
                <w:t xml:space="preserve">Consolidated Statements of Operations and Comprehensive Income for the Three and </w:t>
              </w:r>
            </w:hyperlink>
            <w:hyperlink w:anchor="ie1960b1d976b4148b3d478b9e76c8e4e_22">
              <w:r>
                <w:rPr>
                  <w:rStyle w:val="InternetLink"/>
                  <w:rFonts w:ascii="Times New Roman;sans-serif" w:hAnsi="Times New Roman;sans-serif"/>
                  <w:b w:val="false"/>
                  <w:color w:val="000080"/>
                  <w:sz w:val="20"/>
                  <w:u w:val="single"/>
                </w:rPr>
                <w:t>Nine</w:t>
              </w:r>
            </w:hyperlink>
            <w:hyperlink w:anchor="ie1960b1d976b4148b3d478b9e76c8e4e_22">
              <w:r>
                <w:rPr>
                  <w:rStyle w:val="InternetLink"/>
                  <w:rFonts w:ascii="Times New Roman;sans-serif" w:hAnsi="Times New Roman;sans-serif"/>
                  <w:b w:val="false"/>
                  <w:color w:val="000080"/>
                  <w:sz w:val="20"/>
                  <w:u w:val="single"/>
                </w:rPr>
                <w:t xml:space="preserve"> Months Ended </w:t>
              </w:r>
            </w:hyperlink>
            <w:hyperlink w:anchor="ie1960b1d976b4148b3d478b9e76c8e4e_22">
              <w:r>
                <w:rPr>
                  <w:rStyle w:val="InternetLink"/>
                  <w:rFonts w:ascii="Times New Roman;sans-serif" w:hAnsi="Times New Roman;sans-serif"/>
                  <w:b w:val="false"/>
                  <w:color w:val="000080"/>
                  <w:sz w:val="20"/>
                  <w:u w:val="single"/>
                </w:rPr>
                <w:t>S</w:t>
              </w:r>
            </w:hyperlink>
            <w:hyperlink w:anchor="ie1960b1d976b4148b3d478b9e76c8e4e_22">
              <w:r>
                <w:rPr>
                  <w:rStyle w:val="InternetLink"/>
                  <w:rFonts w:ascii="Times New Roman;sans-serif" w:hAnsi="Times New Roman;sans-serif"/>
                  <w:b w:val="false"/>
                  <w:color w:val="000080"/>
                  <w:sz w:val="20"/>
                  <w:u w:val="single"/>
                </w:rPr>
                <w:t>eptember</w:t>
              </w:r>
            </w:hyperlink>
            <w:hyperlink w:anchor="ie1960b1d976b4148b3d478b9e76c8e4e_22">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22">
              <w:r>
                <w:rPr>
                  <w:rStyle w:val="InternetLink"/>
                  <w:rFonts w:ascii="Times New Roman;sans-serif" w:hAnsi="Times New Roman;sans-serif"/>
                  <w:b w:val="false"/>
                  <w:color w:val="0000FF"/>
                  <w:sz w:val="20"/>
                  <w:u w:val="single"/>
                </w:rPr>
                <w:t>6</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25">
              <w:r>
                <w:rPr>
                  <w:rStyle w:val="InternetLink"/>
                  <w:rFonts w:ascii="Times New Roman;sans-serif" w:hAnsi="Times New Roman;sans-serif"/>
                  <w:b w:val="false"/>
                  <w:color w:val="000080"/>
                  <w:sz w:val="20"/>
                  <w:u w:val="single"/>
                </w:rPr>
                <w:t xml:space="preserve">Consolidated Statements of Stockholders’ Equity for the Three and </w:t>
              </w:r>
            </w:hyperlink>
            <w:hyperlink w:anchor="ie1960b1d976b4148b3d478b9e76c8e4e_25">
              <w:r>
                <w:rPr>
                  <w:rStyle w:val="InternetLink"/>
                  <w:rFonts w:ascii="Times New Roman;sans-serif" w:hAnsi="Times New Roman;sans-serif"/>
                  <w:b w:val="false"/>
                  <w:color w:val="000080"/>
                  <w:sz w:val="20"/>
                  <w:u w:val="single"/>
                </w:rPr>
                <w:t>Nine</w:t>
              </w:r>
            </w:hyperlink>
            <w:hyperlink w:anchor="ie1960b1d976b4148b3d478b9e76c8e4e_25">
              <w:r>
                <w:rPr>
                  <w:rStyle w:val="InternetLink"/>
                  <w:rFonts w:ascii="Times New Roman;sans-serif" w:hAnsi="Times New Roman;sans-serif"/>
                  <w:b w:val="false"/>
                  <w:color w:val="000080"/>
                  <w:sz w:val="20"/>
                  <w:u w:val="single"/>
                </w:rPr>
                <w:t xml:space="preserve"> Months Ended </w:t>
              </w:r>
            </w:hyperlink>
            <w:hyperlink w:anchor="ie1960b1d976b4148b3d478b9e76c8e4e_25">
              <w:r>
                <w:rPr>
                  <w:rStyle w:val="InternetLink"/>
                  <w:rFonts w:ascii="Times New Roman;sans-serif" w:hAnsi="Times New Roman;sans-serif"/>
                  <w:b w:val="false"/>
                  <w:color w:val="000080"/>
                  <w:sz w:val="20"/>
                  <w:u w:val="single"/>
                </w:rPr>
                <w:t>September</w:t>
              </w:r>
            </w:hyperlink>
            <w:hyperlink w:anchor="ie1960b1d976b4148b3d478b9e76c8e4e_25">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25">
              <w:r>
                <w:rPr>
                  <w:rStyle w:val="InternetLink"/>
                  <w:rFonts w:ascii="Times New Roman;sans-serif" w:hAnsi="Times New Roman;sans-serif"/>
                  <w:b w:val="false"/>
                  <w:color w:val="0000FF"/>
                  <w:sz w:val="20"/>
                  <w:u w:val="single"/>
                </w:rPr>
                <w:t>7</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28">
              <w:r>
                <w:rPr>
                  <w:rStyle w:val="InternetLink"/>
                  <w:rFonts w:ascii="Times New Roman;sans-serif" w:hAnsi="Times New Roman;sans-serif"/>
                  <w:b w:val="false"/>
                  <w:color w:val="000080"/>
                  <w:sz w:val="20"/>
                  <w:u w:val="single"/>
                </w:rPr>
                <w:t xml:space="preserve">Consolidated Statements of Cash Flows for the </w:t>
              </w:r>
            </w:hyperlink>
            <w:hyperlink w:anchor="ie1960b1d976b4148b3d478b9e76c8e4e_28">
              <w:r>
                <w:rPr>
                  <w:rStyle w:val="InternetLink"/>
                  <w:rFonts w:ascii="Times New Roman;sans-serif" w:hAnsi="Times New Roman;sans-serif"/>
                  <w:b w:val="false"/>
                  <w:color w:val="000080"/>
                  <w:sz w:val="20"/>
                  <w:u w:val="single"/>
                </w:rPr>
                <w:t>Nine</w:t>
              </w:r>
            </w:hyperlink>
            <w:hyperlink w:anchor="ie1960b1d976b4148b3d478b9e76c8e4e_28">
              <w:r>
                <w:rPr>
                  <w:rStyle w:val="InternetLink"/>
                  <w:rFonts w:ascii="Times New Roman;sans-serif" w:hAnsi="Times New Roman;sans-serif"/>
                  <w:b w:val="false"/>
                  <w:color w:val="000080"/>
                  <w:sz w:val="20"/>
                  <w:u w:val="single"/>
                </w:rPr>
                <w:t xml:space="preserve"> Months Ended </w:t>
              </w:r>
            </w:hyperlink>
            <w:hyperlink w:anchor="ie1960b1d976b4148b3d478b9e76c8e4e_28">
              <w:r>
                <w:rPr>
                  <w:rStyle w:val="InternetLink"/>
                  <w:rFonts w:ascii="Times New Roman;sans-serif" w:hAnsi="Times New Roman;sans-serif"/>
                  <w:b w:val="false"/>
                  <w:color w:val="000080"/>
                  <w:sz w:val="20"/>
                  <w:u w:val="single"/>
                </w:rPr>
                <w:t>S</w:t>
              </w:r>
            </w:hyperlink>
            <w:hyperlink w:anchor="ie1960b1d976b4148b3d478b9e76c8e4e_28">
              <w:r>
                <w:rPr>
                  <w:rStyle w:val="InternetLink"/>
                  <w:rFonts w:ascii="Times New Roman;sans-serif" w:hAnsi="Times New Roman;sans-serif"/>
                  <w:b w:val="false"/>
                  <w:color w:val="000080"/>
                  <w:sz w:val="20"/>
                  <w:u w:val="single"/>
                </w:rPr>
                <w:t>e</w:t>
              </w:r>
            </w:hyperlink>
            <w:hyperlink w:anchor="ie1960b1d976b4148b3d478b9e76c8e4e_28">
              <w:r>
                <w:rPr>
                  <w:rStyle w:val="InternetLink"/>
                  <w:rFonts w:ascii="Times New Roman;sans-serif" w:hAnsi="Times New Roman;sans-serif"/>
                  <w:b w:val="false"/>
                  <w:color w:val="000080"/>
                  <w:sz w:val="20"/>
                  <w:u w:val="single"/>
                </w:rPr>
                <w:t>ptember</w:t>
              </w:r>
            </w:hyperlink>
            <w:hyperlink w:anchor="ie1960b1d976b4148b3d478b9e76c8e4e_28">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28">
              <w:r>
                <w:rPr>
                  <w:rStyle w:val="InternetLink"/>
                  <w:rFonts w:ascii="Times New Roman;sans-serif" w:hAnsi="Times New Roman;sans-serif"/>
                  <w:b w:val="false"/>
                  <w:color w:val="0000FF"/>
                  <w:sz w:val="20"/>
                  <w:u w:val="single"/>
                </w:rPr>
                <w:t>9</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31">
              <w:r>
                <w:rPr>
                  <w:rStyle w:val="InternetLink"/>
                  <w:rFonts w:ascii="Times New Roman;sans-serif" w:hAnsi="Times New Roman;sans-serif"/>
                  <w:b w:val="false"/>
                  <w:color w:val="0000FF"/>
                  <w:sz w:val="20"/>
                  <w:u w:val="single"/>
                </w:rPr>
                <w:t>Financial Statements of VICI Properties L.P. (Unaudited)</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31">
              <w:r>
                <w:rPr>
                  <w:rStyle w:val="InternetLink"/>
                  <w:rFonts w:ascii="Times New Roman;sans-serif" w:hAnsi="Times New Roman;sans-serif"/>
                  <w:b w:val="false"/>
                  <w:color w:val="0000FF"/>
                  <w:sz w:val="20"/>
                  <w:u w:val="single"/>
                </w:rPr>
                <w:t>11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34">
              <w:r>
                <w:rPr>
                  <w:rStyle w:val="InternetLink"/>
                  <w:rFonts w:ascii="Times New Roman;sans-serif" w:hAnsi="Times New Roman;sans-serif"/>
                  <w:b w:val="false"/>
                  <w:color w:val="000080"/>
                  <w:sz w:val="20"/>
                  <w:u w:val="single"/>
                </w:rPr>
                <w:t xml:space="preserve">Consolidated Balance Sheets as of </w:t>
              </w:r>
            </w:hyperlink>
            <w:hyperlink w:anchor="ie1960b1d976b4148b3d478b9e76c8e4e_34">
              <w:r>
                <w:rPr>
                  <w:rStyle w:val="InternetLink"/>
                  <w:rFonts w:ascii="Times New Roman;sans-serif" w:hAnsi="Times New Roman;sans-serif"/>
                  <w:b w:val="false"/>
                  <w:color w:val="000080"/>
                  <w:sz w:val="20"/>
                  <w:u w:val="single"/>
                </w:rPr>
                <w:t>September</w:t>
              </w:r>
            </w:hyperlink>
            <w:hyperlink w:anchor="ie1960b1d976b4148b3d478b9e76c8e4e_34">
              <w:r>
                <w:rPr>
                  <w:rStyle w:val="InternetLink"/>
                  <w:rFonts w:ascii="Times New Roman;sans-serif" w:hAnsi="Times New Roman;sans-serif"/>
                  <w:b w:val="false"/>
                  <w:color w:val="000080"/>
                  <w:sz w:val="20"/>
                  <w:u w:val="single"/>
                </w:rPr>
                <w:t xml:space="preserve"> 30, 2023 and December 31,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34">
              <w:r>
                <w:rPr>
                  <w:rStyle w:val="InternetLink"/>
                  <w:rFonts w:ascii="Times New Roman;sans-serif" w:hAnsi="Times New Roman;sans-serif"/>
                  <w:b w:val="false"/>
                  <w:color w:val="0000FF"/>
                  <w:sz w:val="20"/>
                  <w:u w:val="single"/>
                </w:rPr>
                <w:t>11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37">
              <w:r>
                <w:rPr>
                  <w:rStyle w:val="InternetLink"/>
                  <w:rFonts w:ascii="Times New Roman;sans-serif" w:hAnsi="Times New Roman;sans-serif"/>
                  <w:b w:val="false"/>
                  <w:color w:val="000080"/>
                  <w:sz w:val="20"/>
                  <w:u w:val="single"/>
                </w:rPr>
                <w:t xml:space="preserve">Consolidated Statements of Operations and Comprehensive Income for the Three and </w:t>
              </w:r>
            </w:hyperlink>
            <w:hyperlink w:anchor="ie1960b1d976b4148b3d478b9e76c8e4e_37">
              <w:r>
                <w:rPr>
                  <w:rStyle w:val="InternetLink"/>
                  <w:rFonts w:ascii="Times New Roman;sans-serif" w:hAnsi="Times New Roman;sans-serif"/>
                  <w:b w:val="false"/>
                  <w:color w:val="000080"/>
                  <w:sz w:val="20"/>
                  <w:u w:val="single"/>
                </w:rPr>
                <w:t xml:space="preserve">Nine </w:t>
              </w:r>
            </w:hyperlink>
            <w:hyperlink w:anchor="ie1960b1d976b4148b3d478b9e76c8e4e_37">
              <w:r>
                <w:rPr>
                  <w:rStyle w:val="InternetLink"/>
                  <w:rFonts w:ascii="Times New Roman;sans-serif" w:hAnsi="Times New Roman;sans-serif"/>
                  <w:b w:val="false"/>
                  <w:color w:val="000080"/>
                  <w:sz w:val="20"/>
                  <w:u w:val="single"/>
                </w:rPr>
                <w:t xml:space="preserve">Months Ended </w:t>
              </w:r>
            </w:hyperlink>
            <w:hyperlink w:anchor="ie1960b1d976b4148b3d478b9e76c8e4e_37">
              <w:r>
                <w:rPr>
                  <w:rStyle w:val="InternetLink"/>
                  <w:rFonts w:ascii="Times New Roman;sans-serif" w:hAnsi="Times New Roman;sans-serif"/>
                  <w:b w:val="false"/>
                  <w:color w:val="000080"/>
                  <w:sz w:val="20"/>
                  <w:u w:val="single"/>
                </w:rPr>
                <w:t>Se</w:t>
              </w:r>
            </w:hyperlink>
            <w:hyperlink w:anchor="ie1960b1d976b4148b3d478b9e76c8e4e_37">
              <w:r>
                <w:rPr>
                  <w:rStyle w:val="InternetLink"/>
                  <w:rFonts w:ascii="Times New Roman;sans-serif" w:hAnsi="Times New Roman;sans-serif"/>
                  <w:b w:val="false"/>
                  <w:color w:val="000080"/>
                  <w:sz w:val="20"/>
                  <w:u w:val="single"/>
                </w:rPr>
                <w:t>ptember</w:t>
              </w:r>
            </w:hyperlink>
            <w:hyperlink w:anchor="ie1960b1d976b4148b3d478b9e76c8e4e_37">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37">
              <w:r>
                <w:rPr>
                  <w:rStyle w:val="InternetLink"/>
                  <w:rFonts w:ascii="Times New Roman;sans-serif" w:hAnsi="Times New Roman;sans-serif"/>
                  <w:b w:val="false"/>
                  <w:color w:val="0000FF"/>
                  <w:sz w:val="20"/>
                  <w:u w:val="single"/>
                </w:rPr>
                <w:t>12</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40">
              <w:r>
                <w:rPr>
                  <w:rStyle w:val="InternetLink"/>
                  <w:rFonts w:ascii="Times New Roman;sans-serif" w:hAnsi="Times New Roman;sans-serif"/>
                  <w:b w:val="false"/>
                  <w:color w:val="000080"/>
                  <w:sz w:val="20"/>
                  <w:u w:val="single"/>
                </w:rPr>
                <w:t xml:space="preserve">Consolidated Statements of Partners’ Capital for the Three and </w:t>
              </w:r>
            </w:hyperlink>
            <w:hyperlink w:anchor="ie1960b1d976b4148b3d478b9e76c8e4e_40">
              <w:r>
                <w:rPr>
                  <w:rStyle w:val="InternetLink"/>
                  <w:rFonts w:ascii="Times New Roman;sans-serif" w:hAnsi="Times New Roman;sans-serif"/>
                  <w:b w:val="false"/>
                  <w:color w:val="000080"/>
                  <w:sz w:val="20"/>
                  <w:u w:val="single"/>
                </w:rPr>
                <w:t>Nine</w:t>
              </w:r>
            </w:hyperlink>
            <w:hyperlink w:anchor="ie1960b1d976b4148b3d478b9e76c8e4e_40">
              <w:r>
                <w:rPr>
                  <w:rStyle w:val="InternetLink"/>
                  <w:rFonts w:ascii="Times New Roman;sans-serif" w:hAnsi="Times New Roman;sans-serif"/>
                  <w:b w:val="false"/>
                  <w:color w:val="000080"/>
                  <w:sz w:val="20"/>
                  <w:u w:val="single"/>
                </w:rPr>
                <w:t xml:space="preserve"> Months Ended </w:t>
              </w:r>
            </w:hyperlink>
            <w:hyperlink w:anchor="ie1960b1d976b4148b3d478b9e76c8e4e_40">
              <w:r>
                <w:rPr>
                  <w:rStyle w:val="InternetLink"/>
                  <w:rFonts w:ascii="Times New Roman;sans-serif" w:hAnsi="Times New Roman;sans-serif"/>
                  <w:b w:val="false"/>
                  <w:color w:val="000080"/>
                  <w:sz w:val="20"/>
                  <w:u w:val="single"/>
                </w:rPr>
                <w:t>S</w:t>
              </w:r>
            </w:hyperlink>
            <w:hyperlink w:anchor="ie1960b1d976b4148b3d478b9e76c8e4e_40">
              <w:r>
                <w:rPr>
                  <w:rStyle w:val="InternetLink"/>
                  <w:rFonts w:ascii="Times New Roman;sans-serif" w:hAnsi="Times New Roman;sans-serif"/>
                  <w:b w:val="false"/>
                  <w:color w:val="000080"/>
                  <w:sz w:val="20"/>
                  <w:u w:val="single"/>
                </w:rPr>
                <w:t>e</w:t>
              </w:r>
            </w:hyperlink>
            <w:hyperlink w:anchor="ie1960b1d976b4148b3d478b9e76c8e4e_40">
              <w:r>
                <w:rPr>
                  <w:rStyle w:val="InternetLink"/>
                  <w:rFonts w:ascii="Times New Roman;sans-serif" w:hAnsi="Times New Roman;sans-serif"/>
                  <w:b w:val="false"/>
                  <w:color w:val="000080"/>
                  <w:sz w:val="20"/>
                  <w:u w:val="single"/>
                </w:rPr>
                <w:t>ptem</w:t>
              </w:r>
            </w:hyperlink>
            <w:hyperlink w:anchor="ie1960b1d976b4148b3d478b9e76c8e4e_40">
              <w:r>
                <w:rPr>
                  <w:rStyle w:val="InternetLink"/>
                  <w:rFonts w:ascii="Times New Roman;sans-serif" w:hAnsi="Times New Roman;sans-serif"/>
                  <w:b w:val="false"/>
                  <w:color w:val="000080"/>
                  <w:sz w:val="20"/>
                  <w:u w:val="single"/>
                </w:rPr>
                <w:t>ber</w:t>
              </w:r>
            </w:hyperlink>
            <w:hyperlink w:anchor="ie1960b1d976b4148b3d478b9e76c8e4e_40">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40">
              <w:r>
                <w:rPr>
                  <w:rStyle w:val="InternetLink"/>
                  <w:rFonts w:ascii="Times New Roman;sans-serif" w:hAnsi="Times New Roman;sans-serif"/>
                  <w:b w:val="false"/>
                  <w:color w:val="0000FF"/>
                  <w:sz w:val="20"/>
                  <w:u w:val="single"/>
                </w:rPr>
                <w:t>13</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43">
              <w:r>
                <w:rPr>
                  <w:rStyle w:val="InternetLink"/>
                  <w:rFonts w:ascii="Times New Roman;sans-serif" w:hAnsi="Times New Roman;sans-serif"/>
                  <w:b w:val="false"/>
                  <w:color w:val="000080"/>
                  <w:sz w:val="20"/>
                  <w:u w:val="single"/>
                </w:rPr>
                <w:t xml:space="preserve">Consolidated Statements of Cash Flows for the </w:t>
              </w:r>
            </w:hyperlink>
            <w:hyperlink w:anchor="ie1960b1d976b4148b3d478b9e76c8e4e_43">
              <w:r>
                <w:rPr>
                  <w:rStyle w:val="InternetLink"/>
                  <w:rFonts w:ascii="Times New Roman;sans-serif" w:hAnsi="Times New Roman;sans-serif"/>
                  <w:b w:val="false"/>
                  <w:color w:val="000080"/>
                  <w:sz w:val="20"/>
                  <w:u w:val="single"/>
                </w:rPr>
                <w:t>Nine</w:t>
              </w:r>
            </w:hyperlink>
            <w:hyperlink w:anchor="ie1960b1d976b4148b3d478b9e76c8e4e_43">
              <w:r>
                <w:rPr>
                  <w:rStyle w:val="InternetLink"/>
                  <w:rFonts w:ascii="Times New Roman;sans-serif" w:hAnsi="Times New Roman;sans-serif"/>
                  <w:b w:val="false"/>
                  <w:color w:val="000080"/>
                  <w:sz w:val="20"/>
                  <w:u w:val="single"/>
                </w:rPr>
                <w:t xml:space="preserve"> Months Ended </w:t>
              </w:r>
            </w:hyperlink>
            <w:hyperlink w:anchor="ie1960b1d976b4148b3d478b9e76c8e4e_43">
              <w:r>
                <w:rPr>
                  <w:rStyle w:val="InternetLink"/>
                  <w:rFonts w:ascii="Times New Roman;sans-serif" w:hAnsi="Times New Roman;sans-serif"/>
                  <w:b w:val="false"/>
                  <w:color w:val="000080"/>
                  <w:sz w:val="20"/>
                  <w:u w:val="single"/>
                </w:rPr>
                <w:t>S</w:t>
              </w:r>
            </w:hyperlink>
            <w:hyperlink w:anchor="ie1960b1d976b4148b3d478b9e76c8e4e_43">
              <w:r>
                <w:rPr>
                  <w:rStyle w:val="InternetLink"/>
                  <w:rFonts w:ascii="Times New Roman;sans-serif" w:hAnsi="Times New Roman;sans-serif"/>
                  <w:b w:val="false"/>
                  <w:color w:val="000080"/>
                  <w:sz w:val="20"/>
                  <w:u w:val="single"/>
                </w:rPr>
                <w:t>eptember</w:t>
              </w:r>
            </w:hyperlink>
            <w:hyperlink w:anchor="ie1960b1d976b4148b3d478b9e76c8e4e_43">
              <w:r>
                <w:rPr>
                  <w:rStyle w:val="InternetLink"/>
                  <w:rFonts w:ascii="Times New Roman;sans-serif" w:hAnsi="Times New Roman;sans-serif"/>
                  <w:b w:val="false"/>
                  <w:color w:val="000080"/>
                  <w:sz w:val="20"/>
                  <w:u w:val="single"/>
                </w:rPr>
                <w:t xml:space="preserve"> 30, 2023 and 2022</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43">
              <w:r>
                <w:rPr>
                  <w:rStyle w:val="InternetLink"/>
                  <w:rFonts w:ascii="Times New Roman;sans-serif" w:hAnsi="Times New Roman;sans-serif"/>
                  <w:b w:val="false"/>
                  <w:color w:val="0000FF"/>
                  <w:sz w:val="20"/>
                  <w:u w:val="single"/>
                </w:rPr>
                <w:t>15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46">
              <w:r>
                <w:rPr>
                  <w:rStyle w:val="InternetLink"/>
                  <w:rFonts w:ascii="Times New Roman;sans-serif" w:hAnsi="Times New Roman;sans-serif"/>
                  <w:b w:val="false"/>
                  <w:color w:val="0000FF"/>
                  <w:sz w:val="20"/>
                  <w:u w:val="single"/>
                </w:rPr>
                <w:t>Notes to Consolidated Financial Statements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46">
              <w:r>
                <w:rPr>
                  <w:rStyle w:val="InternetLink"/>
                  <w:rFonts w:ascii="Times New Roman;sans-serif" w:hAnsi="Times New Roman;sans-serif"/>
                  <w:b w:val="false"/>
                  <w:color w:val="0000FF"/>
                  <w:sz w:val="20"/>
                  <w:u w:val="single"/>
                </w:rPr>
                <w:t>17</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1">
              <w:r>
                <w:rPr>
                  <w:rStyle w:val="InternetLink"/>
                  <w:rFonts w:ascii="Times New Roman;sans-serif" w:hAnsi="Times New Roman;sans-serif"/>
                  <w:b w:val="false"/>
                  <w:color w:val="0000FF"/>
                  <w:sz w:val="20"/>
                  <w:u w:val="single"/>
                </w:rPr>
                <w:t>Item 2.</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91">
              <w:r>
                <w:rPr>
                  <w:rStyle w:val="InternetLink"/>
                  <w:rFonts w:ascii="Times New Roman;sans-serif" w:hAnsi="Times New Roman;sans-serif"/>
                  <w:b w:val="false"/>
                  <w:color w:val="0000FF"/>
                  <w:sz w:val="20"/>
                  <w:u w:val="single"/>
                </w:rPr>
                <w:t>54</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4">
              <w:r>
                <w:rPr>
                  <w:rStyle w:val="InternetLink"/>
                  <w:rFonts w:ascii="Times New Roman;sans-serif" w:hAnsi="Times New Roman;sans-serif"/>
                  <w:b w:val="false"/>
                  <w:color w:val="0000FF"/>
                  <w:sz w:val="20"/>
                  <w:u w:val="single"/>
                </w:rPr>
                <w:t>Item 3.</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4">
              <w:r>
                <w:rPr>
                  <w:rStyle w:val="InternetLink"/>
                  <w:rFonts w:ascii="Times New Roman;sans-serif" w:hAnsi="Times New Roman;sans-serif"/>
                  <w:b w:val="false"/>
                  <w:color w:val="0000FF"/>
                  <w:sz w:val="20"/>
                  <w:u w:val="single"/>
                </w:rPr>
                <w:t>Quantitative and Qualitative Disclosures About Market Risk</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94">
              <w:r>
                <w:rPr>
                  <w:rStyle w:val="InternetLink"/>
                  <w:rFonts w:ascii="Times New Roman;sans-serif" w:hAnsi="Times New Roman;sans-serif"/>
                  <w:b w:val="false"/>
                  <w:color w:val="0000FF"/>
                  <w:sz w:val="20"/>
                  <w:u w:val="single"/>
                </w:rPr>
                <w:t>70</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7">
              <w:r>
                <w:rPr>
                  <w:rStyle w:val="InternetLink"/>
                  <w:rFonts w:ascii="Times New Roman;sans-serif" w:hAnsi="Times New Roman;sans-serif"/>
                  <w:b w:val="false"/>
                  <w:color w:val="0000FF"/>
                  <w:sz w:val="20"/>
                  <w:u w:val="single"/>
                </w:rPr>
                <w:t>Item 4.</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97">
              <w:r>
                <w:rPr>
                  <w:rStyle w:val="InternetLink"/>
                  <w:rFonts w:ascii="Times New Roman;sans-serif" w:hAnsi="Times New Roman;sans-serif"/>
                  <w:b w:val="false"/>
                  <w:color w:val="0000FF"/>
                  <w:sz w:val="20"/>
                  <w:u w:val="single"/>
                </w:rPr>
                <w:t>Controls and Procedures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97">
              <w:r>
                <w:rPr>
                  <w:rStyle w:val="InternetLink"/>
                  <w:rFonts w:ascii="Times New Roman;sans-serif" w:hAnsi="Times New Roman;sans-serif"/>
                  <w:b w:val="false"/>
                  <w:color w:val="0000FF"/>
                  <w:sz w:val="20"/>
                  <w:u w:val="single"/>
                </w:rPr>
                <w:t>71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0">
              <w:r>
                <w:rPr>
                  <w:rStyle w:val="InternetLink"/>
                  <w:rFonts w:ascii="Times New Roman;sans-serif" w:hAnsi="Times New Roman;sans-serif"/>
                  <w:b/>
                  <w:color w:val="0000FF"/>
                  <w:sz w:val="20"/>
                  <w:u w:val="single"/>
                </w:rPr>
                <w:t>PART II.</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0">
              <w:r>
                <w:rPr>
                  <w:rStyle w:val="InternetLink"/>
                  <w:rFonts w:ascii="Times New Roman;sans-serif" w:hAnsi="Times New Roman;sans-serif"/>
                  <w:b/>
                  <w:color w:val="0000FF"/>
                  <w:sz w:val="20"/>
                  <w:u w:val="single"/>
                </w:rPr>
                <w:t>OTHER INFORMATION</w:t>
              </w:r>
            </w:hyperlink>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3">
              <w:r>
                <w:rPr>
                  <w:rStyle w:val="InternetLink"/>
                  <w:rFonts w:ascii="Times New Roman;sans-serif" w:hAnsi="Times New Roman;sans-serif"/>
                  <w:b w:val="false"/>
                  <w:color w:val="0000FF"/>
                  <w:sz w:val="20"/>
                  <w:u w:val="single"/>
                </w:rPr>
                <w:t>Item 1.</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3">
              <w:r>
                <w:rPr>
                  <w:rStyle w:val="InternetLink"/>
                  <w:rFonts w:ascii="Times New Roman;sans-serif" w:hAnsi="Times New Roman;sans-serif"/>
                  <w:b w:val="false"/>
                  <w:color w:val="0000FF"/>
                  <w:sz w:val="20"/>
                  <w:u w:val="single"/>
                </w:rPr>
                <w:t>Legal Proceedings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03">
              <w:r>
                <w:rPr>
                  <w:rStyle w:val="InternetLink"/>
                  <w:rFonts w:ascii="Times New Roman;sans-serif" w:hAnsi="Times New Roman;sans-serif"/>
                  <w:b w:val="false"/>
                  <w:color w:val="0000FF"/>
                  <w:sz w:val="20"/>
                  <w:u w:val="single"/>
                </w:rPr>
                <w:t>72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6">
              <w:r>
                <w:rPr>
                  <w:rStyle w:val="InternetLink"/>
                  <w:rFonts w:ascii="Times New Roman;sans-serif" w:hAnsi="Times New Roman;sans-serif"/>
                  <w:b w:val="false"/>
                  <w:color w:val="0000FF"/>
                  <w:sz w:val="20"/>
                  <w:u w:val="single"/>
                </w:rPr>
                <w:t>Item 1A.</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6">
              <w:r>
                <w:rPr>
                  <w:rStyle w:val="InternetLink"/>
                  <w:rFonts w:ascii="Times New Roman;sans-serif" w:hAnsi="Times New Roman;sans-serif"/>
                  <w:b w:val="false"/>
                  <w:color w:val="0000FF"/>
                  <w:sz w:val="20"/>
                  <w:u w:val="single"/>
                </w:rPr>
                <w:t>Risk Factors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06">
              <w:r>
                <w:rPr>
                  <w:rStyle w:val="InternetLink"/>
                  <w:rFonts w:ascii="Times New Roman;sans-serif" w:hAnsi="Times New Roman;sans-serif"/>
                  <w:b w:val="false"/>
                  <w:color w:val="0000FF"/>
                  <w:sz w:val="20"/>
                  <w:u w:val="single"/>
                </w:rPr>
                <w:t>72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9">
              <w:r>
                <w:rPr>
                  <w:rStyle w:val="InternetLink"/>
                  <w:rFonts w:ascii="Times New Roman;sans-serif" w:hAnsi="Times New Roman;sans-serif"/>
                  <w:b w:val="false"/>
                  <w:color w:val="0000FF"/>
                  <w:sz w:val="20"/>
                  <w:u w:val="single"/>
                </w:rPr>
                <w:t>Item 2.</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09">
              <w:r>
                <w:rPr>
                  <w:rStyle w:val="InternetLink"/>
                  <w:rFonts w:ascii="Times New Roman;sans-serif" w:hAnsi="Times New Roman;sans-serif"/>
                  <w:b w:val="false"/>
                  <w:color w:val="0000FF"/>
                  <w:sz w:val="20"/>
                  <w:u w:val="single"/>
                </w:rPr>
                <w:t>Unregistered Sales of Equity Securities and Use of Proceeds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09">
              <w:r>
                <w:rPr>
                  <w:rStyle w:val="InternetLink"/>
                  <w:rFonts w:ascii="Times New Roman;sans-serif" w:hAnsi="Times New Roman;sans-serif"/>
                  <w:b w:val="false"/>
                  <w:color w:val="0000FF"/>
                  <w:sz w:val="20"/>
                  <w:u w:val="single"/>
                </w:rPr>
                <w:t>72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2">
              <w:r>
                <w:rPr>
                  <w:rStyle w:val="InternetLink"/>
                  <w:rFonts w:ascii="Times New Roman;sans-serif" w:hAnsi="Times New Roman;sans-serif"/>
                  <w:b w:val="false"/>
                  <w:color w:val="0000FF"/>
                  <w:sz w:val="20"/>
                  <w:u w:val="single"/>
                </w:rPr>
                <w:t>Item 3.</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2">
              <w:r>
                <w:rPr>
                  <w:rStyle w:val="InternetLink"/>
                  <w:rFonts w:ascii="Times New Roman;sans-serif" w:hAnsi="Times New Roman;sans-serif"/>
                  <w:b w:val="false"/>
                  <w:color w:val="0000FF"/>
                  <w:sz w:val="20"/>
                  <w:u w:val="single"/>
                </w:rPr>
                <w:t>Defaults Upon Senior Securities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12">
              <w:r>
                <w:rPr>
                  <w:rStyle w:val="InternetLink"/>
                  <w:rFonts w:ascii="Times New Roman;sans-serif" w:hAnsi="Times New Roman;sans-serif"/>
                  <w:b w:val="false"/>
                  <w:color w:val="0000FF"/>
                  <w:sz w:val="20"/>
                  <w:u w:val="single"/>
                </w:rPr>
                <w:t>72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5">
              <w:r>
                <w:rPr>
                  <w:rStyle w:val="InternetLink"/>
                  <w:rFonts w:ascii="Times New Roman;sans-serif" w:hAnsi="Times New Roman;sans-serif"/>
                  <w:b w:val="false"/>
                  <w:color w:val="0000FF"/>
                  <w:sz w:val="20"/>
                  <w:u w:val="single"/>
                </w:rPr>
                <w:t>Item 4.</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5">
              <w:r>
                <w:rPr>
                  <w:rStyle w:val="InternetLink"/>
                  <w:rFonts w:ascii="Times New Roman;sans-serif" w:hAnsi="Times New Roman;sans-serif"/>
                  <w:b w:val="false"/>
                  <w:color w:val="0000FF"/>
                  <w:sz w:val="20"/>
                  <w:u w:val="single"/>
                </w:rPr>
                <w:t>Mine Safety Disclosures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15">
              <w:r>
                <w:rPr>
                  <w:rStyle w:val="InternetLink"/>
                  <w:rFonts w:ascii="Times New Roman;sans-serif" w:hAnsi="Times New Roman;sans-serif"/>
                  <w:b w:val="false"/>
                  <w:color w:val="0000FF"/>
                  <w:sz w:val="20"/>
                  <w:u w:val="single"/>
                </w:rPr>
                <w:t>73</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18">
              <w:r>
                <w:rPr>
                  <w:rStyle w:val="InternetLink"/>
                  <w:rFonts w:ascii="Times New Roman;sans-serif" w:hAnsi="Times New Roman;sans-serif"/>
                  <w:b w:val="false"/>
                  <w:color w:val="0000FF"/>
                  <w:sz w:val="20"/>
                  <w:u w:val="single"/>
                </w:rPr>
                <w:t>Other Information</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18">
              <w:r>
                <w:rPr>
                  <w:rStyle w:val="InternetLink"/>
                  <w:rFonts w:ascii="Times New Roman;sans-serif" w:hAnsi="Times New Roman;sans-serif"/>
                  <w:b w:val="false"/>
                  <w:color w:val="0000FF"/>
                  <w:sz w:val="20"/>
                  <w:u w:val="single"/>
                </w:rPr>
                <w:t>73</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21">
              <w:r>
                <w:rPr>
                  <w:rStyle w:val="InternetLink"/>
                  <w:rFonts w:ascii="Times New Roman;sans-serif" w:hAnsi="Times New Roman;sans-serif"/>
                  <w:b w:val="false"/>
                  <w:color w:val="0000FF"/>
                  <w:sz w:val="20"/>
                  <w:u w:val="single"/>
                </w:rPr>
                <w:t>Item 6.</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21">
              <w:r>
                <w:rPr>
                  <w:rStyle w:val="InternetLink"/>
                  <w:rFonts w:ascii="Times New Roman;sans-serif" w:hAnsi="Times New Roman;sans-serif"/>
                  <w:b w:val="false"/>
                  <w:color w:val="0000FF"/>
                  <w:sz w:val="20"/>
                  <w:u w:val="single"/>
                </w:rPr>
                <w:t>Exhibits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21">
              <w:r>
                <w:rPr>
                  <w:rStyle w:val="InternetLink"/>
                  <w:rFonts w:ascii="Times New Roman;sans-serif" w:hAnsi="Times New Roman;sans-serif"/>
                  <w:b w:val="false"/>
                  <w:color w:val="0000FF"/>
                  <w:sz w:val="20"/>
                  <w:u w:val="single"/>
                </w:rPr>
                <w:t>73</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1960b1d976b4148b3d478b9e76c8e4e_124">
              <w:r>
                <w:rPr>
                  <w:rStyle w:val="InternetLink"/>
                  <w:rFonts w:ascii="Times New Roman;sans-serif" w:hAnsi="Times New Roman;sans-serif"/>
                  <w:b/>
                  <w:color w:val="0000FF"/>
                  <w:sz w:val="20"/>
                  <w:u w:val="single"/>
                </w:rPr>
                <w:t>Signatures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960b1d976b4148b3d478b9e76c8e4e_124">
              <w:r>
                <w:rPr>
                  <w:rStyle w:val="InternetLink"/>
                  <w:rFonts w:ascii="Times New Roman;sans-serif" w:hAnsi="Times New Roman;sans-serif"/>
                  <w:b w:val="false"/>
                  <w:color w:val="0000FF"/>
                  <w:sz w:val="20"/>
                  <w:u w:val="singl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22"/>
        <w:gridCol w:w="2071"/>
        <w:gridCol w:w="2104"/>
        <w:gridCol w:w="222"/>
        <w:gridCol w:w="1140"/>
        <w:gridCol w:w="114"/>
        <w:gridCol w:w="109"/>
        <w:gridCol w:w="109"/>
        <w:gridCol w:w="109"/>
        <w:gridCol w:w="218"/>
        <w:gridCol w:w="1121"/>
        <w:gridCol w:w="166"/>
      </w:tblGrid>
      <w:tr>
        <w:trPr/>
        <w:tc>
          <w:tcPr>
            <w:tcW w:w="272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22,889,984 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17,337,665 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42,832,149 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16,692,728 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18,296,467 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15,285,713 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1,016,827,883 and 963,096,563 shares issued and outstanding at September 30, 2023 and December 31, 2022, respectively </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September 30, 2023 and December 31, 2022 </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21,645,499 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24,164,951 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21,933,637 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24,535,682 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22,290,113 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42,832,149 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September 30, 2023 and December 31, 2022, our Investments in leases - sales-type, Investments in leases - financing receivables, Investments in loans and securities, and Other assets (sales-type sub-leases) are net of allowance for credit losses of $755.4 million, $707.0 million, $22.8 million and $19.3 million, respectively, and $570.4 million, $726.7 million, $6.9 million and $19.8 million, respectively. Refer to </w:t>
      </w:r>
      <w:hyperlink w:anchor="ie1960b1d976b4148b3d478b9e76c8e4e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61"/>
        <w:gridCol w:w="1112"/>
        <w:gridCol w:w="1123"/>
        <w:gridCol w:w="271"/>
        <w:gridCol w:w="1065"/>
        <w:gridCol w:w="109"/>
        <w:gridCol w:w="109"/>
        <w:gridCol w:w="109"/>
        <w:gridCol w:w="109"/>
        <w:gridCol w:w="241"/>
        <w:gridCol w:w="945"/>
        <w:gridCol w:w="109"/>
        <w:gridCol w:w="109"/>
        <w:gridCol w:w="109"/>
        <w:gridCol w:w="109"/>
        <w:gridCol w:w="237"/>
        <w:gridCol w:w="1099"/>
        <w:gridCol w:w="109"/>
        <w:gridCol w:w="109"/>
        <w:gridCol w:w="109"/>
        <w:gridCol w:w="109"/>
        <w:gridCol w:w="211"/>
        <w:gridCol w:w="976"/>
        <w:gridCol w:w="156"/>
      </w:tblGrid>
      <w:tr>
        <w:trPr/>
        <w:tc>
          <w:tcPr>
            <w:tcW w:w="146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962,573,646 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848,839,357 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964,134,340 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850,823,037 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430" w:type="dxa"/>
        <w:jc w:val="center"/>
        <w:tblInd w:w="0" w:type="dxa"/>
        <w:tblLayout w:type="fixed"/>
        <w:tblCellMar>
          <w:top w:w="28" w:type="dxa"/>
          <w:left w:w="28" w:type="dxa"/>
          <w:bottom w:w="28" w:type="dxa"/>
          <w:right w:w="28" w:type="dxa"/>
        </w:tblCellMar>
      </w:tblPr>
      <w:tblGrid>
        <w:gridCol w:w="666"/>
        <w:gridCol w:w="282"/>
        <w:gridCol w:w="283"/>
        <w:gridCol w:w="196"/>
        <w:gridCol w:w="556"/>
        <w:gridCol w:w="109"/>
        <w:gridCol w:w="109"/>
        <w:gridCol w:w="109"/>
        <w:gridCol w:w="109"/>
        <w:gridCol w:w="196"/>
        <w:gridCol w:w="961"/>
        <w:gridCol w:w="109"/>
        <w:gridCol w:w="109"/>
        <w:gridCol w:w="109"/>
        <w:gridCol w:w="109"/>
        <w:gridCol w:w="228"/>
        <w:gridCol w:w="859"/>
        <w:gridCol w:w="129"/>
        <w:gridCol w:w="109"/>
        <w:gridCol w:w="109"/>
        <w:gridCol w:w="109"/>
        <w:gridCol w:w="196"/>
        <w:gridCol w:w="75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12,187,174 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($0.3600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VICI OP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($0.3600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21,762,494 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22,114,887 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21,709,579 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352,718 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22,062,297 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180" w:after="283"/>
        <w:jc w:val="both"/>
        <w:rPr/>
      </w:pPr>
      <w:r>
        <w:rPr/>
      </w:r>
    </w:p>
    <w:tbl>
      <w:tblPr>
        <w:tblW w:w="11505"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24,164,951 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181" w:type="dxa"/>
        <w:jc w:val="center"/>
        <w:tblInd w:w="0" w:type="dxa"/>
        <w:tblLayout w:type="fixed"/>
        <w:tblCellMar>
          <w:top w:w="28" w:type="dxa"/>
          <w:left w:w="28" w:type="dxa"/>
          <w:bottom w:w="28" w:type="dxa"/>
          <w:right w:w="28" w:type="dxa"/>
        </w:tblCellMar>
      </w:tblPr>
      <w:tblGrid>
        <w:gridCol w:w="2654"/>
        <w:gridCol w:w="2336"/>
        <w:gridCol w:w="2344"/>
        <w:gridCol w:w="213"/>
        <w:gridCol w:w="988"/>
        <w:gridCol w:w="110"/>
        <w:gridCol w:w="110"/>
        <w:gridCol w:w="110"/>
        <w:gridCol w:w="110"/>
        <w:gridCol w:w="213"/>
        <w:gridCol w:w="837"/>
        <w:gridCol w:w="156"/>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transaction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(8,889,098)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111" w:type="dxa"/>
        <w:jc w:val="center"/>
        <w:tblInd w:w="0" w:type="dxa"/>
        <w:tblLayout w:type="fixed"/>
        <w:tblCellMar>
          <w:top w:w="28" w:type="dxa"/>
          <w:left w:w="28" w:type="dxa"/>
          <w:bottom w:w="28" w:type="dxa"/>
          <w:right w:w="28" w:type="dxa"/>
        </w:tblCellMar>
      </w:tblPr>
      <w:tblGrid>
        <w:gridCol w:w="2329"/>
        <w:gridCol w:w="2050"/>
        <w:gridCol w:w="2055"/>
        <w:gridCol w:w="213"/>
        <w:gridCol w:w="837"/>
        <w:gridCol w:w="109"/>
        <w:gridCol w:w="109"/>
        <w:gridCol w:w="109"/>
        <w:gridCol w:w="109"/>
        <w:gridCol w:w="211"/>
        <w:gridCol w:w="826"/>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4"/>
        <w:gridCol w:w="2077"/>
        <w:gridCol w:w="2110"/>
        <w:gridCol w:w="224"/>
        <w:gridCol w:w="1152"/>
        <w:gridCol w:w="115"/>
        <w:gridCol w:w="109"/>
        <w:gridCol w:w="109"/>
        <w:gridCol w:w="109"/>
        <w:gridCol w:w="220"/>
        <w:gridCol w:w="1130"/>
        <w:gridCol w:w="166"/>
      </w:tblGrid>
      <w:tr>
        <w:trPr/>
        <w:tc>
          <w:tcPr>
            <w:tcW w:w="268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17,337,665 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42,703,059 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16,692,728 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18,278,161 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15,264,554 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1,029,059,256 and 975,327,936 operating partnership units issued and outstanding as of September 30, 2023 and December 31, 2022, respectively</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24,158,382 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21,900,511 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24,344,481 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22,085,712 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attributable to partners</w:t>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24,424,898 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22,165,216 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42,703,059 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September 30, 2023 and December 31, 2022, our Investments in leases - sales-type, Investments in leases - financing receivables, Investments in loans and securities, and Other assets (sales-type sub-leases) are net of allowance for credit losses of $755.4 million, $707.0 million, $22.8 million and $19.3 million, respectively, and $570.4 million, $726.7 million, $6.9 million and $19.8 million, respectively. Refer to </w:t>
      </w:r>
      <w:hyperlink w:anchor="ie1960b1d976b4148b3d478b9e76c8e4e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493"/>
        <w:gridCol w:w="1170"/>
        <w:gridCol w:w="1182"/>
        <w:gridCol w:w="271"/>
        <w:gridCol w:w="1065"/>
        <w:gridCol w:w="109"/>
        <w:gridCol w:w="109"/>
        <w:gridCol w:w="109"/>
        <w:gridCol w:w="109"/>
        <w:gridCol w:w="211"/>
        <w:gridCol w:w="826"/>
        <w:gridCol w:w="109"/>
        <w:gridCol w:w="109"/>
        <w:gridCol w:w="109"/>
        <w:gridCol w:w="109"/>
        <w:gridCol w:w="237"/>
        <w:gridCol w:w="1099"/>
        <w:gridCol w:w="109"/>
        <w:gridCol w:w="109"/>
        <w:gridCol w:w="109"/>
        <w:gridCol w:w="109"/>
        <w:gridCol w:w="211"/>
        <w:gridCol w:w="976"/>
        <w:gridCol w:w="156"/>
      </w:tblGrid>
      <w:tr>
        <w:trPr/>
        <w:tc>
          <w:tcPr>
            <w:tcW w:w="149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974,805,019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855,783,910</w:t>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976,365,713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857,767,590</w:t>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12,010,698 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15,198,823 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15,387,426 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6,949,119 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21,712,517 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197,275 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21,988,725 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21,669,219 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191,238 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21,939,027 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23,720,576 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23,974,225 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24,158,382 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186,099 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80,417 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24,424,898 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181" w:type="dxa"/>
        <w:jc w:val="left"/>
        <w:tblInd w:w="0" w:type="dxa"/>
        <w:tblLayout w:type="fixed"/>
        <w:tblCellMar>
          <w:top w:w="28" w:type="dxa"/>
          <w:left w:w="28" w:type="dxa"/>
          <w:bottom w:w="28" w:type="dxa"/>
          <w:right w:w="28" w:type="dxa"/>
        </w:tblCellMar>
      </w:tblPr>
      <w:tblGrid>
        <w:gridCol w:w="2654"/>
        <w:gridCol w:w="2336"/>
        <w:gridCol w:w="2344"/>
        <w:gridCol w:w="213"/>
        <w:gridCol w:w="988"/>
        <w:gridCol w:w="110"/>
        <w:gridCol w:w="110"/>
        <w:gridCol w:w="110"/>
        <w:gridCol w:w="110"/>
        <w:gridCol w:w="213"/>
        <w:gridCol w:w="837"/>
        <w:gridCol w:w="156"/>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(8,888,005)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007" w:type="dxa"/>
        <w:jc w:val="left"/>
        <w:tblInd w:w="0" w:type="dxa"/>
        <w:tblLayout w:type="fixed"/>
        <w:tblCellMar>
          <w:top w:w="28" w:type="dxa"/>
          <w:left w:w="28" w:type="dxa"/>
          <w:bottom w:w="28" w:type="dxa"/>
          <w:right w:w="28" w:type="dxa"/>
        </w:tblCellMar>
      </w:tblPr>
      <w:tblGrid>
        <w:gridCol w:w="2291"/>
        <w:gridCol w:w="2017"/>
        <w:gridCol w:w="2022"/>
        <w:gridCol w:w="213"/>
        <w:gridCol w:w="837"/>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Apollo” refers to Apollo Global Management, Inc., a Delaware corporation, and, as the context requires, certain of its subsidiaries and affiliates.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refers to Caesars Entertainment, Inc., a Delaware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Las Vegas Master Lease” refers to the lease agreement for Caesars Palace Las Vegas and the Harrah’s Las Vegas facilities,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Leases” refer collectively to the Caesars Las Vegas Master Lease, the Caesars Regional Master Lease and the Joliet Lease, in each case, unless the context otherwise requires.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Regional Master Lease” refers to the lease agreement for the regional properties (other than the facility in Joliet, Illinois) leased to Caesars,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Century Canadian Portfolio” refers to the real estate assets of (i) Century Casino &amp; Hotel Edmonton located in Edmonton, Alberta, (ii) Century Casino St. Albert located in Edmonton, Alberta, (iii) Century Mile Racetrack and Casino located in Edmonton, Alberta and (iv) Century Downs Racetrack and Casino located in Calgary, Alberta.</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Century Casinos” refers to Century Casinos, Inc., a Delaware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Century Master Lease” refers to the lease agreement for the (i) Mountaineer Casino, Racetrack &amp; Resort located in New Cumberland, West Virginia, (ii) Century Casino Caruthersville located in Caruthersville, Missouri, (iii) Century Casino Cape Girardeau located in Cape Girardeau, Missouri, (iv) Rocky Gap Casino Resort located in Flintstone, Maryland and (v) the Century Canadian Portfolio, as amended from time to time.</w:t>
      </w:r>
    </w:p>
    <w:p>
      <w:pPr>
        <w:pStyle w:val="TextBody"/>
        <w:bidi w:val="0"/>
        <w:spacing w:lineRule="auto" w:line="288" w:before="120" w:after="283"/>
        <w:jc w:val="both"/>
        <w:rPr/>
      </w:pPr>
      <w:r>
        <w:rPr>
          <w:color w:val="000000"/>
        </w:rPr>
        <w:t>“</w:t>
      </w:r>
      <w:r>
        <w:rPr>
          <w:rFonts w:ascii="Times New Roman;sans-serif" w:hAnsi="Times New Roman;sans-serif"/>
          <w:b w:val="false"/>
          <w:i/>
          <w:color w:val="000000"/>
          <w:sz w:val="20"/>
        </w:rPr>
        <w:t>CNB” refers to Cherokee Nation Businesses, L.L.C., and, as the context requires, its subsidiaries.</w:t>
      </w:r>
      <w:r>
        <w:rPr>
          <w:color w:val="000000"/>
        </w:rPr>
        <w:t xml:space="preserv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Co-Issuer” refers to VICI Note Co. Inc., a Delaware corporation, and co-issuer of the November 2019 Notes, February 2020 Notes and Exchange Notes. </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Credit Agreement” refers to the Credit Agreement, dated as of February 8, 2022, by and among VICI LP, the lenders from time to time party thereto, and JPMorgan Chase Bank, N.A., as administrative agent,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Delayed Draw Term Loan” refers to the three-year unsecured delayed draw term loan facility of VICI LP provided under the Credit Agreement entered into in February 2022, which expired undrawn in accordance with its terms on February 8, 2023.</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EBCI” refers to the Eastern Band of Cherokee Indians, a federally recognized Tribe located in western North Carolina, and, as the context requires, its subsidiary and affiliate entities.</w:t>
      </w:r>
    </w:p>
    <w:p>
      <w:pPr>
        <w:pStyle w:val="TextBody"/>
        <w:bidi w:val="0"/>
        <w:spacing w:lineRule="auto" w:line="288" w:before="120" w:after="283"/>
        <w:jc w:val="both"/>
        <w:rPr/>
      </w:pPr>
      <w:r>
        <w:rPr>
          <w:color w:val="000000"/>
        </w:rPr>
        <w:t>“</w:t>
      </w:r>
      <w:r>
        <w:rPr>
          <w:rFonts w:ascii="Times New Roman;sans-serif" w:hAnsi="Times New Roman;sans-serif"/>
          <w:b w:val="false"/>
          <w:i/>
          <w:color w:val="000000"/>
          <w:sz w:val="20"/>
        </w:rPr>
        <w:t xml:space="preserve">Exchange Notes” refer collectively to (i) </w:t>
      </w:r>
      <w:r>
        <w:rPr>
          <w:rFonts w:ascii="Times New Roman;sans-serif" w:hAnsi="Times New Roman;sans-serif"/>
          <w:b w:val="false"/>
          <w:i/>
          <w:color w:val="000000"/>
          <w:sz w:val="20"/>
          <w:shd w:fill="FFFFFF" w:val="clear"/>
        </w:rPr>
        <w:t xml:space="preserve">the </w:t>
      </w:r>
      <w:r>
        <w:rPr>
          <w:rFonts w:ascii="Times New Roman;sans-serif" w:hAnsi="Times New Roman;sans-serif"/>
          <w:b w:val="false"/>
          <w:i/>
          <w:color w:val="000000"/>
          <w:sz w:val="20"/>
        </w:rPr>
        <w:t>$1,024.2 million</w:t>
      </w:r>
      <w:r>
        <w:rPr>
          <w:color w:val="000000"/>
          <w:shd w:fill="FFFFFF" w:val="clear"/>
        </w:rPr>
        <w:t xml:space="preserve"> </w:t>
      </w:r>
      <w:r>
        <w:rPr>
          <w:rFonts w:ascii="Times New Roman;sans-serif" w:hAnsi="Times New Roman;sans-serif"/>
          <w:b w:val="false"/>
          <w:i/>
          <w:color w:val="000000"/>
          <w:sz w:val="20"/>
          <w:shd w:fill="FFFFFF" w:val="clear"/>
        </w:rPr>
        <w:t xml:space="preserve">aggregate principal amount of </w:t>
      </w:r>
      <w:r>
        <w:rPr>
          <w:rFonts w:ascii="Times New Roman;sans-serif" w:hAnsi="Times New Roman;sans-serif"/>
          <w:b w:val="false"/>
          <w:i/>
          <w:color w:val="000000"/>
          <w:sz w:val="20"/>
        </w:rPr>
        <w:t>5.625% senior unsecured notes due 2024, (ii) the</w:t>
      </w:r>
      <w:r>
        <w:rPr>
          <w:color w:val="000000"/>
          <w:shd w:fill="FFFFFF" w:val="clear"/>
        </w:rPr>
        <w:t xml:space="preserve"> </w:t>
      </w:r>
      <w:r>
        <w:rPr>
          <w:rFonts w:ascii="Times New Roman;sans-serif" w:hAnsi="Times New Roman;sans-serif"/>
          <w:b w:val="false"/>
          <w:i/>
          <w:color w:val="000000"/>
          <w:sz w:val="20"/>
        </w:rPr>
        <w:t>$799.4 million</w:t>
      </w:r>
      <w:r>
        <w:rPr>
          <w:color w:val="000000"/>
          <w:shd w:fill="FFFFFF" w:val="clear"/>
        </w:rPr>
        <w:t xml:space="preserve"> </w:t>
      </w:r>
      <w:r>
        <w:rPr>
          <w:rFonts w:ascii="Times New Roman;sans-serif" w:hAnsi="Times New Roman;sans-serif"/>
          <w:b w:val="false"/>
          <w:i/>
          <w:color w:val="000000"/>
          <w:sz w:val="20"/>
          <w:shd w:fill="FFFFFF" w:val="clear"/>
        </w:rPr>
        <w:t xml:space="preserve">aggregate principal amount of </w:t>
      </w:r>
      <w:r>
        <w:rPr>
          <w:rFonts w:ascii="Times New Roman;sans-serif" w:hAnsi="Times New Roman;sans-serif"/>
          <w:b w:val="false"/>
          <w:i/>
          <w:color w:val="000000"/>
          <w:sz w:val="20"/>
        </w:rPr>
        <w:t>4.625% senior unsecured notes due 2025, (iii) the</w:t>
      </w:r>
      <w:r>
        <w:rPr>
          <w:color w:val="000000"/>
          <w:shd w:fill="FFFFFF" w:val="clear"/>
        </w:rPr>
        <w:t xml:space="preserve"> </w:t>
      </w:r>
      <w:r>
        <w:rPr>
          <w:rFonts w:ascii="Times New Roman;sans-serif" w:hAnsi="Times New Roman;sans-serif"/>
          <w:b w:val="false"/>
          <w:i/>
          <w:color w:val="000000"/>
          <w:sz w:val="20"/>
        </w:rPr>
        <w:t>$480.5 million</w:t>
      </w:r>
      <w:r>
        <w:rPr>
          <w:color w:val="000000"/>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4.500% senior unsecured notes due 2026, (iv) the</w:t>
      </w:r>
      <w:r>
        <w:rPr>
          <w:color w:val="000000"/>
          <w:shd w:fill="FFFFFF" w:val="clear"/>
        </w:rPr>
        <w:t xml:space="preserve"> </w:t>
      </w:r>
      <w:r>
        <w:rPr>
          <w:rFonts w:ascii="Times New Roman;sans-serif" w:hAnsi="Times New Roman;sans-serif"/>
          <w:b w:val="false"/>
          <w:i/>
          <w:color w:val="000000"/>
          <w:sz w:val="20"/>
        </w:rPr>
        <w:t>$729.5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5.750% senior unsecured notes due 2027, (v) the</w:t>
      </w:r>
      <w:r>
        <w:rPr>
          <w:color w:val="000000"/>
          <w:shd w:fill="FFFFFF" w:val="clear"/>
        </w:rPr>
        <w:t xml:space="preserve"> </w:t>
      </w:r>
      <w:r>
        <w:rPr>
          <w:rFonts w:ascii="Times New Roman;sans-serif" w:hAnsi="Times New Roman;sans-serif"/>
          <w:b w:val="false"/>
          <w:i/>
          <w:color w:val="000000"/>
          <w:sz w:val="20"/>
        </w:rPr>
        <w:t>$349.3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4.500% senior unsecured notes due 2028, and (vi) the</w:t>
      </w:r>
      <w:r>
        <w:rPr>
          <w:color w:val="000000"/>
          <w:shd w:fill="FFFFFF" w:val="clear"/>
        </w:rPr>
        <w:t xml:space="preserve"> </w:t>
      </w:r>
      <w:r>
        <w:rPr>
          <w:rFonts w:ascii="Times New Roman;sans-serif" w:hAnsi="Times New Roman;sans-serif"/>
          <w:b w:val="false"/>
          <w:i/>
          <w:color w:val="000000"/>
          <w:sz w:val="20"/>
        </w:rPr>
        <w:t>$727.1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 xml:space="preserve">3.875% senior unsecured notes due 2029, in each case issued by VICI LP and Co-Issuer, in April 2022 pursuant to the Exchange Offers and Consent Solicitations (as defined herein).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February 2020 Notes” refer collectively to (i) the $750.0 million aggregate principal amount of 3.500% senior unsecured notes due 2025, (ii) the $750.0 million aggregate principal amount of 3.750% senior unsecured notes due 2027, and (iii)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$1.0 billion aggregate principal amount of 4.125% senior unsecured notes due 2030, in each case issued by VICI LP and Co-Issuer in February 2020.</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Forum Convention Center Mortgage Loan” refers to a $400.0 million mortgage loan agreement entered into on September 18, 2020 with Caesars for a term of five years and secured by, among other things, the Caesars Forum Convention Center in Las Vegas, which was repaid in full on May 1, 2023. In connection therewith, the Company’s call right under the put-call agreement relating to the Caesars Forum Convention Center was extended from December 31, 2026 to December 31, 2028.</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Gaming” refers to Foundation Gaming &amp; Entertainment, LLC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Master Lease” refers to the lease agreement for the Fitz Casino &amp; Hotel, located in Tunica, Mississippi, and the WaterView Casino &amp; Hotel, located in Vicksburg, Mississippi,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Gold Strike Lease” refers to the lease agreement with CNB for the Gold Strike Casino Resort, located in Tunica, Mississippi (“Gold Strike”),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Greektown Lease” refers to the lease agreement for the Greektown Casino-Hotel, located in Detroit, Michigan,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Hard Rock” means Hard Rock International, and, as the context requires, its subsidiary and affiliate entities.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Hard Rock Cincinnati Lease” refers to the lease agreement for the Hard Rock Cincinnati Casino, located in Cincinnati, Ohio,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JACK Entertainment” refers to JACK Ohio LLC, and, as the context requires, its subsidiary and affiliate entities.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JACK Master Lease” refers to the lease agreement for the JACK Cleveland Casino located in Cleveland, Ohio, and the JACK Thistledown Racino facility located in North Randall, Ohio,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Joliet Lease” refers to the lease agreement for the facility in Joliet, Illinois, as amended from time to time.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Lease Agreements” refer collectively to our leases with our respective tenants, unless the context otherwise requires.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Margaritaville Lease” refers to the lease agreement for Margaritaville Resort Casino, located in Bossier City, Louisiana,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refers to MGM Resorts International, a Delaware corporation, and, as the context requires, its subsidiaries.</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MGM Grand/Mandalay Bay JV” refers to a joint venture that holds the real estate assets of MGM Grand Las Vegas and Mandalay Bay, in which we hold a 100% ownership stake following our acquisition of the remaining 49.9% ownership stake from our former joint venture partner on January 9, 2023, as further described herein.</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Grand/Mandalay Bay Lease” refers to the lease agreement for MGM Grand Las Vegas and Mandalay Bay,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Leases” refer collectively to the MGM Master Lease and the MGM Grand/Mandalay Bay Lease, in each case, unless the context otherwise requires.</w:t>
      </w:r>
    </w:p>
    <w:p>
      <w:pPr>
        <w:pStyle w:val="TextBody"/>
        <w:bidi w:val="0"/>
        <w:spacing w:lineRule="auto" w:line="288" w:before="120" w:after="283"/>
        <w:jc w:val="both"/>
        <w:rPr/>
      </w:pPr>
      <w:r>
        <w:rPr>
          <w:color w:val="000000"/>
          <w:shd w:fill="FFFFFF" w:val="clear"/>
        </w:rPr>
        <w:t>“</w:t>
      </w:r>
      <w:r>
        <w:rPr>
          <w:rFonts w:ascii="Times New Roman;sans-serif" w:hAnsi="Times New Roman;sans-serif"/>
          <w:b w:val="false"/>
          <w:i/>
          <w:color w:val="000000"/>
          <w:sz w:val="20"/>
          <w:shd w:fill="FFFFFF" w:val="clear"/>
        </w:rPr>
        <w:t xml:space="preserve">MGM Master Lease” refers to the lease agreement for the properties leased to MGM, excluding those leased under the </w:t>
      </w:r>
      <w:r>
        <w:rPr>
          <w:rFonts w:ascii="Times New Roman;sans-serif" w:hAnsi="Times New Roman;sans-serif"/>
          <w:b w:val="false"/>
          <w:i/>
          <w:color w:val="000000"/>
          <w:sz w:val="20"/>
        </w:rPr>
        <w:t>MGM Grand/Mandalay Bay Lease,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refers to MGM Growth Properties LLC, a Delaware limited liability company, which was acquired by the Company on April 29, 2022,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Master Transaction Agreement” refers to that certain Master Transaction Agreement between the Company, MGP, MGP OP, VICI LP, REIT Merger Sub, VICI OP, and MGM entered into on August 4, 2021.</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OP” refers to MGM Growth Properties Operating Partnership LP, a Delaware limited partnership, which was acquired by the Company on April 29, 2022, and, as the context requires, its subsidiaries.</w:t>
      </w:r>
    </w:p>
    <w:p>
      <w:pPr>
        <w:pStyle w:val="TextBody"/>
        <w:bidi w:val="0"/>
        <w:spacing w:lineRule="auto" w:line="288" w:before="120" w:after="283"/>
        <w:jc w:val="both"/>
        <w:rPr/>
      </w:pPr>
      <w:r>
        <w:rPr>
          <w:color w:val="000000"/>
          <w:shd w:fill="FFFFFF" w:val="clear"/>
        </w:rPr>
        <w:t>“</w:t>
      </w:r>
      <w:r>
        <w:rPr>
          <w:rFonts w:ascii="Times New Roman;sans-serif" w:hAnsi="Times New Roman;sans-serif"/>
          <w:b w:val="false"/>
          <w:i/>
          <w:color w:val="000000"/>
          <w:sz w:val="20"/>
          <w:shd w:fill="FFFFFF" w:val="clear"/>
        </w:rPr>
        <w:t xml:space="preserve">MGP OP Notes” refer collectively to the notes </w:t>
      </w:r>
      <w:r>
        <w:rPr>
          <w:rFonts w:ascii="Times New Roman;sans-serif" w:hAnsi="Times New Roman;sans-serif"/>
          <w:b w:val="false"/>
          <w:i/>
          <w:color w:val="000000"/>
          <w:sz w:val="20"/>
        </w:rPr>
        <w:t>issued by MGP OP and MGP Finance Co-Issuer, Inc. (“MGP Co-Issuer” and, together with MGP OP, the “MGP Issuers”), consisting of</w:t>
      </w:r>
      <w:r>
        <w:rPr>
          <w:color w:val="000000"/>
          <w:shd w:fill="FFFFFF" w:val="clear"/>
        </w:rPr>
        <w:t xml:space="preserve"> </w:t>
      </w:r>
      <w:r>
        <w:rPr>
          <w:rFonts w:ascii="Times New Roman;sans-serif" w:hAnsi="Times New Roman;sans-serif"/>
          <w:b w:val="false"/>
          <w:i/>
          <w:color w:val="000000"/>
          <w:sz w:val="20"/>
          <w:shd w:fill="FFFFFF" w:val="clear"/>
        </w:rPr>
        <w:t xml:space="preserve">(i) the </w:t>
      </w:r>
      <w:r>
        <w:rPr>
          <w:rFonts w:ascii="Times New Roman;sans-serif" w:hAnsi="Times New Roman;sans-serif"/>
          <w:b w:val="false"/>
          <w:i/>
          <w:color w:val="000000"/>
          <w:sz w:val="20"/>
        </w:rPr>
        <w:t xml:space="preserve">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indenture, dated as of November 19, 2020, in each case, as amended or supplemented as of the date hereof, among the MGP Issuers and U.S. Bank National Association, as trustee (the “MGP Trustee”). </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MGP Transactions” refer collectively to a series of transactions pursuant to the MGP Master Transaction Agreement in connection with our acquisition of MGP on April 29, 2022, as contemplated by the MGP Master Transaction Agreement, including the tax protection agreement with MGM and the MGM Master Lease.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Mirage Lease” refers to the lease agreement with Hard Rock for the Mirage, located in Las Vegas, Nevada,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November 2019 Notes” refer collectively to (i) the $1.25 billion aggregate principal amount of 4.250% senior unsecured notes due 2026, and (ii) the $1.0 billion aggregate principal amount of 4.625% senior unsecured notes due 2029, in each case issued by the VICI Issuers in November 2019.</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refers to PENN Entertainment, Inc., a Pennsylvania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Leases” refer collectively to the Margaritaville Lease and the Greektown Lease, unless the context otherwise requires.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PURE Canadian Gaming” refers to PURE Canadian Gaming, Corp., an Alberta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PURE Master Lease” refers to the lease agreement for the (i) PURE Casino Edmonton located in Edmonton, Alberta, (ii) PURE Casino Yellowhead located in Edmonton, Alberta, (iii) PURE Casino Calgary located in Calgary, Alberta and (iv) PURE Casino Lethbridge located in Lethbridge, Alberta (collectively, the “PURE Portfolio”),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Revolving Credit Facility” refers to the four-year unsecured revolving credit facility of VICI LP provided under the Credit Agreement entered into in February 2022, as amended from time to time.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Seminole Hard Rock” refers to Seminole Hard Rock Entertainment, Inc.</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Senior Unsecured Notes” refer collectively to the November 2019 Notes, the February 2020 Notes, the April 2022 Notes, the Exchange Notes and the MGP OP Notes.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Southern Indiana Lease” refers to the lease agreement with EBCI for the Caesars Southern Indiana Casino and Hotel, located in Elizabeth, Indiana (“Caesars Southern Indiana”),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Acquisition” refers to our acquisition of the Venetian Resort, with Apollo, which closed on February 23, 2022.</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Lease” refers to the lease agreement for the Venetian Resort Las Vegas and Venetian Convention &amp; Expo Center, located in Las Vegas, Nevada (the “Venetian Resort”),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Tenant” refers to an affiliate of certain funds managed by affiliates of Apollo.</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Golf” refers to VICI Golf LLC, a Delaware limited liability company that is the owner of our golf business.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Issuers” refer to VICI LP and VICI Note Co. Inc., a Delaware corporation.</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LP” refers to VICI Properties L.P., a Delaware limited partnership and a wholly owned subsidiary of VICI OP.</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refers to VICI Properties OP LLC, a Delaware limited liability company and a consolidated subsidiary of VICI, which serves as our operating partnership.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Units” refer to limited liability company interests in VICI OP.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PropCo” refers to VICI Properties 1 LLC, a Delaware limited liability company and an indirect wholly owned subsidiary of VICI.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engaged in the business of owning and acquiring gaming, hospitality and entertainment destinations, subject to long-term triple-net leases. As of September 30, 2023, our geographically diverse real estate portfolio consisted of 54 gaming facilities in the United States and Canada, including Caesars Palace Las Vegas, MGM Grand and the Venetian Resort. Our properties are leased to, and our tenants are, subsidiaries of, or entities managed by, Apollo, Caesars, Century Casinos, CNB, EBCI, Foundation Gaming, JACK Entertainment, MGM, PENN Entertainment, PURE Canadian Gaming and Seminole Hard Rock, with Caesars and MGM being our largest tenants. VICI also owns four championship golf courses which are managed by CDN Golf Management Inc., and are located near certain of our properties. Subsequent to quarter-end, we also acquired the land and real estate assets of 38 bowling entertainment centers across the United States from Bowlero Corp. (“Bowlero”) in a sale leaseback transaction and entered into a long-term triple-net master lease with Bowlero with respect to such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 owned taxable REIT subsidiary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(consisting of normal recurring accruals) considered necessary for a fair statement of results for the interim period have been included.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nine months ended September 30, 2023 are not necessarily indicative of the results that may be expected for the year ending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non-controlling interests and classify such interests as a component of consolidated stockholders’ equity or partners’ capital, separate from VICI stockholders’ equity and VICI LP partners’ capital. As of September 30, 2023, VICI’s non-controlling interests represent an approximate 1.2% third-party ownership of VICI OP in the form of VICI OP Units and a 20% third-party ownership of Harrah’s Joliet LandCo LLC, the entity that owns the Harrah’s Joliet facility and is the lessor under the related Joliet Lease. As VICI OP is a parent entity of VICI LP, VICI LP’s only non-controlling interest is that of third-party ownership of Harrah’s Joliet LandCo LLC.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Any investments with an original maturity of three months or less from the date of purchase are considered cash equivalents and are carried at cost, which approximates fair value. As of September 30, 2023 and December 31, 2022,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$217.3 million of short-term investments as of December 31, 2022. We did not have any short-term investments as of September 30,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bidi w:val="0"/>
        <w:spacing w:lineRule="auto" w:line="288" w:before="180" w:after="283"/>
        <w:jc w:val="both"/>
        <w:rPr/>
      </w:pPr>
      <w:r>
        <w:rPr>
          <w:rFonts w:ascii="Times New Roman;sans-serif" w:hAnsi="Times New Roman;sans-serif"/>
          <w:b w:val="false"/>
          <w:color w:val="000000"/>
          <w:sz w:val="20"/>
        </w:rPr>
        <w:t xml:space="preserve">We assess all of our property acquisitions under ASC 805 -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pPr>
      <w:r>
        <w:rPr>
          <w:rFonts w:ascii="Times New Roman;sans-serif" w:hAnsi="Times New Roman;sans-serif"/>
          <w:b w:val="false"/>
          <w:color w:val="000000"/>
          <w:sz w:val="20"/>
        </w:rPr>
        <w:t xml:space="preserve">We allocate the purchase price to the identifiable assets acquired and liabilities assumed, as applicable, using their relative fair value. Generally, with the exception of the MGP Transactions and the MGM Grand/Mandalay Bay JV Interest Acquisition (each as further described in </w:t>
      </w:r>
      <w:hyperlink w:anchor="ie1960b1d976b4148b3d478b9e76c8e4e_5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 xml:space="preserve">), our acquisitions consist of properties without existing leases or debt and, accordingly, the assets acquired are comprised of land, building and site improvements.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land and building components of all of the Caesars Leases (excluding the Harrah’s New Orleans, Harrah’s Laughlin and Harrah’s Atlantic City component (the “Harrah’s Call Properties”) of the Caesars Regional Master Lease), Century Master Lease (excluding the Century Canadian Portfolio component), Hard Rock Cincinnati Lease, MGM Grand/Mandalay Bay Lease, PENN Entertainment Leases, Southern Indiana Lease and Venetian Lease meet the definition of a sales-type lease under ASC 842.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88" w:before="180" w:after="283"/>
        <w:jc w:val="both"/>
        <w:rPr/>
      </w:pPr>
      <w:r>
        <w:rPr>
          <w:rFonts w:ascii="Times New Roman;sans-serif" w:hAnsi="Times New Roman;sans-serif"/>
          <w:b w:val="false"/>
          <w:color w:val="000000"/>
          <w:sz w:val="20"/>
        </w:rPr>
        <w:t xml:space="preserve">We determined that the land and building components of the Foundation Master Lease, Harrah’s Call Properties components of the Caesars Regional Master Lease, Gold Strike Lease, JACK Master Lease, MGM Master Lease, Mirage Lease, PURE Master Lease and the Century Canadian Portfolio component of the Century Master Lease meet the definition of a sales-type lease </w:t>
      </w:r>
      <w:r>
        <w:rPr>
          <w:rFonts w:ascii="Times New Roman;sans-serif" w:hAnsi="Times New Roman;sans-serif"/>
          <w:b w:val="false"/>
          <w:color w:val="000000"/>
          <w:sz w:val="20"/>
          <w:shd w:fill="FFFFFF" w:val="clear"/>
        </w:rPr>
        <w:t xml:space="preserve">and, since we purchased and leased the assets back to the sellers under sale leaseback transactions, control is not considered to have transferred to us under GAAP. Accordingly, such leases are accounted for as Investments in leases - financing receivables on our Balance Sheet, net of allowance for credit losses, in accordance with ASC 310.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use a discounted cash flow model to estimate the allowance for credit losses, or CECL allowance for our Investments in leases - sales-type, Investments in leases - financing receivables and certain of our loans and securities, which comprise the substantial majority of our CECL allowance. This model requires us to develop cash flows which project estimated credit losses over the life of the lease, loan or security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Charge-offs are deducted from the allowance in the period in which they are deemed uncollectible. Recoveries previously written off are recorded when received. There were no charge-offs or recoveries for the three and nine months ended September 30, 2023 and 2022.</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e1960b1d976b4148b3d478b9e76c8e4e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pPr>
      <w:r>
        <w:rPr>
          <w:rFonts w:ascii="Times New Roman;sans-serif" w:hAnsi="Times New Roman;sans-serif"/>
          <w:b w:val="false"/>
          <w:color w:val="000000"/>
          <w:sz w:val="20"/>
        </w:rPr>
        <w:t xml:space="preserve">Our investments in the PURE Portfolio and Century Canadian Portfolio (as defined in </w:t>
      </w:r>
      <w:hyperlink w:anchor="ie1960b1d976b4148b3d478b9e76c8e4e_58">
        <w:r>
          <w:rPr>
            <w:rStyle w:val="InternetLink"/>
            <w:rFonts w:ascii="Times New Roman;sans-serif" w:hAnsi="Times New Roman;sans-serif"/>
            <w:b w:val="false"/>
            <w:color w:val="000080"/>
            <w:sz w:val="20"/>
            <w:u w:val="single"/>
          </w:rPr>
          <w:t xml:space="preserve">Note 3 - </w:t>
        </w:r>
      </w:hyperlink>
      <w:hyperlink w:anchor="ie1960b1d976b4148b3d478b9e76c8e4e_58">
        <w:r>
          <w:rPr>
            <w:rStyle w:val="InternetLink"/>
            <w:rFonts w:ascii="Times New Roman;sans-serif" w:hAnsi="Times New Roman;sans-serif"/>
            <w:b w:val="false"/>
            <w:color w:val="000080"/>
            <w:sz w:val="20"/>
            <w:u w:val="single"/>
          </w:rPr>
          <w:t>Real Estate Transactions</w:t>
        </w:r>
      </w:hyperlink>
      <w:r>
        <w:rPr>
          <w:rFonts w:ascii="Times New Roman;sans-serif" w:hAnsi="Times New Roman;sans-serif"/>
          <w:b w:val="false"/>
          <w:color w:val="000000"/>
          <w:sz w:val="20"/>
        </w:rPr>
        <w:t>) are denominated in Canadian Dollars (“CAD” or “C$”), and accordingly, we translate the financial statements of the subsidiaries that own the PURE Portfolio and Century Canadian Portfolio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CAD, which is not our and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e1960b1d976b4148b3d478b9e76c8e4e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are the guarantors of all the lease payment obligations of the tenants under the applicable leases of the properties that they each respectively lease from us. Revenue from the Caesars Leases represented 37% of our lease revenues for each of the three and nine months ended September 30, 2023 and 39% and 49% of our lease revenues for the three and nine months ended September 30, 2022, respectively. Revenue from the MGM Leases represented 39% of our lease revenues for each of the three and nine months ended September 30, 2023 and 43% and 30% of our lease revenues for the three and nine months ended September 30, 2022, respectively. Additionally, our properties on the Las Vegas Strip generated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49% of our lease revenues for each of the three and nine months ended September 30, 2023, and 47% and 45% of our lease revenues for the three and nine months ended September 30, 2022, respectively. Other than having two tenants from which we derive and will continue to derive a substantial portion of our revenue and our concentration in the Las Vegas market, we do not believe there are any other significant concentrations of credit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Property Acquisitions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Bowlero Transaction</w:t>
      </w:r>
    </w:p>
    <w:p>
      <w:pPr>
        <w:pStyle w:val="TextBody"/>
        <w:bidi w:val="0"/>
        <w:spacing w:lineRule="auto" w:line="288" w:before="180" w:after="283"/>
        <w:jc w:val="both"/>
        <w:rPr/>
      </w:pPr>
      <w:r>
        <w:rPr>
          <w:rFonts w:ascii="Times New Roman;sans-serif" w:hAnsi="Times New Roman;sans-serif"/>
          <w:b w:val="false"/>
          <w:color w:val="000000"/>
          <w:sz w:val="20"/>
        </w:rPr>
        <w:t xml:space="preserve">Subsequent to quarter-end, on October 19, 2023, we entered the family entertainment sector by acquiring the real estate assets of 38 bowling entertainment centers (the “Bowlero Portfolio”) from Bowlero in a sale-leaseback transaction for an aggregate purchase price of $432.9 million (the “Bowlero Transaction”). We financed the Bowlero Transaction through a combination of units in a newly formed VICI subsidiary issued to Bowlero, cash on hand, and a portion of proceeds from the settlement of the remaining shares under the January 2023 Forward Sale Agreements (as defined in </w:t>
      </w:r>
      <w:hyperlink w:anchor="ie1960b1d976b4148b3d478b9e76c8e4e_82">
        <w:r>
          <w:rPr>
            <w:rStyle w:val="InternetLink"/>
            <w:rFonts w:ascii="Times New Roman;sans-serif" w:hAnsi="Times New Roman;sans-serif"/>
            <w:b w:val="false"/>
            <w:color w:val="000080"/>
            <w:sz w:val="20"/>
            <w:u w:val="single"/>
          </w:rPr>
          <w:t>Note 11 - Stockholders</w:t>
        </w:r>
      </w:hyperlink>
      <w:hyperlink w:anchor="ie1960b1d976b4148b3d478b9e76c8e4e_82">
        <w:r>
          <w:rPr>
            <w:rStyle w:val="InternetLink"/>
            <w:rFonts w:ascii="Times New Roman;sans-serif" w:hAnsi="Times New Roman;sans-serif"/>
            <w:b w:val="false"/>
            <w:color w:val="000080"/>
            <w:sz w:val="20"/>
            <w:u w:val="single"/>
          </w:rPr>
          <w:t>’</w:t>
        </w:r>
      </w:hyperlink>
      <w:hyperlink w:anchor="ie1960b1d976b4148b3d478b9e76c8e4e_82">
        <w:r>
          <w:rPr>
            <w:rStyle w:val="InternetLink"/>
            <w:rFonts w:ascii="Times New Roman;sans-serif" w:hAnsi="Times New Roman;sans-serif"/>
            <w:b w:val="false"/>
            <w:color w:val="000080"/>
            <w:sz w:val="20"/>
            <w:u w:val="single"/>
          </w:rPr>
          <w:t xml:space="preserve"> Equity</w:t>
        </w:r>
      </w:hyperlink>
      <w:r>
        <w:rPr>
          <w:rFonts w:ascii="Times New Roman;sans-serif" w:hAnsi="Times New Roman;sans-serif"/>
          <w:b w:val="false"/>
          <w:color w:val="000000"/>
          <w:sz w:val="20"/>
        </w:rPr>
        <w:t>). Simultaneous with the closing of the Bowlero Transaction, we entered into a triple-net master lease agreement with Bowlero (the “Bowlero Master Lease”). The Bowlero Master Lease has an initial total annual rent of $31.6 million and an initial term of 25 years, with six 5-year tenant renewal options. Rent under the Bowlero Master Lease will escalate at the greater of 2.0% or CPI (subject to a 2.5% ceiling). The tenant’s obligations under the lease are guaranteed by Bowlero. Additionally, the Bowlero Master Lease contains a right of first offer provision under which, for a term of eight years, we have the right to acquire the real estate assets of any current or future Bowlero properties in the event that Bowlero elects to enter into a sale-leaseback transaction.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Century Canadian Portfolio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6, 2023, we closed on the previously announced acquisition of the Century Canadian Portfolio from Century Casinos for an aggregate purchase price of C$221.7 million (approximately US$162.5 million based on the exchange rate at the time of the acquisition) (the “Century Canadian Portfolio Transaction”). We financed the Century Canadian Portfolio Transaction with a combination of cash on hand, proceeds from the partial settlement of forward equity sale agreements and a C$75.0 million (approximately US$55.0 million based on the exchange rate at the time of the acquisition) draw under our Revolving Credit Facility. Simultaneous with the closing of the transaction, the Century Canadian Portfolio was added to the Century Master Lease and annual rent increased by C$17.3 million (approximately US$12.7 million based on the exchange rate at the time of the acquisition). Additionally, the term of the Century Master Lease was extended such that, upon closing of the transaction, the lease has a full 15-year initial base lease term, with three 5-year tenant renewal options. Century Casinos previously exercised one 5-year tenant renewal option. The tenants’ obligations under the Century Master Lease continue to be guaranteed by Century Casinos.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Century Canadian Portfolio component of the Century Master Lease meets the definition of a separate contract under ASC 842. In accordance with this guidance, we are required to separately assess the lease classification apart from the other assets in the Century Master Lease. Accordingly, we determined that the Century Canadian Portfolio Transaction should be accounted for as an asset acquisition under ASC 805-50 and further, that the land and building components of the Century Canadian Portfolio under the Century Master Lease meet the definition of a sales-type lease. Since we purchased and leased the assets back to the seller under a sale leaseback transaction, control is not considered to have transferred to us under GAAP. Accordingly, the Century Canadian Portfolio under the Century Master Lease is accounted for as Investments in leases – financing receivables on our Balance Sheet, net of an initial allowance for estimated credit losses in the amount of $16.9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Rocky Gap Casino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we closed on the previously announced acquisition of the leasehold interest in the land and buildings associated with Rocky Gap Casino Resort, located in Flintstone, Maryland (“Rocky Gap Casino”) with Century Casinos, from Golden Entertainment, Inc. for an aggregate purchase price of $260.0 million (the “Rocky Gap Casino Transaction”). Pursuant to the transaction agreements, we acquired the leasehold interest in the land and buildings associated with the Rocky Gap Casino for approximately $203.9 million and Century Casinos acquired the operating assets of the property for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$56.1 million. Simultaneous with the closing of the transaction, the Century Master Lease was amended to include Rocky Gap Casino, and annual rent under the Century Master Lease increased by $15.5 million. Additionally, the term of the Century Master Lease was extended such that, upon closing of the transaction, the lease has a full 15-year initial base lease term remaining. Century Casinos previously exercised one 5-year tenant renewal option and three additional 5-year tenant renewal options are remaining. The tenants’ obligations under the Century Master Lease continue to be guaranteed by Century Casinos.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Rocky Gap Casino component of the Century Master Lease meets the definition of a separate contract under ASC 842. In accordance with this guidance, we are required to separately assess the lease classification apart from the other assets in the Century Maser Lease. We determined that the Rocky Gap Casino Transaction should be accounted for as an asset acquisition under ASC 805-50 and further, that the land and building components of Rocky Gap Casino under the Century Master Lease meet the definition of a sales-type lease and accordingly is accounted for as Investments in leases – sales-type on our Balance Sheet, net of an initial allowance for estimated credit losses in the amount of $15.0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MGM Grand/Mandalay Bay JV Interest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we closed on the previously announced acquisition of the remaining 49.9% interest in the MGM Grand/Mandalay Bay JV from Blackstone Real Estate Income Trust, Inc. (“BREIT”) for cash consideration of $1,261.9 million (the “MGM Grand/Mandalay Bay JV Interest Acquisition”).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ten-year tenant renewal options. Rent under the MGM Grand/Mandalay Bay Lease escalates annually at 2.0% through 2035 (year 15 of the initial lease term) and thereafter at the greater of 2.0% or the Consumer Price Index (“CPI”) (subject to a 3.0% ceiling). As of December 31, 2022, the MGM Grand/Mandalay Bay JV was accounted for as an equity method investment under the voting interest model within Investment in unconsolidated affiliate on our Balance Sheets.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closing of the MGM Grand/Mandalay Bay JV Interest Acquisition, as a result of acquiring full ownership, we consolidated the joint venture and determined that the consolidation should be accounted for as an asset acquisition under ASC 805-50. In application of the asset acquisition guidance, we retained the prior cost basis of our 50.1% interest, which we previously acquired in connection with the MGP Transaction, and combined such basis to the purchase price of the MGM Grand/Mandalay Bay JV Interest Acquisition.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net assets acquired upon consolidation of the MGM Grand/Mandalay Bay JV:</w:t>
      </w:r>
    </w:p>
    <w:tbl>
      <w:tblPr>
        <w:tblW w:w="9032" w:type="dxa"/>
        <w:jc w:val="left"/>
        <w:tblInd w:w="0" w:type="dxa"/>
        <w:tblLayout w:type="fixed"/>
        <w:tblCellMar>
          <w:top w:w="28" w:type="dxa"/>
          <w:left w:w="28" w:type="dxa"/>
          <w:bottom w:w="28" w:type="dxa"/>
          <w:right w:w="28" w:type="dxa"/>
        </w:tblCellMar>
      </w:tblPr>
      <w:tblGrid>
        <w:gridCol w:w="2663"/>
        <w:gridCol w:w="2344"/>
        <w:gridCol w:w="2357"/>
        <w:gridCol w:w="109"/>
        <w:gridCol w:w="109"/>
        <w:gridCol w:w="109"/>
        <w:gridCol w:w="211"/>
        <w:gridCol w:w="976"/>
        <w:gridCol w:w="154"/>
      </w:tblGrid>
      <w:tr>
        <w:trPr/>
        <w:tc>
          <w:tcPr>
            <w:tcW w:w="266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prior 50.1% interest acquired in connection with the MGP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for MGM Grand/Mandalay Bay JV Interest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net assets acquired by major categories of assets acquired and liabilities assumed using relative fair value. The following is a summary of the allocated relative fair values of the assets acquired and liabilities assumed in the consolidation of the MGM Grand/Mandalay Bay JV:</w:t>
      </w:r>
    </w:p>
    <w:tbl>
      <w:tblPr>
        <w:tblW w:w="5193" w:type="dxa"/>
        <w:jc w:val="left"/>
        <w:tblInd w:w="0" w:type="dxa"/>
        <w:tblLayout w:type="fixed"/>
        <w:tblCellMar>
          <w:top w:w="28" w:type="dxa"/>
          <w:left w:w="28" w:type="dxa"/>
          <w:bottom w:w="28" w:type="dxa"/>
          <w:right w:w="28" w:type="dxa"/>
        </w:tblCellMar>
      </w:tblPr>
      <w:tblGrid>
        <w:gridCol w:w="1277"/>
        <w:gridCol w:w="1123"/>
        <w:gridCol w:w="1125"/>
        <w:gridCol w:w="109"/>
        <w:gridCol w:w="109"/>
        <w:gridCol w:w="109"/>
        <w:gridCol w:w="211"/>
        <w:gridCol w:w="97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their current carrying value, which is equal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the fair value of the $3.0 billion principal amount of CMBS debt as of January 9, 2023, which was estimated as a $252.1 million discount to principal value. The fair value of the debt was estimated by modeling the contractual cash flows and discounting them back to the present value using an estimated market yield. Additionally, we considered current market rates and conditions by evaluating similar borrowing agreements with comparable loan-to-value ratios and credit profiles. The inputs used in determining the fair value measurement are considered Level 3 of the fair value hierarchy.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closing of the MGM Grand/Mandalay Bay JV Interest Acquisition and consolidation of the MGM Grand/Mandalay Bay Lease, we assessed the lease classification of the MGM Grand/Mandalay Bay Lease and determined that it met the definition of a sales-type lease. Accordingly, the relative fair value of the MGM Grand/Mandalay Bay Lease of $5.5 billion was recorded as an Investment in leases – sales-type on our Balance Sheet, net of an initial allowance for estimated credit losses in the amount of $210.0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PURE Canadian Gaming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we acquired the real estate assets of PURE Casino Edmonton, PURE Casino Yellowhead, PURE Casino Calgary, and PURE Casino Lethbridge, all of which are located in Alberta, Canada, from PURE Canadian Gaming for an aggregate purchase price in cash of approximately C$271.9 million (approximately US$200.8 million based on the exchange rate at the time of the acquisition) (the “PURE Canadian Gaming Transaction”). We financed the PURE Canadian Gaming Transaction with a combination of cash on hand and a C$140.0 million (approximately US$103.4 million based on the exchange rate at the time of the acquisition) draw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the Canadian Consumer Price Index, capped at 2.5%) and minimum capital expenditure requirements of 1.0% of annual net revenue (excluding gaming equipment). The tenant’s obligations under the PURE Master Lease are guaranteed by the parent entity of PURE Canadian Gaming. We determined that the PURE Canadian Gaming Transaction should be accounted for as an asset acquisition under ASC 805-50 and further, that the land and building components of the PURE Master Lease meet the definition of a sales-type lease. Since we purchased and leased the assets back to the seller under a sale leaseback transaction, control is not considered to have transferred to us under GAAP. Accordingly, the PURE Master Lease is accounted for as Investments in leases – financing receivables on our Balance Sheet, net of an initial allowance for estimated credit losses in the amount of $19.6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Gold Strike Severance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in connection with the closing of MGM’s sale of the operations of Gold Strike, we entered into the Gold Strike Lease with CNB related to the land and real estate assets of Gold Strike, and entered into an amendment to the MGM Master Lease in order to account for MGM’s divestiture of the operations of Gold Strike and to reduce the annual base rent by $40.0 million.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tenant’s obligations under the Gold Strike Lease are guaranteed by CNB.</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Security and Preferred Equity Investments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Canyon Ranch Transactions</w:t>
      </w:r>
    </w:p>
    <w:p>
      <w:pPr>
        <w:pStyle w:val="TextBody"/>
        <w:bidi w:val="0"/>
        <w:spacing w:lineRule="auto" w:line="288" w:before="180" w:after="283"/>
        <w:jc w:val="both"/>
        <w:rPr/>
      </w:pPr>
      <w:r>
        <w:rPr>
          <w:rFonts w:ascii="Times New Roman;sans-serif" w:hAnsi="Times New Roman;sans-serif"/>
          <w:b w:val="false"/>
          <w:color w:val="231F20"/>
          <w:sz w:val="20"/>
        </w:rPr>
        <w:t>On August 22, 2023, we closed on the previously announced $140.1 million</w:t>
      </w:r>
      <w:r>
        <w:rPr>
          <w:color w:val="000000"/>
        </w:rPr>
        <w:t xml:space="preserve"> </w:t>
      </w:r>
      <w:r>
        <w:rPr>
          <w:rFonts w:ascii="Times New Roman;sans-serif" w:hAnsi="Times New Roman;sans-serif"/>
          <w:b w:val="false"/>
          <w:color w:val="000000"/>
          <w:sz w:val="20"/>
        </w:rPr>
        <w:t xml:space="preserve">mortgage loan to a subsidiary of Canyon Ranch, a leading provider of holistic, integrative health and wellness guest experiences (“Canyon Ranch”), secured by Canyon Ranch Tucson, located in Tucson, Arizona (“Canyon Ranch Tucson”), and Canyon Ranch Lenox, located in Lenox, Massachusetts (“Canyon Ranch Lenox”). Proceeds of the loan were used by Canyon Ranch to refinance its existing CMBS debt secured by Canyon Ranch Tucson and Canyon Ranch Lenox. The loan has an initial term of two years with three one-year extensions, exercisable at Canyon Ranch’s option, subject to satisfying certain customary extension conditions.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2023, we committed up to $150.0 million in a preferred equity investment into the controlling entity of Canyon Ranch. The preferred equity has a term of 10 years and may be redeemed by Canyon Ranch at any time, subject to a redemption premium in the first three years. In connection with this investment, we entered into (i) a call right agreement whereby we will have the option to call the real estate assets of each of Canyon Ranch Tucson and Canyon Ranch Lenox subject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pPr>
      <w:r>
        <w:rPr>
          <w:rFonts w:ascii="Times New Roman;sans-serif" w:hAnsi="Times New Roman;sans-serif"/>
          <w:b w:val="false"/>
          <w:color w:val="000000"/>
          <w:sz w:val="20"/>
        </w:rPr>
        <w:t xml:space="preserve">conditions, and (ii) a right of first financing agreement pursuant to which we will have the right, but not the obligation, to serve as the real estate capital financing partner for Canyon Ranch with respect to the acquisition, build-out and redevelopment of future wellness resorts. </w:t>
      </w:r>
      <w:r>
        <w:rPr>
          <w:rFonts w:ascii="Times New Roman;sans-serif" w:hAnsi="Times New Roman;sans-serif"/>
          <w:b w:val="false"/>
          <w:color w:val="231F20"/>
          <w:sz w:val="20"/>
        </w:rPr>
        <w:t>If the call right(s) are exercised, Canyon Ranch would continue to operate the applicable wellness resort(s) subject to a long-term triple net master lease with the Company. We assessed the Canyon Ranch preferred equity investment and determined that such investment is accounted for as a loan, and accordingly, is recorded in Investments in loans and securities on our Balance Sheet.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Hard Rock Ottawa 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2023, we purchased $85.0 million of senior secured notes issued by H.R. Ottawa, L.P. (“Hard Rock Ottawa Notes”),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The Hard Rock Ottawa Notes are denominated and issued in USD.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Significant 2022 Transactions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MGP Transactions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a 50.1% share of the MGM Grand/Mandalay Bay JV CMBS debt, at the time.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each outstanding MGP Class A common share was converted into 1.366 (the “Exchange Ratio”) shares of VICI common stock.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acquired approximately 12.2 million units in VICI OP. The MGP Class B share that was held by MGM was cancelled and ceased to exist simultaneous with closing.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MGP Class A common shares converted to shares of VICI common stock was determined as follows:</w:t>
      </w:r>
    </w:p>
    <w:tbl>
      <w:tblPr>
        <w:tblW w:w="7160" w:type="dxa"/>
        <w:jc w:val="left"/>
        <w:tblInd w:w="0" w:type="dxa"/>
        <w:tblLayout w:type="fixed"/>
        <w:tblCellMar>
          <w:top w:w="28" w:type="dxa"/>
          <w:left w:w="28" w:type="dxa"/>
          <w:bottom w:w="28" w:type="dxa"/>
          <w:right w:w="28" w:type="dxa"/>
        </w:tblCellMar>
      </w:tblPr>
      <w:tblGrid>
        <w:gridCol w:w="2108"/>
        <w:gridCol w:w="1853"/>
        <w:gridCol w:w="1859"/>
        <w:gridCol w:w="593"/>
        <w:gridCol w:w="593"/>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Class A common shares outstanding as of April 29, 2022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156,757,773 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Ratio</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common stock issued </w:t>
            </w:r>
            <w:r>
              <w:rPr>
                <w:rFonts w:ascii="Times New Roman;sans-serif" w:hAnsi="Times New Roman;sans-serif"/>
                <w:b w:val="false"/>
                <w:i/>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common stock issued for MGP stock-based compensation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common stock issued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(1) Amount excludes the cash paid in lieu of approximately 54 fractional MGP Class A common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 with the closing of the MGP Transactions on April 29, 2022, we entered into the MGM Master Lease. The MGM Master Lease has an initial term of 25 years, with three 10-year tenant renewal options and had an initial total annual rent of $860.0 million. Rent under the MGM Master Lease escalates at a rate of 2.0% per annum for the first 10 years and thereafter at the greater of 2.0% per annum or the increase in CPI, subject to a 3.0% cap. The total annual rent under the MGM Master Lease was reduced by $90.0 million upon the close of MGM’s sale of the operations of the Mirage to Hard Rock and entrance into the Mirage Lease on December 19, 2022, and further reduced by $40.0 million upon the close of MGM’s sale of the operations of Gold Strike on February 15, 2023. Additionally, we retained a 50.1% ownership stake in the MGM Grand/Mandalay Bay JV, which owns the real estate assets of MGM Grand Las Vegas and Mandalay Bay. At the time of acquisition, the MGM Grand/Mandalay Bay Lease provided for total annual base rent of approximately $303.8 million, and had an initial term of thirty years with two 10-year tenant renewal options. Rent under the MGM Grand/Mandalay Bay Lease escalates at a rate of 2.0% per annum for the first 15 years and thereafter at the greater of 2.0% per annum or CPI, subject to a 3.0% cap. On January 9, 2023, we closed on the MGM Grand/Mandalay Bay JV Interest Acquisition and accordingly own 100% of the interest in the MGM Grand/Mandalay Bay JV, including the full $3.0 billion of CMBS debt held by the joint venture.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 MGP Transactions in accordance with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tbl>
      <w:tblPr>
        <w:tblW w:w="10205" w:type="dxa"/>
        <w:jc w:val="left"/>
        <w:tblInd w:w="0" w:type="dxa"/>
        <w:tblLayout w:type="fixed"/>
        <w:tblCellMar>
          <w:top w:w="28" w:type="dxa"/>
          <w:left w:w="28" w:type="dxa"/>
          <w:bottom w:w="28" w:type="dxa"/>
          <w:right w:w="28" w:type="dxa"/>
        </w:tblCellMar>
      </w:tblPr>
      <w:tblGrid>
        <w:gridCol w:w="3044"/>
        <w:gridCol w:w="2684"/>
        <w:gridCol w:w="2703"/>
        <w:gridCol w:w="109"/>
        <w:gridCol w:w="109"/>
        <w:gridCol w:w="109"/>
        <w:gridCol w:w="211"/>
        <w:gridCol w:w="1081"/>
        <w:gridCol w:w="155"/>
      </w:tblGrid>
      <w:tr>
        <w:trPr/>
        <w:tc>
          <w:tcPr>
            <w:tcW w:w="304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REIT Merger Consideration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payment to 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OP Units retained by MGM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Repayment of MGP revolving credit facility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Transactions costs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MGP OP Notes and Exchange Notes, at principal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our proportionate share of the MGM Grand/Mandalay Bay JV CMBS debt, at principal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 dollar value of 214,375,990 shares of VICI common stock, multiplied by the VICI stock price at the time of closing of $30.64 per share, which were issued in exchange for the MGP Class A common shares outstanding immediately prior to the REIT Merger and certain of the MGP stock-based compensation awards, converted to shares of VICI common stock.</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12,231,373 VICI OP Units retained by MGM as non-controlling interest in VICI OP, multiplied by the VICI stock price at the time of closing of $30.64 per share.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Represents the total amount outstanding under MGP’s revolving credit facility as of April 29, 2022. In connection with the MGP Transactions, such amount was repaid in full and the related credit agreement was terminated.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In accordance with ASC 805-50, all direct and incremental costs related to the MGP Transactions, primarily related to success-based fees and third-party advisory fees, were included in the consideration transferred.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 valued as of April 29, 2022:</w:t>
      </w:r>
    </w:p>
    <w:tbl>
      <w:tblPr>
        <w:tblW w:w="5943" w:type="dxa"/>
        <w:jc w:val="left"/>
        <w:tblInd w:w="0" w:type="dxa"/>
        <w:tblLayout w:type="fixed"/>
        <w:tblCellMar>
          <w:top w:w="28" w:type="dxa"/>
          <w:left w:w="28" w:type="dxa"/>
          <w:bottom w:w="28" w:type="dxa"/>
          <w:right w:w="28" w:type="dxa"/>
        </w:tblCellMar>
      </w:tblPr>
      <w:tblGrid>
        <w:gridCol w:w="1511"/>
        <w:gridCol w:w="1328"/>
        <w:gridCol w:w="1331"/>
        <w:gridCol w:w="109"/>
        <w:gridCol w:w="109"/>
        <w:gridCol w:w="109"/>
        <w:gridCol w:w="211"/>
        <w:gridCol w:w="108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pPr>
      <w:r>
        <w:rPr>
          <w:rFonts w:ascii="Times New Roman;sans-serif" w:hAnsi="Times New Roman;sans-serif"/>
          <w:b w:val="false"/>
          <w:i/>
          <w:color w:val="000000"/>
          <w:sz w:val="16"/>
        </w:rPr>
        <w:t xml:space="preserve">(1) 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w:t>
      </w:r>
      <w:r>
        <w:rPr>
          <w:color w:val="000000"/>
        </w:rPr>
        <w:t xml:space="preserve">– </w:t>
      </w:r>
      <w:r>
        <w:rPr>
          <w:rFonts w:ascii="Times New Roman;sans-serif" w:hAnsi="Times New Roman;sans-serif"/>
          <w:b w:val="false"/>
          <w:i/>
          <w:color w:val="000000"/>
          <w:sz w:val="16"/>
        </w:rPr>
        <w:t xml:space="preserve">18.5x with a weighted average rent multiple of 16.7x, as determined using relative fair value.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fair value of these assets is based on significant “unobservable” market inputs and, as such, these fair value measurements are considered Level 3 of the fair value hierarchy.</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We value the Investment in unconsolidated affiliate at relative fair based on our percentage ownership of the net assets of the MGM Grand/Mandalay Bay JV.</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Amounts represent their current carrying value which is equal to fair value. The Other assets and Other liabilities amounts include the gross presentation of certain MGP ground leases which we assumed in connection with the MGP Transactions.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(5) 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the MGM Grand/Mandalay Bay JV, we determined that such investment should be accounted for as an equity method investment and, accordingly, recorded the relative fair value as an Investment in unconsolidated affiliate on our Balance Sheet. The requirement to record our investment in the MGM Grand/Mandalay Bay JV at relative fair value under ASC 805 resulted in a difference in our acquired basis from that of the underlying records, or historical cost basis, of the MGM Grand/Mandalay Bay JV. Accordingly, we compared our proportionate share of the historical cost basis of the MGM Grand/Mandalay Bay JV as of April 29, 2022 to our proportionate share of the relative fair value, the difference of which was amortized through Income from unconsolidated affiliate over the life of the related asset or liability. On January 9, 2023, we acquired the remaining 49.9% interest in the MGM Grand/Mandalay Bay JV from BREIT and consolidated the operations of the joint venture. Refer to “MGM Grand/Mandalay Bay JV Interest Acquisition” above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Apollo, Caesars, Century Casinos, EBCI, Hard Rock, MGM and PENN Entertainment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leased on a triple-net basis to our tenants, Caesars, CNB, Century Casinos, Foundation Gaming, Hard Rock, JACK Entertainment, MGM and PURE Canadian Gaming under eight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investments in twelve senior secured and mezzanine loans, preferred equity and the Hard Rock Ottawa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September 30, 2023 and December 31, 2022:</w:t>
      </w:r>
    </w:p>
    <w:tbl>
      <w:tblPr>
        <w:tblW w:w="7840" w:type="dxa"/>
        <w:jc w:val="left"/>
        <w:tblInd w:w="0" w:type="dxa"/>
        <w:tblLayout w:type="fixed"/>
        <w:tblCellMar>
          <w:top w:w="28" w:type="dxa"/>
          <w:left w:w="28" w:type="dxa"/>
          <w:bottom w:w="28" w:type="dxa"/>
          <w:right w:w="28" w:type="dxa"/>
        </w:tblCellMar>
      </w:tblPr>
      <w:tblGrid>
        <w:gridCol w:w="1565"/>
        <w:gridCol w:w="1375"/>
        <w:gridCol w:w="1379"/>
        <w:gridCol w:w="241"/>
        <w:gridCol w:w="1239"/>
        <w:gridCol w:w="124"/>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17,337,665 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40,227,649 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33,913,095 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41,351,593 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36,213,223 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September 30, 2023 and December 31, 2022, the estimated residual values of the leased properties under our Lease Agreements were $15.7 billion and $11.5 billion, respectively.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Represents our 50.1% investment in the MGM Grand/Mandalay Bay JV prior to the MGM Grand/Mandalay Bay JV Interest Acquisition on January 9, 2023, which was accounted for as an equity method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595"/>
        <w:gridCol w:w="1347"/>
        <w:gridCol w:w="135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1,731,860 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September 30, 2023, we have recognized contingent rent from our PENN Entertainment Leases in relation to the variable rent portion of the respective leases and from the Caesars Las Vegas Master Lease, Caesars Regional Master Lease, Joliet Lease, Century Master Lease, and Venetian Lease in relation to the CPI portion of the annual escalator.</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minimum lease payments owed to us for each of the five succeeding years under sales-type leases and our leases accounted for as financing receivables, are as follows:</w:t>
      </w:r>
    </w:p>
    <w:tbl>
      <w:tblPr>
        <w:tblW w:w="8620"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290,407 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87,666,277 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165,169,956 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94,063,350 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180,677,963 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assumes the exercise of all tenant renewal options, consistent with our conclusions under ASC 842 and ASC 310.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owned 54 properties leased under 16 separate Lease Agreements, certain of which are master lease agreements governing multiple properties and certain of which are for single assets. Our Lease Agreements are generally long-term in nature with initial terms ranging from 15 to 30 years and are structured with several tenant renewal options extending the term of the lease for another 5 to 30 years. All of our Lease Agreements provide for annual base rent escalations, which range from 1% in the earlier years to the greater of 2% or CPI in later years, with certain of our leases providing for a cap with respect to the maximum CPI-based increase. Additionally, certain of our Lease Agreements provide for a variable rent component in which a portion of the annual rent, generally 20%, is subject to adjustment based on the revenues of the underlying asset in specified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Caesars Leases and MGM Leases, our two most significant tenants:</w:t>
      </w:r>
    </w:p>
    <w:tbl>
      <w:tblPr>
        <w:tblW w:w="10205" w:type="dxa"/>
        <w:jc w:val="left"/>
        <w:tblInd w:w="0" w:type="dxa"/>
        <w:tblLayout w:type="fixed"/>
        <w:tblCellMar>
          <w:top w:w="28" w:type="dxa"/>
          <w:left w:w="28" w:type="dxa"/>
          <w:bottom w:w="28" w:type="dxa"/>
          <w:right w:w="28" w:type="dxa"/>
        </w:tblCellMar>
      </w:tblPr>
      <w:tblGrid>
        <w:gridCol w:w="638"/>
        <w:gridCol w:w="415"/>
        <w:gridCol w:w="417"/>
        <w:gridCol w:w="109"/>
        <w:gridCol w:w="109"/>
        <w:gridCol w:w="109"/>
        <w:gridCol w:w="740"/>
        <w:gridCol w:w="551"/>
        <w:gridCol w:w="554"/>
        <w:gridCol w:w="109"/>
        <w:gridCol w:w="109"/>
        <w:gridCol w:w="109"/>
        <w:gridCol w:w="599"/>
        <w:gridCol w:w="516"/>
        <w:gridCol w:w="518"/>
        <w:gridCol w:w="109"/>
        <w:gridCol w:w="109"/>
        <w:gridCol w:w="109"/>
        <w:gridCol w:w="627"/>
        <w:gridCol w:w="497"/>
        <w:gridCol w:w="499"/>
        <w:gridCol w:w="109"/>
        <w:gridCol w:w="109"/>
        <w:gridCol w:w="109"/>
        <w:gridCol w:w="109"/>
        <w:gridCol w:w="109"/>
        <w:gridCol w:w="109"/>
        <w:gridCol w:w="109"/>
        <w:gridCol w:w="550"/>
        <w:gridCol w:w="550"/>
        <w:gridCol w:w="790"/>
      </w:tblGrid>
      <w:tr>
        <w:trPr/>
        <w:tc>
          <w:tcPr>
            <w:tcW w:w="6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w:t>
              <w:br/>
              <w:t>Mandalay Bay Lease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5/1/23-4/30/24 (Lease Year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3/1/23 – 2/29/24 (Lease Year 4)</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$744,600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$703,678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$454,478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$309,873 </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CPI subject to 2.0% floor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$694.6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508"/>
        <w:gridCol w:w="446"/>
        <w:gridCol w:w="451"/>
        <w:gridCol w:w="109"/>
        <w:gridCol w:w="109"/>
        <w:gridCol w:w="109"/>
        <w:gridCol w:w="511"/>
        <w:gridCol w:w="511"/>
        <w:gridCol w:w="512"/>
        <w:gridCol w:w="109"/>
        <w:gridCol w:w="109"/>
        <w:gridCol w:w="109"/>
        <w:gridCol w:w="435"/>
        <w:gridCol w:w="399"/>
        <w:gridCol w:w="400"/>
        <w:gridCol w:w="109"/>
        <w:gridCol w:w="109"/>
        <w:gridCol w:w="109"/>
        <w:gridCol w:w="673"/>
        <w:gridCol w:w="589"/>
        <w:gridCol w:w="592"/>
        <w:gridCol w:w="109"/>
        <w:gridCol w:w="109"/>
        <w:gridCol w:w="109"/>
        <w:gridCol w:w="109"/>
        <w:gridCol w:w="109"/>
        <w:gridCol w:w="563"/>
        <w:gridCol w:w="515"/>
        <w:gridCol w:w="517"/>
        <w:gridCol w:w="392"/>
        <w:gridCol w:w="272"/>
        <w:gridCol w:w="393"/>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Leases </w:t>
            </w:r>
            <w:r>
              <w:rPr>
                <w:rFonts w:ascii="Times New Roman;sans-serif" w:hAnsi="Times New Roman;sans-serif"/>
                <w:b/>
                <w:i/>
                <w:color w:val="000000"/>
                <w:sz w:val="13"/>
              </w:rPr>
              <w:t>(1)</w:t>
            </w:r>
          </w:p>
        </w:tc>
      </w:tr>
      <w:tr>
        <w:trPr/>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Rolling three-year minimum</w:t>
            </w:r>
            <w:r>
              <w:rPr>
                <w:color w:val="000000"/>
              </w:rPr>
              <w:t xml:space="preserve">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Caesars Leases require a $107.5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September 30, 2023 and December 31, 2022:</w:t>
      </w:r>
    </w:p>
    <w:tbl>
      <w:tblPr>
        <w:tblW w:w="10205" w:type="dxa"/>
        <w:jc w:val="left"/>
        <w:tblInd w:w="0" w:type="dxa"/>
        <w:tblLayout w:type="fixed"/>
        <w:tblCellMar>
          <w:top w:w="28" w:type="dxa"/>
          <w:left w:w="28" w:type="dxa"/>
          <w:bottom w:w="28" w:type="dxa"/>
          <w:right w:w="28" w:type="dxa"/>
        </w:tblCellMar>
      </w:tblPr>
      <w:tblGrid>
        <w:gridCol w:w="124"/>
        <w:gridCol w:w="109"/>
        <w:gridCol w:w="547"/>
        <w:gridCol w:w="525"/>
        <w:gridCol w:w="527"/>
        <w:gridCol w:w="109"/>
        <w:gridCol w:w="109"/>
        <w:gridCol w:w="109"/>
        <w:gridCol w:w="225"/>
        <w:gridCol w:w="881"/>
        <w:gridCol w:w="116"/>
        <w:gridCol w:w="109"/>
        <w:gridCol w:w="109"/>
        <w:gridCol w:w="109"/>
        <w:gridCol w:w="228"/>
        <w:gridCol w:w="893"/>
        <w:gridCol w:w="117"/>
        <w:gridCol w:w="109"/>
        <w:gridCol w:w="109"/>
        <w:gridCol w:w="109"/>
        <w:gridCol w:w="292"/>
        <w:gridCol w:w="1144"/>
        <w:gridCol w:w="151"/>
        <w:gridCol w:w="109"/>
        <w:gridCol w:w="109"/>
        <w:gridCol w:w="109"/>
        <w:gridCol w:w="400"/>
        <w:gridCol w:w="299"/>
        <w:gridCol w:w="748"/>
        <w:gridCol w:w="109"/>
        <w:gridCol w:w="109"/>
        <w:gridCol w:w="109"/>
        <w:gridCol w:w="361"/>
        <w:gridCol w:w="361"/>
        <w:gridCol w:w="5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Loans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768,299 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440"/>
        <w:gridCol w:w="420"/>
        <w:gridCol w:w="422"/>
        <w:gridCol w:w="109"/>
        <w:gridCol w:w="109"/>
        <w:gridCol w:w="109"/>
        <w:gridCol w:w="228"/>
        <w:gridCol w:w="895"/>
        <w:gridCol w:w="118"/>
        <w:gridCol w:w="109"/>
        <w:gridCol w:w="109"/>
        <w:gridCol w:w="109"/>
        <w:gridCol w:w="232"/>
        <w:gridCol w:w="909"/>
        <w:gridCol w:w="119"/>
        <w:gridCol w:w="109"/>
        <w:gridCol w:w="109"/>
        <w:gridCol w:w="109"/>
        <w:gridCol w:w="283"/>
        <w:gridCol w:w="1312"/>
        <w:gridCol w:w="146"/>
        <w:gridCol w:w="109"/>
        <w:gridCol w:w="109"/>
        <w:gridCol w:w="109"/>
        <w:gridCol w:w="347"/>
        <w:gridCol w:w="325"/>
        <w:gridCol w:w="814"/>
        <w:gridCol w:w="109"/>
        <w:gridCol w:w="109"/>
        <w:gridCol w:w="109"/>
        <w:gridCol w:w="385"/>
        <w:gridCol w:w="385"/>
        <w:gridCol w:w="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1,098,931 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September 30, 2023.</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(6) On May 1, 2023, the Forum Convention Center Mortgage Loan, representing $400.0 million in principal balance of our senior secured loans, was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recognized a $96.0 million increase in our allowance for credit losses primarily driven by (i) the initial CECL allowances in relation to (a) the Century Canadian Portfolio Transaction and related classification of the Century Canadian Portfolio component of the Century Master Lease as a lease financing receivable, (b) the Rocky Gap Casino Transaction and related classification of the Rocky Gap Casino component of the Century Master Lease as a sales-type lease, and (c) the origination of the Canyon Ranch preferred equity investment and Canyon Ranch Tucson and Canyon Ranch Lenox mortgage loan, and (ii) an increase in the reasonable and supportable period, or R&amp;S Period, probability of default, or PD, of our tenants and their parent guarantors as a result of their market performance during the current quarter.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recognized a $166.1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(c) the purchase of the Hard Rock Ottawa Notes and (d) the initial allowances for the three months ended September 30, 2023 as described in the above paragraph, and (ii) an increase in the Long-Term Period PD as a result of a standard annual update made to the Long-Term PD default study we utilize to estimate our CECL allowance. This increase was partially offset by an overall decrease in the R&amp;S Period PD of our tenants and their parent guarantors as a result of their market performance during the nine-month period.</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September 30, 2022, we recognized a $232.8 million increase in our allowance for credit losses primarily driven by (i) changes in the macroeconomic model used to scenario condition our R&amp;S Period PD due to uncertain and potentially negative future market conditions, (ii) an increase in the R&amp;S Period PD of our tenants and their parent guarantors as a result of market volatility during the current quarter, (iii) an increase in the R&amp;S Period PD and loss given default, or LGD, as a result of standard annual updates that were made to the inputs and assumptions in the model that we utilize to estimate our CECL allowance, and (iv) the initial CECL allowance on the future funding commitments from the origination of the Great Wolf Gulf Coast Texas loan and the Great Wolf South Florida loan.</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nine months ended September 30, 2022, we recognized a $865.5 million increase in our allowance for credit losses primarily driven by initial CECL allowances on our acquisition activity during such period in the amount of $523.2 million, representing 60.5% of the total allowance for the nine months ended September 30, 2022.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(ii) the closing of the Venetian Acquisition on February 23, 2022, which included (a) the classification of the Venetian Lease as a sales-type lease, (b) the estimated future funding commitments under the Partner Property Growth Fund Agreement with the Venetian and (c) the sales-type sub-lease agreements we assumed in connection with the closing of the Venetian Acquisition, and (iii) the future funding commitments from the origination of the BigShots Loan, the Cabot Citrus Farms loan, the Great Wolf South Florida loan and the Great Wolf Gulf Coast Texas Loan. Additional increases were attributable to the increase for the three months ended September 30, 2022 as described above. These increases were partially offset by a decrease in the Long-Term Period PD as a result of standard annual updates that were made to the Long-Term Period PD default study we utilize to estimate our CECL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and since our formation on October 6, 2017, all of our Lease Agreements and loan and security investments are current in payment of their obligations to us and no investments are on non-accrual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September 30, 2023 and December 31, 2022:</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senior secured and mezzanine loans and for unfunded commitments of our Partner Property Growth Fund. As of September 30, 2023 and December 31, 2022, such allowance is $30.1 million and $45.1 million, respectively, and is recorded in Other liabilities.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nine months ended September 30, 2023 and 2022:</w:t>
      </w:r>
    </w:p>
    <w:tbl>
      <w:tblPr>
        <w:tblW w:w="7401" w:type="dxa"/>
        <w:jc w:val="left"/>
        <w:tblInd w:w="0" w:type="dxa"/>
        <w:tblLayout w:type="fixed"/>
        <w:tblCellMar>
          <w:top w:w="28" w:type="dxa"/>
          <w:left w:w="28" w:type="dxa"/>
          <w:bottom w:w="28" w:type="dxa"/>
          <w:right w:w="28" w:type="dxa"/>
        </w:tblCellMar>
      </w:tblPr>
      <w:tblGrid>
        <w:gridCol w:w="1489"/>
        <w:gridCol w:w="1309"/>
        <w:gridCol w:w="1312"/>
        <w:gridCol w:w="109"/>
        <w:gridCol w:w="109"/>
        <w:gridCol w:w="109"/>
        <w:gridCol w:w="211"/>
        <w:gridCol w:w="976"/>
        <w:gridCol w:w="109"/>
        <w:gridCol w:w="109"/>
        <w:gridCol w:w="109"/>
        <w:gridCol w:w="109"/>
        <w:gridCol w:w="211"/>
        <w:gridCol w:w="97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September 30, 2023 and 2022:</w:t>
      </w:r>
    </w:p>
    <w:tbl>
      <w:tblPr>
        <w:tblW w:w="1230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32,877,396 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258"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36,171,331 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(2)We estimate the CECL allowance for our senior secured and mezzanine loans and preferred equity investment using a traditional commercial real estate model based on standardized credit metrics to estimate potential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September 30, 2023 and December 31, 2022:</w:t>
      </w:r>
    </w:p>
    <w:tbl>
      <w:tblPr>
        <w:tblW w:w="7750" w:type="dxa"/>
        <w:jc w:val="left"/>
        <w:tblInd w:w="0" w:type="dxa"/>
        <w:tblLayout w:type="fixed"/>
        <w:tblCellMar>
          <w:top w:w="28" w:type="dxa"/>
          <w:left w:w="28" w:type="dxa"/>
          <w:bottom w:w="28" w:type="dxa"/>
          <w:right w:w="28" w:type="dxa"/>
        </w:tblCellMar>
      </w:tblPr>
      <w:tblGrid>
        <w:gridCol w:w="1533"/>
        <w:gridCol w:w="1347"/>
        <w:gridCol w:w="1350"/>
        <w:gridCol w:w="295"/>
        <w:gridCol w:w="1157"/>
        <w:gridCol w:w="152"/>
        <w:gridCol w:w="109"/>
        <w:gridCol w:w="109"/>
        <w:gridCol w:w="109"/>
        <w:gridCol w:w="281"/>
        <w:gridCol w:w="1103"/>
        <w:gridCol w:w="205"/>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969,672 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September 30, 2023 and December 31, 2022, sales-type sub-leases are net of $19.3 million and $19.8 million of allowance for credit losses, respectively. Refer to </w:t>
      </w:r>
      <w:hyperlink w:anchor="ie1960b1d976b4148b3d478b9e76c8e4e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used in operations, included within other assets, is primarily attributable to the land, building and improvements of our golf operations and consists of the following as of September 30, 2023 and December 31, 2022: </w:t>
      </w:r>
    </w:p>
    <w:tbl>
      <w:tblPr>
        <w:tblW w:w="7947" w:type="dxa"/>
        <w:jc w:val="left"/>
        <w:tblInd w:w="0" w:type="dxa"/>
        <w:tblLayout w:type="fixed"/>
        <w:tblCellMar>
          <w:top w:w="28" w:type="dxa"/>
          <w:left w:w="28" w:type="dxa"/>
          <w:bottom w:w="28" w:type="dxa"/>
          <w:right w:w="28" w:type="dxa"/>
        </w:tblCellMar>
      </w:tblPr>
      <w:tblGrid>
        <w:gridCol w:w="1599"/>
        <w:gridCol w:w="1408"/>
        <w:gridCol w:w="1418"/>
        <w:gridCol w:w="325"/>
        <w:gridCol w:w="1112"/>
        <w:gridCol w:w="168"/>
        <w:gridCol w:w="109"/>
        <w:gridCol w:w="109"/>
        <w:gridCol w:w="109"/>
        <w:gridCol w:w="309"/>
        <w:gridCol w:w="1056"/>
        <w:gridCol w:w="225"/>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equipment </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 net</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42" w:type="dxa"/>
        <w:jc w:val="center"/>
        <w:tblInd w:w="0" w:type="dxa"/>
        <w:tblLayout w:type="fixed"/>
        <w:tblCellMar>
          <w:top w:w="28" w:type="dxa"/>
          <w:left w:w="28" w:type="dxa"/>
          <w:bottom w:w="28" w:type="dxa"/>
          <w:right w:w="28" w:type="dxa"/>
        </w:tblCellMar>
      </w:tblPr>
      <w:tblGrid>
        <w:gridCol w:w="677"/>
        <w:gridCol w:w="595"/>
        <w:gridCol w:w="602"/>
        <w:gridCol w:w="298"/>
        <w:gridCol w:w="870"/>
        <w:gridCol w:w="154"/>
        <w:gridCol w:w="154"/>
        <w:gridCol w:w="154"/>
        <w:gridCol w:w="154"/>
        <w:gridCol w:w="298"/>
        <w:gridCol w:w="658"/>
        <w:gridCol w:w="154"/>
        <w:gridCol w:w="109"/>
        <w:gridCol w:w="109"/>
        <w:gridCol w:w="109"/>
        <w:gridCol w:w="268"/>
        <w:gridCol w:w="782"/>
        <w:gridCol w:w="138"/>
        <w:gridCol w:w="138"/>
        <w:gridCol w:w="138"/>
        <w:gridCol w:w="138"/>
        <w:gridCol w:w="268"/>
        <w:gridCol w:w="782"/>
        <w:gridCol w:w="195"/>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September 30, 2023 and December 31, 2022:</w:t>
      </w:r>
    </w:p>
    <w:tbl>
      <w:tblPr>
        <w:tblW w:w="7255" w:type="dxa"/>
        <w:jc w:val="left"/>
        <w:tblInd w:w="0" w:type="dxa"/>
        <w:tblLayout w:type="fixed"/>
        <w:tblCellMar>
          <w:top w:w="28" w:type="dxa"/>
          <w:left w:w="28" w:type="dxa"/>
          <w:bottom w:w="28" w:type="dxa"/>
          <w:right w:w="28" w:type="dxa"/>
        </w:tblCellMar>
      </w:tblPr>
      <w:tblGrid>
        <w:gridCol w:w="1354"/>
        <w:gridCol w:w="1189"/>
        <w:gridCol w:w="1192"/>
        <w:gridCol w:w="295"/>
        <w:gridCol w:w="1157"/>
        <w:gridCol w:w="152"/>
        <w:gridCol w:w="109"/>
        <w:gridCol w:w="109"/>
        <w:gridCol w:w="109"/>
        <w:gridCol w:w="281"/>
        <w:gridCol w:w="1103"/>
        <w:gridCol w:w="205"/>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806,178 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954,448 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September 30, 2023 and December 31, 2022:</w:t>
      </w:r>
    </w:p>
    <w:tbl>
      <w:tblPr>
        <w:tblW w:w="10170"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265"/>
        <w:gridCol w:w="265"/>
        <w:gridCol w:w="266"/>
        <w:gridCol w:w="109"/>
        <w:gridCol w:w="109"/>
        <w:gridCol w:w="109"/>
        <w:gridCol w:w="454"/>
        <w:gridCol w:w="454"/>
        <w:gridCol w:w="456"/>
        <w:gridCol w:w="109"/>
        <w:gridCol w:w="109"/>
        <w:gridCol w:w="109"/>
        <w:gridCol w:w="223"/>
        <w:gridCol w:w="1146"/>
        <w:gridCol w:w="115"/>
        <w:gridCol w:w="109"/>
        <w:gridCol w:w="109"/>
        <w:gridCol w:w="109"/>
        <w:gridCol w:w="227"/>
        <w:gridCol w:w="1166"/>
        <w:gridCol w:w="166"/>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MGM Grand/Mandalay Bay CMBS Debt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2,767,065 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4.349%</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17,108,348 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16,692,728 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8880"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65"/>
        <w:gridCol w:w="265"/>
        <w:gridCol w:w="266"/>
        <w:gridCol w:w="109"/>
        <w:gridCol w:w="109"/>
        <w:gridCol w:w="109"/>
        <w:gridCol w:w="434"/>
        <w:gridCol w:w="434"/>
        <w:gridCol w:w="436"/>
        <w:gridCol w:w="109"/>
        <w:gridCol w:w="109"/>
        <w:gridCol w:w="109"/>
        <w:gridCol w:w="223"/>
        <w:gridCol w:w="1146"/>
        <w:gridCol w:w="115"/>
        <w:gridCol w:w="109"/>
        <w:gridCol w:w="109"/>
        <w:gridCol w:w="109"/>
        <w:gridCol w:w="227"/>
        <w:gridCol w:w="1166"/>
        <w:gridCol w:w="16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Revolving Credit Facility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Delayed Draw Term Loan </w:t>
            </w:r>
            <w:r>
              <w:rPr>
                <w:rFonts w:ascii="Times New Roman;sans-serif" w:hAnsi="Times New Roman;sans-serif"/>
                <w:b w:val="false"/>
                <w:i/>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4.496%</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(2)Interest on any outstanding balance is payable monthly. Borrowings under the Revolving Credit Facility bear interest at a rate based on a credit rating-based pricing grid with a range of 0.775% to 1.325% margin plus SOFR (or CDOR, as applicable) with an additional 0.10% adjustment for SOFR loans, as applicable. Additionally, the commitment fees under the Revolving Credit Facility are calculated on a credit rating-based pricing grid with a range of 0.15% to 0.375%, depending on our credit ratings. For the three and nine months ended September 30, 2023, the commitment fee for the Revolving Credit Facility was 0.250%.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(3)On January 3, 2023, we drew on the Revolving Credit Facility in the amount of C$140.0 million to fund a portion of the purchase price of the PURE Canadian Gaming Transaction. On August 31, 2023, we drew on the Revolving Credit Facility in the amount of C$75.0 million to fund a portion of the purchase price of the Century Canadian Portfolio Transaction. The balance above is inclusive of foreign currency remeasurement.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(4)Interest is payable monthly.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(5)Interest is payable semi-annually.</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(6)Interest rates represent the contractual interest rates adjusted to account for the impact of the forward-starting interest rate swaps and treasury locks (as further described in </w:t>
      </w:r>
      <w:hyperlink w:anchor="ie1960b1d976b4148b3d478b9e76c8e4e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xml:space="preserve">). The contractual interest rates on the April 2022 Notes maturing 2028, 2030 and 2032 are 4.750%, 4.950% and 5.125%,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(7)The interest rate represents the weighted average interest rates of the Senior Unsecured Notes adjusted to account for the impact of the forward-starting interest rate swaps and treasury locks (as further described in </w:t>
      </w:r>
      <w:hyperlink w:anchor="ie1960b1d976b4148b3d478b9e76c8e4e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September 30, 2023, which excludes the impact of the forward-starting interest rate swaps and treasury locks, is 4.49%.</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(8)The Delayed Draw Term Loan was available to be drawn up to 12 months following the effective date of February 8, 2022. On February 8, 2023, the Delayed Draw Term Loan facility expired undrawn in accordance with its terms.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September 30, 2023:</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1,908,348 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17,108,348 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13, 2021, we announced that the VICI Issuers commenced (i) private exchange offers 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eliminated or modified certain of the covenants, restrictions, provisions and events of default in each of the MGP OP Notes Indentures. Upon settlement of the Exchange Offers and Consent Solicitations on April 29, 2022, supplemental indentures to each of the MGP OP Notes Indentures that effected the proposed amendments became operative.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VICI Issuers issued $1,024.2 million in aggregate principal amount of 5.625% Senior Notes due May 1, 2024, $799.4 million in aggregate principal amount of 4.625% Senior Notes due June 15, 2025, $480.5 million in aggregate principal amount of 4.500% Senior Notes due September 1, 2026, $729.5 million in aggregate principal amount of 5.750% Senior Notes due February 1, 2027, $349.3 million in aggregate principal amount of 4.500% Senior Notes due January 15, 2028 and $727.1 million in aggregate principal amount of 3.875% Senior Notes due February 15, 2029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MGP OP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April 2022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VICI LP, our wholly owned subsidiary, issued (i) $500.0 million in aggregate principal amount of 4.375% Senior Notes due 2025, which mature on May 15, 2025, (ii) $1,250.0 million in aggregate principal amount of 4.750% Senior Notes due 2028, which mature on February 15, 2028, (iii) $1,000.0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November 2019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2022, VICI LP entered into the Credit Agreement providing for (i) the Revolving Credit Facility in the amount of $2.5 billion scheduled to mature on March 31, 2026 and (ii) the Delayed Draw Term Loan in the amount of $1.0 billion scheduled to mature on March 31, 2025. The Delayed Draw Term Loan was available to be drawn for up to 12 months following the effective date and, accordingly, expired undrawn in accordance with its terms on February 8,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rate based on SOFR (or CDOR for Canadian dollars) (including a credit spread adjustment for SOFR) plus a margin ranging from 0.775% to 1.325% or a base rate (or Canadian prime rate for Canadian dollars) plus a margin ranging from 0.00% to 0.325%, in each case, with the actual margin determined according to VICI LP’s debt ratings. The base rate for USD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 day Canadian Dollar bankers’ acceptance quoted by Reuters plus 1.0%, subject in each case to a floor of 1.0%. In addition, the Revolving Credit Facility requires the payment of a facility fee ranging from 0.15% to 0.375% (depending on VICI LP’s debt rating)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we drew on the Revolving Credit Facility in the amount of C$140.0 million (approximately US$103.4 million based on the exchange rate at the time of the acquisition) to fund a portion of the purchase price of the PURE Canadian Gaming Transaction. On August 31, 2023, we drew on the Revolving Credit Facility in the amount of C$75.0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US$55.0 million based on the exchange rate at the time of the acquisition) to fund a portion of the purchase price of the Century Canadian Portfolio Transaction.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as a result of the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Bridge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 2021 and August 4, 2021, in connection with the completion of the Venetian Acquisition and MGP Transactions, respectively, VICI PropCo entered into Commitment Letters with certain lenders pursuant to which they provided commitments in an amount up to $4.0 billion and $9.3 billion, respectively, in the aggregate, each consisting of a 364-day first lien secured bridge facility (the “Venetian Acquisition Bridge Facility” and the “MGP Transactions Bridge Facility,” respectively), for the purpose of providing a portion of the financing necessary in connection with the closing of the Venetian Acquisition and MGP Transactions, as applicable. In each case the commitments were subject to a tiered commitment fee based on the period the respective commitment was outstanding and a structuring fee. During the nine months ended September 30, 2022, we recognized $16.3 million in such fees, which were recorded in Interest expense in our Statement of Operations. We did not recognize any such fees during the three months ended September 30, 2022 and the three and nine months ended September 30, 2023, since the Venetian Acquisition Bridge Facility and MGP Transactions Bridge Facility were fully terminated on February 23, 2022 and April 29, 2022, respectively, in connection with such closings.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September 30, 2023,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March through September 2023, we entered into five forward-starting interest rate swap agreements with an aggregate notional amount of $400.0 million to hedge against changes in future cash flows resulting from changes in interest rates from the trade date through the forecasted issuance of $400.0 million of senior unsecured notes, including three forward-starting interest rate swap agreements for an aggregate notional amount of $150.0 million during the quarter ended September 30, 2023. Subsequent to quarter-end, we entered into one forward-starting interest rate swap agreement for an additional notional amount of $50.0 million. We hedged our exposure to the variability in future cash flows for a forecasted issuance of long-term debt over a maximum period ending December 2024. The forward-starting interest rate swaps are designated as cash-flow hedges.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outstanding interest rate derivatives that were designated as cash flow hedges of interest rate risk as of September 30, 2023. As of December 31, 2022, there were no derivative instruments outstanding.</w:t>
      </w:r>
    </w:p>
    <w:tbl>
      <w:tblPr>
        <w:tblW w:w="10205" w:type="dxa"/>
        <w:jc w:val="center"/>
        <w:tblInd w:w="0" w:type="dxa"/>
        <w:tblLayout w:type="fixed"/>
        <w:tblCellMar>
          <w:top w:w="28" w:type="dxa"/>
          <w:left w:w="28" w:type="dxa"/>
          <w:bottom w:w="28" w:type="dxa"/>
          <w:right w:w="28" w:type="dxa"/>
        </w:tblCellMar>
      </w:tblPr>
      <w:tblGrid>
        <w:gridCol w:w="918"/>
        <w:gridCol w:w="558"/>
        <w:gridCol w:w="545"/>
        <w:gridCol w:w="109"/>
        <w:gridCol w:w="109"/>
        <w:gridCol w:w="109"/>
        <w:gridCol w:w="470"/>
        <w:gridCol w:w="470"/>
        <w:gridCol w:w="472"/>
        <w:gridCol w:w="109"/>
        <w:gridCol w:w="109"/>
        <w:gridCol w:w="109"/>
        <w:gridCol w:w="309"/>
        <w:gridCol w:w="237"/>
        <w:gridCol w:w="229"/>
        <w:gridCol w:w="109"/>
        <w:gridCol w:w="109"/>
        <w:gridCol w:w="109"/>
        <w:gridCol w:w="211"/>
        <w:gridCol w:w="826"/>
        <w:gridCol w:w="109"/>
        <w:gridCol w:w="109"/>
        <w:gridCol w:w="109"/>
        <w:gridCol w:w="109"/>
        <w:gridCol w:w="724"/>
        <w:gridCol w:w="724"/>
        <w:gridCol w:w="728"/>
        <w:gridCol w:w="109"/>
        <w:gridCol w:w="109"/>
        <w:gridCol w:w="109"/>
        <w:gridCol w:w="302"/>
        <w:gridCol w:w="302"/>
        <w:gridCol w:w="436"/>
      </w:tblGrid>
      <w:tr>
        <w:trPr/>
        <w:tc>
          <w:tcPr>
            <w:tcW w:w="9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897"/>
        <w:gridCol w:w="1639"/>
        <w:gridCol w:w="1647"/>
        <w:gridCol w:w="211"/>
        <w:gridCol w:w="721"/>
        <w:gridCol w:w="109"/>
        <w:gridCol w:w="109"/>
        <w:gridCol w:w="109"/>
        <w:gridCol w:w="109"/>
        <w:gridCol w:w="224"/>
        <w:gridCol w:w="433"/>
        <w:gridCol w:w="109"/>
        <w:gridCol w:w="109"/>
        <w:gridCol w:w="109"/>
        <w:gridCol w:w="109"/>
        <w:gridCol w:w="211"/>
        <w:gridCol w:w="721"/>
        <w:gridCol w:w="109"/>
        <w:gridCol w:w="109"/>
        <w:gridCol w:w="109"/>
        <w:gridCol w:w="109"/>
        <w:gridCol w:w="211"/>
        <w:gridCol w:w="826"/>
        <w:gridCol w:w="156"/>
      </w:tblGrid>
      <w:tr>
        <w:trPr/>
        <w:tc>
          <w:tcPr>
            <w:tcW w:w="189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recorded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C$140.0 million and C$75.0 million draws on the Revolving Credit Facility in connection with the PURE Canadian Gaming Transaction and Century Canadian Portfolio Transaction, respectively, reduce the impact of exchange rate variations associated with our investments in such entities, and, accordingly, has been designated as a hedge of the net investment in the PURE Canadian Gaming entities and Century Canadian Portfolio entities, respectively. As non-derivative net investment hedges, the impact of changes in foreign currency exchange rates on the principal balances are recognized as a cumulative translation adjustment within accumulated other comprehensive income. For the three and nine months ended September 30, 2023, we recognized $2.9 million and $1.7 million, respectively, in unrealized losses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at fair value on a recurring basis as of September 30, 2023 and December 31, 2022:</w:t>
      </w:r>
    </w:p>
    <w:tbl>
      <w:tblPr>
        <w:tblW w:w="10205" w:type="dxa"/>
        <w:jc w:val="left"/>
        <w:tblInd w:w="0" w:type="dxa"/>
        <w:tblLayout w:type="fixed"/>
        <w:tblCellMar>
          <w:top w:w="28" w:type="dxa"/>
          <w:left w:w="28" w:type="dxa"/>
          <w:bottom w:w="28" w:type="dxa"/>
          <w:right w:w="28" w:type="dxa"/>
        </w:tblCellMar>
      </w:tblPr>
      <w:tblGrid>
        <w:gridCol w:w="1873"/>
        <w:gridCol w:w="1646"/>
        <w:gridCol w:w="1649"/>
        <w:gridCol w:w="303"/>
        <w:gridCol w:w="1038"/>
        <w:gridCol w:w="156"/>
        <w:gridCol w:w="109"/>
        <w:gridCol w:w="109"/>
        <w:gridCol w:w="109"/>
        <w:gridCol w:w="212"/>
        <w:gridCol w:w="410"/>
        <w:gridCol w:w="109"/>
        <w:gridCol w:w="109"/>
        <w:gridCol w:w="109"/>
        <w:gridCol w:w="109"/>
        <w:gridCol w:w="211"/>
        <w:gridCol w:w="721"/>
        <w:gridCol w:w="109"/>
        <w:gridCol w:w="109"/>
        <w:gridCol w:w="109"/>
        <w:gridCol w:w="109"/>
        <w:gridCol w:w="212"/>
        <w:gridCol w:w="410"/>
        <w:gridCol w:w="165"/>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5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bl>
    <w:tbl>
      <w:tblPr>
        <w:tblW w:w="7344" w:type="dxa"/>
        <w:jc w:val="left"/>
        <w:tblInd w:w="0" w:type="dxa"/>
        <w:tblLayout w:type="fixed"/>
        <w:tblCellMar>
          <w:top w:w="28" w:type="dxa"/>
          <w:left w:w="28" w:type="dxa"/>
          <w:bottom w:w="28" w:type="dxa"/>
          <w:right w:w="28" w:type="dxa"/>
        </w:tblCellMar>
      </w:tblPr>
      <w:tblGrid>
        <w:gridCol w:w="799"/>
        <w:gridCol w:w="702"/>
        <w:gridCol w:w="704"/>
        <w:gridCol w:w="276"/>
        <w:gridCol w:w="1081"/>
        <w:gridCol w:w="142"/>
        <w:gridCol w:w="109"/>
        <w:gridCol w:w="109"/>
        <w:gridCol w:w="109"/>
        <w:gridCol w:w="213"/>
        <w:gridCol w:w="411"/>
        <w:gridCol w:w="110"/>
        <w:gridCol w:w="109"/>
        <w:gridCol w:w="109"/>
        <w:gridCol w:w="109"/>
        <w:gridCol w:w="211"/>
        <w:gridCol w:w="826"/>
        <w:gridCol w:w="109"/>
        <w:gridCol w:w="109"/>
        <w:gridCol w:w="109"/>
        <w:gridCol w:w="109"/>
        <w:gridCol w:w="213"/>
        <w:gridCol w:w="411"/>
        <w:gridCol w:w="155"/>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i/>
                <w:color w:val="000000"/>
                <w:sz w:val="13"/>
              </w:rPr>
              <w:t>(2)</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(2) The carrying value of these investments is equal to their fair value due to the short-term nature of the investments as well as their credit quality.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September 30, 2023 and December 31, 2022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17,337,665 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13,767,315 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(1)These investments represent the JACK Master Lease, the Harrah’s Call Properties, the MGM Master Lease, the Foundation Master Lease, the Mirage Lease, the Gold Strike Lease, the PURE Master Lease and the Century Canadian Portfolio component of the Century Master Lease. In relation to the Harrah’s Call Properties, JACK Master Lease, Mirage Lease, Gold Strike Lease and MGM Master Lease, the fair value of these assets is based on significant “unobservable” market inputs and, as such, these fair value measurements are considered Level 3 of the fair value hierarchy. In relation to the Foundation Master Lease, PURE Master Lease and the Century Canadian Portfolio component of the Century Master Lease, given the proximity of the date of our investment to the date of the financial statements, we determined that the fair value materially approximates the purchase price of the acquisition of these financial assets.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(2)These investments represent our investments in twelve senior secured and mezzanine loans and one series of senior secured notes. 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September 30, 2023,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September 30, 2023 and December 31, 2022:</w:t>
      </w:r>
    </w:p>
    <w:tbl>
      <w:tblPr>
        <w:tblW w:w="8277" w:type="dxa"/>
        <w:jc w:val="left"/>
        <w:tblInd w:w="0" w:type="dxa"/>
        <w:tblLayout w:type="fixed"/>
        <w:tblCellMar>
          <w:top w:w="28" w:type="dxa"/>
          <w:left w:w="28" w:type="dxa"/>
          <w:bottom w:w="28" w:type="dxa"/>
          <w:right w:w="28" w:type="dxa"/>
        </w:tblCellMar>
      </w:tblPr>
      <w:tblGrid>
        <w:gridCol w:w="1723"/>
        <w:gridCol w:w="1514"/>
        <w:gridCol w:w="1518"/>
        <w:gridCol w:w="325"/>
        <w:gridCol w:w="1112"/>
        <w:gridCol w:w="168"/>
        <w:gridCol w:w="109"/>
        <w:gridCol w:w="109"/>
        <w:gridCol w:w="109"/>
        <w:gridCol w:w="309"/>
        <w:gridCol w:w="1056"/>
        <w:gridCol w:w="225"/>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September 30, 2023 and December 31, 2022, sales-type sub-leases are net of $19.3 million and $19.8 million of allowance for credit losses, respectively. Refer to </w:t>
      </w:r>
      <w:hyperlink w:anchor="ie1960b1d976b4148b3d478b9e76c8e4e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078" w:type="dxa"/>
        <w:jc w:val="left"/>
        <w:tblInd w:w="0" w:type="dxa"/>
        <w:tblLayout w:type="fixed"/>
        <w:tblCellMar>
          <w:top w:w="28" w:type="dxa"/>
          <w:left w:w="28" w:type="dxa"/>
          <w:bottom w:w="28" w:type="dxa"/>
          <w:right w:w="28" w:type="dxa"/>
        </w:tblCellMar>
      </w:tblPr>
      <w:tblGrid>
        <w:gridCol w:w="913"/>
        <w:gridCol w:w="803"/>
        <w:gridCol w:w="804"/>
        <w:gridCol w:w="224"/>
        <w:gridCol w:w="497"/>
        <w:gridCol w:w="109"/>
        <w:gridCol w:w="109"/>
        <w:gridCol w:w="109"/>
        <w:gridCol w:w="109"/>
        <w:gridCol w:w="224"/>
        <w:gridCol w:w="497"/>
        <w:gridCol w:w="109"/>
        <w:gridCol w:w="109"/>
        <w:gridCol w:w="109"/>
        <w:gridCol w:w="109"/>
        <w:gridCol w:w="211"/>
        <w:gridCol w:w="616"/>
        <w:gridCol w:w="109"/>
        <w:gridCol w:w="109"/>
        <w:gridCol w:w="109"/>
        <w:gridCol w:w="109"/>
        <w:gridCol w:w="211"/>
        <w:gridCol w:w="61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 expense</w:t>
            </w:r>
            <w:r>
              <w:rPr>
                <w:rFonts w:ascii="Times New Roman;sans-serif" w:hAnsi="Times New Roman;sans-serif"/>
                <w:b w:val="false"/>
                <w:color w:val="000000"/>
                <w:sz w:val="13"/>
              </w:rPr>
              <w:t>(1)</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Rental income and expense</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Rental income and expense</w:t>
            </w:r>
            <w:r>
              <w:rPr>
                <w:rFonts w:ascii="Times New Roman;sans-serif" w:hAnsi="Times New Roman;sans-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September 30, 2023 are as follows: </w:t>
      </w:r>
    </w:p>
    <w:tbl>
      <w:tblPr>
        <w:tblW w:w="10205" w:type="dxa"/>
        <w:jc w:val="left"/>
        <w:tblInd w:w="0" w:type="dxa"/>
        <w:tblLayout w:type="fixed"/>
        <w:tblCellMar>
          <w:top w:w="28" w:type="dxa"/>
          <w:left w:w="28" w:type="dxa"/>
          <w:bottom w:w="28" w:type="dxa"/>
          <w:right w:w="28" w:type="dxa"/>
        </w:tblCellMar>
      </w:tblPr>
      <w:tblGrid>
        <w:gridCol w:w="969"/>
        <w:gridCol w:w="820"/>
        <w:gridCol w:w="773"/>
        <w:gridCol w:w="109"/>
        <w:gridCol w:w="109"/>
        <w:gridCol w:w="109"/>
        <w:gridCol w:w="412"/>
        <w:gridCol w:w="1409"/>
        <w:gridCol w:w="214"/>
        <w:gridCol w:w="109"/>
        <w:gridCol w:w="109"/>
        <w:gridCol w:w="109"/>
        <w:gridCol w:w="460"/>
        <w:gridCol w:w="1576"/>
        <w:gridCol w:w="240"/>
        <w:gridCol w:w="109"/>
        <w:gridCol w:w="109"/>
        <w:gridCol w:w="109"/>
        <w:gridCol w:w="369"/>
        <w:gridCol w:w="1708"/>
        <w:gridCol w:w="274"/>
      </w:tblGrid>
      <w:tr>
        <w:trPr/>
        <w:tc>
          <w:tcPr>
            <w:tcW w:w="9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2,595,488 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2,916,638 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2,110,460 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806,178 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 8.0%</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years</w:t>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2023, we completed a primary forward offering of 30,302,500 shares of common stock (inclusive of 3,952,500 shares sold pursuant to the exercise in full of the underwriters’ option to purchase additional shares of common stock) at a public offering price of $33.00 per share for an aggregate offering value of $1,000.0 million, resulting in net proceeds, after deduction of the underwriting discount and expenses, of $964.4 million, subject to forward sale agreements (the “January 2023 Forward Sale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terms of the forward sale agreements outstanding as of September 30, 2023: </w:t>
      </w:r>
    </w:p>
    <w:tbl>
      <w:tblPr>
        <w:tblW w:w="10205" w:type="dxa"/>
        <w:jc w:val="left"/>
        <w:tblInd w:w="0" w:type="dxa"/>
        <w:tblLayout w:type="fixed"/>
        <w:tblCellMar>
          <w:top w:w="28" w:type="dxa"/>
          <w:left w:w="28" w:type="dxa"/>
          <w:bottom w:w="28" w:type="dxa"/>
          <w:right w:w="28" w:type="dxa"/>
        </w:tblCellMar>
      </w:tblPr>
      <w:tblGrid>
        <w:gridCol w:w="654"/>
        <w:gridCol w:w="420"/>
        <w:gridCol w:w="423"/>
        <w:gridCol w:w="293"/>
        <w:gridCol w:w="293"/>
        <w:gridCol w:w="294"/>
        <w:gridCol w:w="109"/>
        <w:gridCol w:w="109"/>
        <w:gridCol w:w="109"/>
        <w:gridCol w:w="444"/>
        <w:gridCol w:w="368"/>
        <w:gridCol w:w="369"/>
        <w:gridCol w:w="109"/>
        <w:gridCol w:w="109"/>
        <w:gridCol w:w="109"/>
        <w:gridCol w:w="266"/>
        <w:gridCol w:w="778"/>
        <w:gridCol w:w="137"/>
        <w:gridCol w:w="109"/>
        <w:gridCol w:w="109"/>
        <w:gridCol w:w="109"/>
        <w:gridCol w:w="237"/>
        <w:gridCol w:w="931"/>
        <w:gridCol w:w="122"/>
        <w:gridCol w:w="109"/>
        <w:gridCol w:w="109"/>
        <w:gridCol w:w="109"/>
        <w:gridCol w:w="293"/>
        <w:gridCol w:w="857"/>
        <w:gridCol w:w="151"/>
        <w:gridCol w:w="109"/>
        <w:gridCol w:w="109"/>
        <w:gridCol w:w="109"/>
        <w:gridCol w:w="217"/>
        <w:gridCol w:w="851"/>
        <w:gridCol w:w="172"/>
      </w:tblGrid>
      <w:tr>
        <w:trPr/>
        <w:tc>
          <w:tcPr>
            <w:tcW w:w="6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Shares 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Forward Sales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January 2023 Forward Sale Agreements </w:t>
            </w:r>
            <w:r>
              <w:rPr>
                <w:rFonts w:ascii="Times New Roman;sans-serif" w:hAnsi="Times New Roman;sans-serif"/>
                <w:b w:val="false"/>
                <w:i/>
                <w:color w:val="000000"/>
                <w:sz w:val="13"/>
              </w:rPr>
              <w:t>(2) (3)</w:t>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563,186 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(1)The forward sale agreements generally require settlement within twelve months of the trade date, which is January 16, 2024 with respect to the January 2023 Forward Sale Agreements.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 of September 30, 2023, the net forward sales price per share under the January 2023 Forward Sale Agreements was $31.58 and would result in us receiving approximately $559.1 million in net cash proceeds if we were to physically settle the shares. Alternatively, if we were to cash settle the shares under the January 2023 Forward Sale Agreements, it would result in a cash inflow of $44.0 million, or, if we were to net share settle the shares under the January 2023 Forward Sale Agreements, it would result in us receiving approximately 1.5 million shares. </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(3)</w:t>
      </w:r>
      <w:r>
        <w:rPr>
          <w:rFonts w:ascii="Times New Roman;sans-serif" w:hAnsi="Times New Roman;sans-serif"/>
          <w:b w:val="false"/>
          <w:i/>
          <w:color w:val="000000"/>
          <w:sz w:val="16"/>
        </w:rPr>
        <w:t>Subsequent to quarter-end, on October 17, 2023, we physically settled all of the remaining 17,702,500 shares of common stock under the January 2023 Forward Sale Agreements at a forward sale price of $31.65 per share in exchange for total net proceeds of approximately $560.3 million to fund a portion of the purchase price of the Bowlero Transaction and for general corporate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each of the respective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settlement activity of the outstanding forward sale agreements during the nine months ended September 30, 2023: </w:t>
      </w:r>
    </w:p>
    <w:tbl>
      <w:tblPr>
        <w:tblW w:w="10205" w:type="dxa"/>
        <w:jc w:val="left"/>
        <w:tblInd w:w="0" w:type="dxa"/>
        <w:tblLayout w:type="fixed"/>
        <w:tblCellMar>
          <w:top w:w="28" w:type="dxa"/>
          <w:left w:w="28" w:type="dxa"/>
          <w:bottom w:w="28" w:type="dxa"/>
          <w:right w:w="28" w:type="dxa"/>
        </w:tblCellMar>
      </w:tblPr>
      <w:tblGrid>
        <w:gridCol w:w="798"/>
        <w:gridCol w:w="585"/>
        <w:gridCol w:w="589"/>
        <w:gridCol w:w="370"/>
        <w:gridCol w:w="370"/>
        <w:gridCol w:w="371"/>
        <w:gridCol w:w="109"/>
        <w:gridCol w:w="109"/>
        <w:gridCol w:w="109"/>
        <w:gridCol w:w="357"/>
        <w:gridCol w:w="357"/>
        <w:gridCol w:w="358"/>
        <w:gridCol w:w="109"/>
        <w:gridCol w:w="109"/>
        <w:gridCol w:w="109"/>
        <w:gridCol w:w="694"/>
        <w:gridCol w:w="499"/>
        <w:gridCol w:w="413"/>
        <w:gridCol w:w="109"/>
        <w:gridCol w:w="109"/>
        <w:gridCol w:w="109"/>
        <w:gridCol w:w="404"/>
        <w:gridCol w:w="1180"/>
        <w:gridCol w:w="208"/>
        <w:gridCol w:w="109"/>
        <w:gridCol w:w="109"/>
        <w:gridCol w:w="109"/>
        <w:gridCol w:w="236"/>
        <w:gridCol w:w="927"/>
        <w:gridCol w:w="181"/>
      </w:tblGrid>
      <w:tr>
        <w:trPr/>
        <w:tc>
          <w:tcPr>
            <w:tcW w:w="79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Upon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Forward Sale Agreements</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Forward Sale Agreements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Forward Sale Agreements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settlement activity of the outstanding forward sale agreements during the nine months ended September 30, 2022: </w:t>
      </w:r>
    </w:p>
    <w:tbl>
      <w:tblPr>
        <w:tblW w:w="10205" w:type="dxa"/>
        <w:jc w:val="left"/>
        <w:tblInd w:w="0" w:type="dxa"/>
        <w:tblLayout w:type="fixed"/>
        <w:tblCellMar>
          <w:top w:w="28" w:type="dxa"/>
          <w:left w:w="28" w:type="dxa"/>
          <w:bottom w:w="28" w:type="dxa"/>
          <w:right w:w="28" w:type="dxa"/>
        </w:tblCellMar>
      </w:tblPr>
      <w:tblGrid>
        <w:gridCol w:w="782"/>
        <w:gridCol w:w="566"/>
        <w:gridCol w:w="570"/>
        <w:gridCol w:w="381"/>
        <w:gridCol w:w="381"/>
        <w:gridCol w:w="382"/>
        <w:gridCol w:w="109"/>
        <w:gridCol w:w="109"/>
        <w:gridCol w:w="109"/>
        <w:gridCol w:w="354"/>
        <w:gridCol w:w="354"/>
        <w:gridCol w:w="355"/>
        <w:gridCol w:w="109"/>
        <w:gridCol w:w="109"/>
        <w:gridCol w:w="109"/>
        <w:gridCol w:w="694"/>
        <w:gridCol w:w="491"/>
        <w:gridCol w:w="402"/>
        <w:gridCol w:w="109"/>
        <w:gridCol w:w="109"/>
        <w:gridCol w:w="109"/>
        <w:gridCol w:w="395"/>
        <w:gridCol w:w="1156"/>
        <w:gridCol w:w="204"/>
        <w:gridCol w:w="109"/>
        <w:gridCol w:w="109"/>
        <w:gridCol w:w="109"/>
        <w:gridCol w:w="224"/>
        <w:gridCol w:w="1037"/>
        <w:gridCol w:w="169"/>
      </w:tblGrid>
      <w:tr>
        <w:trPr/>
        <w:tc>
          <w:tcPr>
            <w:tcW w:w="78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Share Price Upon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Forward Sale Agreements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2021 Forward Sale Agreements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69,000,000 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we entered into an equity distribution agreement, pursuant to which we may sell, from time to time, up to an aggregate sales price of $1,500.0 million of our common stock and terminated our prior equity distribution agreement, pursuant to which we previously sold, from time to time, shares of our common stock (collectively, the “ATM Program”). Sales of common stock, if any, made pursuant to the ATM Program may be sold in negotiated transactions or transactions that are deemed to be “at the market” offerings, as defined in Rule 415 of the Securities Act. The equity distribution agreement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activity under the ATM Program during the nine months ended September 30, 2023 and 2022, all of which were sold subject to forward sale agreements. </w:t>
      </w:r>
    </w:p>
    <w:tbl>
      <w:tblPr>
        <w:tblW w:w="10205" w:type="dxa"/>
        <w:jc w:val="left"/>
        <w:tblInd w:w="0" w:type="dxa"/>
        <w:tblLayout w:type="fixed"/>
        <w:tblCellMar>
          <w:top w:w="28" w:type="dxa"/>
          <w:left w:w="28" w:type="dxa"/>
          <w:bottom w:w="28" w:type="dxa"/>
          <w:right w:w="28" w:type="dxa"/>
        </w:tblCellMar>
      </w:tblPr>
      <w:tblGrid>
        <w:gridCol w:w="759"/>
        <w:gridCol w:w="584"/>
        <w:gridCol w:w="588"/>
        <w:gridCol w:w="540"/>
        <w:gridCol w:w="541"/>
        <w:gridCol w:w="325"/>
        <w:gridCol w:w="109"/>
        <w:gridCol w:w="109"/>
        <w:gridCol w:w="109"/>
        <w:gridCol w:w="310"/>
        <w:gridCol w:w="904"/>
        <w:gridCol w:w="160"/>
        <w:gridCol w:w="109"/>
        <w:gridCol w:w="109"/>
        <w:gridCol w:w="109"/>
        <w:gridCol w:w="223"/>
        <w:gridCol w:w="875"/>
        <w:gridCol w:w="115"/>
        <w:gridCol w:w="109"/>
        <w:gridCol w:w="109"/>
        <w:gridCol w:w="109"/>
        <w:gridCol w:w="364"/>
        <w:gridCol w:w="1064"/>
        <w:gridCol w:w="188"/>
        <w:gridCol w:w="109"/>
        <w:gridCol w:w="109"/>
        <w:gridCol w:w="109"/>
        <w:gridCol w:w="239"/>
        <w:gridCol w:w="937"/>
        <w:gridCol w:w="181"/>
      </w:tblGrid>
      <w:tr>
        <w:trPr/>
        <w:tc>
          <w:tcPr>
            <w:tcW w:w="75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ATM Forward Sale Agreement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11,380,980 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ATM Forward Sale Agreement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3,918,807 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June 2023 ATM Forward Sale Agreement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July 2023 ATM Forward Sale Agreement </w:t>
            </w:r>
            <w:r>
              <w:rPr>
                <w:rFonts w:ascii="Times New Roman;sans-serif" w:hAnsi="Times New Roman;sans-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September 2023 ATM Forward Sale Agreement </w:t>
            </w:r>
            <w:r>
              <w:rPr>
                <w:rFonts w:ascii="Times New Roman;sans-serif" w:hAnsi="Times New Roman;sans-serif"/>
                <w:b w:val="false"/>
                <w:color w:val="000000"/>
                <w:sz w:val="13"/>
              </w:rPr>
              <w:t>(3)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7,572,281 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(1)As of September 30, 2023, the net forward sales price per share under the June 2023 ATM Forward Sale Agreement was $31.67 and would result in us receiving approximately $10.4 million in net cash proceeds if we were to physically settle the shares. Alternatively, if we were to cash settle the shares under the June 2023 ATM Forward Sale Agreements, it would result in a cash inflow of $0.8 million, or, if we were to net share settle the shares under the June 2023 ATM Forward Sale Agreements, it would result in us receiving approximately 28,858 shares.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(2)As of September 30, 2023, the net forward sales price per share under the July 2023 ATM Forward Sale Agreement was $31.71 and would result in us receiving approximately $8.6 million in net cash proceeds if we were to physically settle the shares. Alternatively, if we were to cash settle the shares under the July 2023 ATM Forward Sale Agreements, it would result in a cash inflow of $0.7 million, or, if we were to net share settle the shares under the July 2023 ATM Forward Sale Agreements, it would result in us receiving approximately 24,300 shares.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(3)As of September 30, 2023, the net forward sales price per share under the September 2023 ATM Forward Sale Agreement was $30.26 and would result in us receiving approximately $229.2 million in net cash proceeds if we were to physically settle the shares. Alternatively, if we were to cash settle the shares under the September 2023 ATM Forward Sale Agreements, it would result in a cash inflow of $8.8 million, or, if we were to net share settle the shares under the September 2023 ATM Forward Sale Agreements, it would result in us receiving approximately 302,553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each of the respective ATM Program forward sale agreements. We determined that the ATM Program forward sale agreements meet the criteria for equity classification and, therefore, are exempt from derivative accounting. We recorded the ATM Program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the ATM Program, all of which were sold subject to the ATM Program forward sale agreements and the previous equity distribution agreement, as applicable, during the nine months ended September 30, 2023. There was no settlement activity of the outstanding forward shares under the ATM Program during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788"/>
        <w:gridCol w:w="617"/>
        <w:gridCol w:w="621"/>
        <w:gridCol w:w="361"/>
        <w:gridCol w:w="361"/>
        <w:gridCol w:w="362"/>
        <w:gridCol w:w="109"/>
        <w:gridCol w:w="109"/>
        <w:gridCol w:w="109"/>
        <w:gridCol w:w="355"/>
        <w:gridCol w:w="355"/>
        <w:gridCol w:w="357"/>
        <w:gridCol w:w="109"/>
        <w:gridCol w:w="109"/>
        <w:gridCol w:w="109"/>
        <w:gridCol w:w="694"/>
        <w:gridCol w:w="495"/>
        <w:gridCol w:w="408"/>
        <w:gridCol w:w="109"/>
        <w:gridCol w:w="109"/>
        <w:gridCol w:w="109"/>
        <w:gridCol w:w="402"/>
        <w:gridCol w:w="1175"/>
        <w:gridCol w:w="207"/>
        <w:gridCol w:w="109"/>
        <w:gridCol w:w="109"/>
        <w:gridCol w:w="109"/>
        <w:gridCol w:w="235"/>
        <w:gridCol w:w="923"/>
        <w:gridCol w:w="181"/>
      </w:tblGrid>
      <w:tr>
        <w:trPr/>
        <w:tc>
          <w:tcPr>
            <w:tcW w:w="78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Share Price Upon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 ATM Forward Sale Agreement</w:t>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6,317,805 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ATM Forward Sale Agreement</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3,918,807 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ATM Forward Sale Agreement</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11,380,980 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8,170,658 forward shares outstanding under the ATM Program.</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13"/>
        <w:gridCol w:w="1929"/>
        <w:gridCol w:w="1935"/>
        <w:gridCol w:w="109"/>
        <w:gridCol w:w="109"/>
        <w:gridCol w:w="109"/>
        <w:gridCol w:w="927"/>
        <w:gridCol w:w="409"/>
        <w:gridCol w:w="235"/>
        <w:gridCol w:w="235"/>
        <w:gridCol w:w="235"/>
        <w:gridCol w:w="235"/>
        <w:gridCol w:w="823"/>
        <w:gridCol w:w="363"/>
        <w:gridCol w:w="339"/>
      </w:tblGrid>
      <w:tr>
        <w:trPr/>
        <w:tc>
          <w:tcPr>
            <w:tcW w:w="221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628,942,092 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53,192,592 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119,000,000 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MGP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1,016,827,883 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963,093,424 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nine months ended September 30, 2023 and 2022 were as follows:</w:t>
      </w:r>
    </w:p>
    <w:tbl>
      <w:tblPr>
        <w:tblW w:w="10088"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70"/>
        <w:gridCol w:w="970"/>
        <w:gridCol w:w="985"/>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88"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70"/>
        <w:gridCol w:w="970"/>
        <w:gridCol w:w="985"/>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2022 –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2022 –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e1960b1d976b4148b3d478b9e76c8e4e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281"/>
        <w:gridCol w:w="1008"/>
        <w:gridCol w:w="1012"/>
        <w:gridCol w:w="748"/>
        <w:gridCol w:w="588"/>
        <w:gridCol w:w="151"/>
        <w:gridCol w:w="151"/>
        <w:gridCol w:w="151"/>
        <w:gridCol w:w="151"/>
        <w:gridCol w:w="664"/>
        <w:gridCol w:w="522"/>
        <w:gridCol w:w="151"/>
        <w:gridCol w:w="109"/>
        <w:gridCol w:w="109"/>
        <w:gridCol w:w="109"/>
        <w:gridCol w:w="677"/>
        <w:gridCol w:w="659"/>
        <w:gridCol w:w="142"/>
        <w:gridCol w:w="142"/>
        <w:gridCol w:w="142"/>
        <w:gridCol w:w="142"/>
        <w:gridCol w:w="601"/>
        <w:gridCol w:w="585"/>
        <w:gridCol w:w="210"/>
      </w:tblGrid>
      <w:tr>
        <w:trPr/>
        <w:tc>
          <w:tcPr>
            <w:tcW w:w="128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962,573,646 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848,839,357 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964,134,340 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850,823,037 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5"/>
        <w:gridCol w:w="1077"/>
        <w:gridCol w:w="1085"/>
        <w:gridCol w:w="271"/>
        <w:gridCol w:w="1065"/>
        <w:gridCol w:w="109"/>
        <w:gridCol w:w="109"/>
        <w:gridCol w:w="109"/>
        <w:gridCol w:w="109"/>
        <w:gridCol w:w="241"/>
        <w:gridCol w:w="945"/>
        <w:gridCol w:w="109"/>
        <w:gridCol w:w="109"/>
        <w:gridCol w:w="109"/>
        <w:gridCol w:w="109"/>
        <w:gridCol w:w="237"/>
        <w:gridCol w:w="1099"/>
        <w:gridCol w:w="109"/>
        <w:gridCol w:w="109"/>
        <w:gridCol w:w="109"/>
        <w:gridCol w:w="109"/>
        <w:gridCol w:w="241"/>
        <w:gridCol w:w="945"/>
        <w:gridCol w:w="156"/>
      </w:tblGrid>
      <w:tr>
        <w:trPr/>
        <w:tc>
          <w:tcPr>
            <w:tcW w:w="153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962,573,646 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848,839,357 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basic EPS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964,134,340 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850,823,037 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diluted EPS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226"/>
        <w:gridCol w:w="982"/>
        <w:gridCol w:w="987"/>
        <w:gridCol w:w="748"/>
        <w:gridCol w:w="588"/>
        <w:gridCol w:w="161"/>
        <w:gridCol w:w="161"/>
        <w:gridCol w:w="161"/>
        <w:gridCol w:w="161"/>
        <w:gridCol w:w="664"/>
        <w:gridCol w:w="522"/>
        <w:gridCol w:w="161"/>
        <w:gridCol w:w="109"/>
        <w:gridCol w:w="109"/>
        <w:gridCol w:w="109"/>
        <w:gridCol w:w="696"/>
        <w:gridCol w:w="640"/>
        <w:gridCol w:w="153"/>
        <w:gridCol w:w="153"/>
        <w:gridCol w:w="153"/>
        <w:gridCol w:w="153"/>
        <w:gridCol w:w="617"/>
        <w:gridCol w:w="569"/>
        <w:gridCol w:w="222"/>
      </w:tblGrid>
      <w:tr>
        <w:trPr/>
        <w:tc>
          <w:tcPr>
            <w:tcW w:w="122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1,025,218,157 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974,805,019 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1,019,341,441 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855,783,910 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795,370 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1,025,821,013 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976,365,713 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1,020,668,825 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857,767,590 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71" w:type="dxa"/>
        <w:jc w:val="left"/>
        <w:tblInd w:w="0" w:type="dxa"/>
        <w:tblLayout w:type="fixed"/>
        <w:tblCellMar>
          <w:top w:w="28" w:type="dxa"/>
          <w:left w:w="28" w:type="dxa"/>
          <w:bottom w:w="28" w:type="dxa"/>
          <w:right w:w="28" w:type="dxa"/>
        </w:tblCellMar>
      </w:tblPr>
      <w:tblGrid>
        <w:gridCol w:w="1253"/>
        <w:gridCol w:w="1102"/>
        <w:gridCol w:w="1110"/>
        <w:gridCol w:w="271"/>
        <w:gridCol w:w="1065"/>
        <w:gridCol w:w="109"/>
        <w:gridCol w:w="109"/>
        <w:gridCol w:w="109"/>
        <w:gridCol w:w="109"/>
        <w:gridCol w:w="241"/>
        <w:gridCol w:w="945"/>
        <w:gridCol w:w="109"/>
        <w:gridCol w:w="109"/>
        <w:gridCol w:w="109"/>
        <w:gridCol w:w="109"/>
        <w:gridCol w:w="237"/>
        <w:gridCol w:w="1099"/>
        <w:gridCol w:w="109"/>
        <w:gridCol w:w="109"/>
        <w:gridCol w:w="109"/>
        <w:gridCol w:w="109"/>
        <w:gridCol w:w="241"/>
        <w:gridCol w:w="945"/>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974,805,019 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855,783,910 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basic EPU</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976,365,713 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857,767,590 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diluted EPU</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80" w:after="283"/>
        <w:jc w:val="left"/>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2023, 10.2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7875" w:type="dxa"/>
        <w:jc w:val="left"/>
        <w:tblInd w:w="0" w:type="dxa"/>
        <w:tblLayout w:type="fixed"/>
        <w:tblCellMar>
          <w:top w:w="28" w:type="dxa"/>
          <w:left w:w="28" w:type="dxa"/>
          <w:bottom w:w="28" w:type="dxa"/>
          <w:right w:w="28" w:type="dxa"/>
        </w:tblCellMar>
      </w:tblPr>
      <w:tblGrid>
        <w:gridCol w:w="1085"/>
        <w:gridCol w:w="954"/>
        <w:gridCol w:w="96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(210,165)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588,134 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513,880 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768,634 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$22.1 million of unrecognized compensation cost related to non-vested stock-based compensation arrangements under the Plan. This cost is expected to be recognized over a weighted average period of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and nine months ended September 30, 2023 should be read in conjunction with the Financial Statements and related notes thereto and other financial information contained elsewhere in this Quarterly Report on Form 10-Q and the audited consolidated financial statements and related notes for the year ended December 31, 2022,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2022</w:t>
        </w:r>
      </w:hyperlink>
      <w:r>
        <w:rPr>
          <w:rFonts w:ascii="Times New Roman;sans-serif" w:hAnsi="Times New Roman;sans-serif"/>
          <w:b w:val="false"/>
          <w:i/>
          <w:color w:val="000000"/>
          <w:sz w:val="20"/>
        </w:rPr>
        <w:t xml:space="preserve">. All defined terms included herein have the same meaning as those set forth in the </w:t>
      </w:r>
      <w:hyperlink w:anchor="ie1960b1d976b4148b3d478b9e76c8e4e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foreign currency exchange rate fluctuations, supply chain disruptions, consumer confidence levels, changes in consumer spending, unemployment levels and depressed real estate prices resulting from the severity and duration of any downturn in the U.S. or global economy; the impact of recent and potential future interest rate increases on us, including our ability to successfully pursue investments in, and acquisitions of, additional properties and to obtain debt financing for such investments at attractive interest rates, or at all; risks associated with our pending and recently closed transactions, including our ability or failure to realize the anticipated benefits thereof; our dependence on our tenants at our properties, including their financial condition, results of operations, cash flows and performance, and their affiliates that serve as guarantors of the lease payments, and the negative consequences any material adverse effect on their respective businesses could have on us; the possibility that our pending transactions may not be consummated on the terms or timeframes contemplated, or at all; the ability of the parties to our pending transactions and any future transactions to satisfy the conditions set forth in the definitive transaction documents, including the ability to receive, or delays in obtaining, the governmental and regulatory approvals and consents required to consummate the pending transactions, or other delays or impediments to completing the transactions; our ability to obtain the financing necessary to complete any acquisitions on the terms we expect in a timely manner, or at all; the anticipated benefits of certain arrangements with certain tenants in connection with our Partner Property Growth Fund; our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our inability to successfully pursue investments in, and acquisitions of, additional properties; the possibility that we identify significant environmental, tax, legal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other issues that materially and adversely impact the value of assets acquired or secured as collateral (or other benefits we expect to receive) in any of our pending or recently completed transactions; the impact of changes to the U.S. federal income tax laws; the possibility of adverse tax consequences as a result of our pending or recently completed transactions, including tax protection agreements to which we are a party; increased volatility in our stock price, including as a result of our pending or recently completed transactions; our inability to maintain our qualification for taxation as a REIT;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a Maryland corporation that is primarily engaged in the business of owning and acquiring gaming, hospitality and entertainment destinations, subject to long-term triple net leases. We own 92 experiential assets across a geographically diverse portfolio consisting of 54 gaming properties and 38 non-gaming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ans-serif" w:hAnsi="Times New Roman;sans-serif"/>
          <w:b w:val="false"/>
          <w:color w:val="000000"/>
          <w:sz w:val="20"/>
          <w:shd w:fill="FFFFFF" w:val="clear"/>
        </w:rPr>
        <w:t xml:space="preserve">125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also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our properties to subsidiaries of, or entities managed by, Apollo, Bowlero, Caesars, Century Casinos, CNB, EBCI, Foundation Gaming, JACK Entertainment, MGM, PENN Entertainment, PURE Canadian Gaming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is competitively positioned and well-maintained. Pursuant to the terms of the Lease Agreements, which require our tenants to invest in our properties, and in line with our tenants’ commitment to build guest loyalty, we anticipate our tenants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and nine months ended September 30,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as a result of the current economic environment, including the impact of recent and potential future interest rate increases, inflation and increased cost of capital. </w:t>
      </w:r>
      <w:r>
        <w:rPr>
          <w:rFonts w:ascii="Times New Roman;sans-serif" w:hAnsi="Times New Roman;sans-serif"/>
          <w:b w:val="false"/>
          <w:color w:val="000000"/>
          <w:sz w:val="20"/>
          <w:shd w:fill="FFFFFF" w:val="clear"/>
        </w:rPr>
        <w:t xml:space="preserve">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2022</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Bowlero Transaction.</w:t>
      </w:r>
      <w:r>
        <w:rPr>
          <w:color w:val="000000"/>
        </w:rPr>
        <w:t xml:space="preserve"> </w:t>
      </w:r>
      <w:r>
        <w:rPr>
          <w:rFonts w:ascii="Times New Roman;sans-serif" w:hAnsi="Times New Roman;sans-serif"/>
          <w:b w:val="false"/>
          <w:color w:val="000000"/>
          <w:sz w:val="20"/>
        </w:rPr>
        <w:t xml:space="preserve">Subsequent to quarter-end, on October 19, 2023, we entered the family entertainment sector by acquiring the real estate assets of the Bowlero Portfolio from Bowlero in a sale-leaseback transaction for an aggregate purchase price of $432.9 million. The transaction was funded through a combination of units in a newly formed VICI subsidiary issued to Bowlero, cash on hand, and a portion of proceeds from the settlement of the remaining shares under the January 2023 Forward Sale Agreements. Simultaneous with the closing of the Bowlero Transaction, we entered into the Bowlero Master Lease. The Bowlero Master Lease has an initial total annual rent of $31.6 million and an initial term of 25 years, with six 5-year tenant renewal options. Rent under the lease will escalate at the greater of 2.0% or CPI (subject to a 2.5% ceiling). The tenant’s obligations under the Bowlero Master Lease are guaranteed by Bowlero. Additionally, the Bowlero Master Lease contains a right of first offer provisions under which, for a term of eight years, we have the right to acquire the real estate assets of any current or future Bowlero properties in the event that Bowlero elects to enter into a sale-leaseback transaction.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Century Canadian Portfolio Transaction. </w:t>
      </w:r>
      <w:r>
        <w:rPr>
          <w:rFonts w:ascii="Times New Roman;sans-serif" w:hAnsi="Times New Roman;sans-serif"/>
          <w:b w:val="false"/>
          <w:color w:val="000000"/>
          <w:sz w:val="20"/>
        </w:rPr>
        <w:t xml:space="preserve">On September 6, 2023, we closed on the previously announced acquisition of the leasehold interest in the land and buildings associated with real estate assets of Century Casino &amp; Hotel Edmonton, Century Casino St. Albert and Century Mile Racetrack and Casino, each in Edmonton, Alberta, and Century Downs Racetrack and Casino in Calgary, Alberta, from Century Casinos for an aggregate purchase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C$221.7 million (approximately US$162.5 million based on the exchange rate at the time of closing). We financed the Century Canadian Portfolio Transaction with a combination of cash on hand, proceeds from the partial settlement of forward equity sale agreements and a C$75.0 million (approximately US$55.0 million based on the exchange rate at the time of closing) draw under our Revolving Credit Facility. Simultaneous with the closing of the transaction, the Century Canadian Portfolio was added to the Century Master Lease and annual rent increased by C$17.3 million (approximately US$12.7 million based on the exchange rate at the time of closing). Additionally, the term of the Century Master Lease was extended such that, upon closing of the transaction, the lease has a full 15-year initial base lease term, with three 5-year tenant renewal options. Century Casinos previously exercised one 5-year tenant renewal option. The tenants’ obligations under the Century Master Lease continue to be guaranteed by Century Casinos.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Rocky Gap Casino Transaction. </w:t>
      </w:r>
      <w:r>
        <w:rPr>
          <w:rFonts w:ascii="Times New Roman;sans-serif" w:hAnsi="Times New Roman;sans-serif"/>
          <w:b w:val="false"/>
          <w:color w:val="000000"/>
          <w:sz w:val="20"/>
        </w:rPr>
        <w:t>On July 25, 2023, we closed on the previously announced acquisition of the Rocky Gap Casino, located in Flintstone, Maryland with Century Casinos, from Golden Entertainment, Inc. for an aggregate purchase price of $260.0 million. Pursuant to the transaction agreements, we acquired the leasehold interest in the land and buildings associated with the Rocky Gap Casino for approximately $203.9 million and Century Casinos acquired the operating assets of the property for approximately $56.1 million. Simultaneous with the closing of the transaction, the Century Master Lease was amended to include the Rocky Gap Casino, and annual rent under the Century Master Lease increased by $15.5 million. Additionally, the term of the Century Master Lease was extended such that, upon closing of the transaction, the lease has a full 15-year initial base lease term remaining. Century Casinos previously exercised one 5-year tenant renewal option and three additional 5-year tenant renewal options are remaining. The tenants’ obligations under the Century Master Lease continue to be guaranteed by Century Casinos.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MGM Grand/Mandalay Bay JV Interest Acquisition. </w:t>
      </w:r>
      <w:r>
        <w:rPr>
          <w:rFonts w:ascii="Times New Roman;sans-serif" w:hAnsi="Times New Roman;sans-serif"/>
          <w:b w:val="false"/>
          <w:color w:val="000000"/>
          <w:sz w:val="20"/>
        </w:rPr>
        <w:t xml:space="preserve">On January 9, 2023, we closed on the previously announced MGM Grand/Mandalay Bay JV Interest Acquisition, acquiring the remaining 49.9% interest in the MGM Grand/Mandalay Bay JV from BREIT for cash consideration of $1,261.9 million. We also assumed the remaining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10-year tenant renewal options. Rent under the MGM Grand/Mandalay Bay Lease escalates annually at 2.0% through 2035 (year 15 of the initial lease term) and thereafter at the greater of 2.0% or CPI (subject to a 3.0% ceiling). As of December 31, 2022, the MGM Grand/Mandalay Bay JV was accounted for as an equity method investment within Investment in unconsolidated affiliate on our Balance Sheet. Simultaneous with closing of the MGM Grand/Mandalay Bay JV Interest Acquisition, as a result of acquiring full ownership of the joint venture, we consolidated the net assets and operations of the MGM Grand/Mandalay Bay JV.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PURE Canadian Gaming Transaction. </w:t>
      </w:r>
      <w:r>
        <w:rPr>
          <w:rFonts w:ascii="Times New Roman;sans-serif" w:hAnsi="Times New Roman;sans-serif"/>
          <w:b w:val="false"/>
          <w:color w:val="000000"/>
          <w:sz w:val="20"/>
        </w:rPr>
        <w:t>On January 6, 2023, we completed the PURE Canadian Gaming Transaction, acquiring the real estate assets of PURE Casino Edmonton, PURE Casino Yellowhead, PURE Casino Calgary, and PURE Casino Lethbridge, all of which are located in Alberta, Canada, from PURE Canadian Gaming for an aggregate purchase price in cash of approximately C$271.9 million (approximately US$200.8 million based on the exchange rate at the time of the acquisition). We financed the PURE Canadian Gaming Transaction with a combination of cash on hand and drawing down C$140.0 million (approximately US$103.4 million based on the exchange rate at the time of the acquisition)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Canadian Consumer Price Index, capped at 2.5%) and minimum capital expenditure requirements of 1.0% of annual net revenue (excluding gaming equipment). The tenant’s obligations under the PURE Master Lease are guaranteed by the parent entity of PURE Canadian Gaming.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Leasing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Gold Strike Severance Lease. </w:t>
      </w:r>
      <w:r>
        <w:rPr>
          <w:rFonts w:ascii="Times New Roman;sans-serif" w:hAnsi="Times New Roman;sans-serif"/>
          <w:b w:val="false"/>
          <w:color w:val="000000"/>
          <w:sz w:val="20"/>
        </w:rPr>
        <w:t xml:space="preserve">On February 15, 2023, in connection with the closing of MGM’s sale of the operations of Gold Strike, we entered into the Gold Strike Lease with CNB related to the land and real estate assets of Gold Strike, and entered into an amendment to the MGM Master Lease in order to account for MGM’s divestiture of the operations of Gold Strike and to reduce the annual base rent by $40.0 million.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Gold Strike Lease is guaranteed by CNB.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Loan, Security and Preferred Equity Investment Activity</w:t>
      </w:r>
    </w:p>
    <w:p>
      <w:pPr>
        <w:pStyle w:val="TextBody"/>
        <w:bidi w:val="0"/>
        <w:spacing w:lineRule="auto" w:line="288" w:before="180" w:after="283"/>
        <w:ind w:left="0" w:right="0" w:hanging="360"/>
        <w:jc w:val="both"/>
        <w:rPr/>
      </w:pPr>
      <w:r>
        <w:rPr>
          <w:color w:val="231F20"/>
        </w:rPr>
        <w:t>•</w:t>
      </w:r>
      <w:r>
        <w:rPr>
          <w:rFonts w:ascii="Times New Roman;sans-serif" w:hAnsi="Times New Roman;sans-serif"/>
          <w:b/>
          <w:i/>
          <w:color w:val="000000"/>
          <w:sz w:val="20"/>
        </w:rPr>
        <w:t>Canyon Ranch Transactions</w:t>
      </w:r>
      <w:r>
        <w:rPr>
          <w:rFonts w:ascii="Times New Roman;sans-serif" w:hAnsi="Times New Roman;sans-serif"/>
          <w:b w:val="false"/>
          <w:i/>
          <w:color w:val="000000"/>
          <w:sz w:val="20"/>
        </w:rPr>
        <w:t xml:space="preserve">. </w:t>
      </w:r>
      <w:r>
        <w:rPr>
          <w:rFonts w:ascii="Times New Roman;sans-serif" w:hAnsi="Times New Roman;sans-serif"/>
          <w:b w:val="false"/>
          <w:color w:val="231F20"/>
          <w:sz w:val="20"/>
        </w:rPr>
        <w:t>On August 22, 2023, we closed on the previously announced $140.1 million</w:t>
      </w:r>
      <w:r>
        <w:rPr>
          <w:color w:val="000000"/>
        </w:rPr>
        <w:t xml:space="preserve"> </w:t>
      </w:r>
      <w:r>
        <w:rPr>
          <w:rFonts w:ascii="Times New Roman;sans-serif" w:hAnsi="Times New Roman;sans-serif"/>
          <w:b w:val="false"/>
          <w:color w:val="000000"/>
          <w:sz w:val="20"/>
        </w:rPr>
        <w:t xml:space="preserve">mortgage loan to a subsidiary of Canyon Ranch secured by Canyon Ranch Tucson and Canyon Ranch Lenox. Proceeds of the loan were to refinance Canyon Ranch’s existing CMBS debt secured by these two assets. The loan has an initial term of two years with three one-year extensions, exercisable at Canyon Ranch’s option, subject to satisfying certain customary extension conditions. </w:t>
      </w:r>
    </w:p>
    <w:p>
      <w:pPr>
        <w:pStyle w:val="TextBody"/>
        <w:bidi w:val="0"/>
        <w:spacing w:lineRule="auto" w:line="288" w:before="180" w:after="283"/>
        <w:jc w:val="both"/>
        <w:rPr/>
      </w:pPr>
      <w:r>
        <w:rPr>
          <w:rFonts w:ascii="Times New Roman;sans-serif" w:hAnsi="Times New Roman;sans-serif"/>
          <w:b w:val="false"/>
          <w:color w:val="000000"/>
          <w:sz w:val="20"/>
        </w:rPr>
        <w:t xml:space="preserve">On July 26, 2023, we committed to an up to $150.0 million preferred equity investment into the controlling entity of Canyon Ranch, a leading provider of holistic, integrative health and wellness guest experiences. The preferred equity has a term of 10 years and may be redeemed by Canyon Ranch at any time, subject to a redemption premium in the first three years. In connection with this investment, we entered into (i) a call right agreement whereby we will have the option to call the real estate assets of each of Canyon Ranch Tucson and Canyon Ranch Lenox, subject to certain conditions, and (ii) a right of first financing agreement pursuant to which we will have the right, but not the obligation, to serve as the real estate capital financing partner for Canyon Ranch with respect to the acquisition, build-out and redevelopment of future wellness resorts. </w:t>
      </w:r>
      <w:r>
        <w:rPr>
          <w:rFonts w:ascii="Times New Roman;sans-serif" w:hAnsi="Times New Roman;sans-serif"/>
          <w:b w:val="false"/>
          <w:color w:val="231F20"/>
          <w:sz w:val="20"/>
        </w:rPr>
        <w:t>If the call right(s) are exercised, Canyon Ranch would continue to operate the applicable wellness resort(s) subject to a long-term triple net master lease with the Company.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Hard Rock Ottawa Secured Notes. </w:t>
      </w:r>
      <w:r>
        <w:rPr>
          <w:rFonts w:ascii="Times New Roman;sans-serif" w:hAnsi="Times New Roman;sans-serif"/>
          <w:b w:val="false"/>
          <w:color w:val="000000"/>
          <w:sz w:val="20"/>
        </w:rPr>
        <w:t xml:space="preserve">On March 28, 2023, we purchased $85.0 million principal amount of senior secured notes from H.R. Ottawa, L.P.,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January 2023 Offering. </w:t>
      </w:r>
      <w:r>
        <w:rPr>
          <w:rFonts w:ascii="Times New Roman;sans-serif" w:hAnsi="Times New Roman;sans-serif"/>
          <w:b w:val="false"/>
          <w:color w:val="000000"/>
          <w:sz w:val="20"/>
        </w:rPr>
        <w:t xml:space="preserve">On January 12, 2023, we completed a primary forward offering of 30,302,500 shares of common stock (inclusive of 3,952,500 shares sold pursuant to the exercise in full of the underwriters’ option to purchase additional shares of common stock) at a public offering price of $33.00 per share for an aggregate offering value of $1,000.0 million, resulting in net proceeds, after deduction of the underwriting discount and expenses, of $964.4 million. The shares are subject to the January 2023 Forward Sale Agreements, which require settlement by January 16, 2024. We did not initially receive any proceeds from the sale of the shares of common stock in the offering, which were sold to the underwriters by the forward purchasers or their respective affiliates and remain subject to settlement in accordance with the terms of the January 2023 Forward Sale Agreements. </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Settlement of Outstanding Forward Sale Agreements. </w:t>
      </w:r>
      <w:r>
        <w:rPr>
          <w:rFonts w:ascii="Times New Roman;sans-serif" w:hAnsi="Times New Roman;sans-serif"/>
          <w:b w:val="false"/>
          <w:color w:val="000000"/>
          <w:sz w:val="20"/>
        </w:rPr>
        <w:t>During the nine months ended September 30, 2023, we physically settled an aggregate of 53,192,592 shares under certain of our outstanding forward sale agreements in exchange for total net proceeds of approximately $1.7 billion.</w:t>
      </w:r>
      <w:r>
        <w:rPr>
          <w:color w:val="000000"/>
        </w:rPr>
        <w:t xml:space="preserve"> </w:t>
      </w:r>
      <w:r>
        <w:rPr>
          <w:rFonts w:ascii="Times New Roman;sans-serif" w:hAnsi="Times New Roman;sans-serif"/>
          <w:b w:val="false"/>
          <w:color w:val="000000"/>
          <w:sz w:val="20"/>
        </w:rPr>
        <w:t xml:space="preserve">Subsequent to quarter-end, on October 17, 2023, we physically settled the 17,702,500 shares of common stock remaining under the January 2023 Forward Sale Agreements for total net proceeds of approximately $560.3 million. Following such settlements, no shares of common stock remain available for settlement under the January 2023 Forward Sale Agreements. See </w:t>
      </w:r>
      <w:hyperlink w:anchor="ie1960b1d976b4148b3d478b9e76c8e4e_82">
        <w:r>
          <w:rPr>
            <w:rStyle w:val="InternetLink"/>
            <w:rFonts w:ascii="Times New Roman;sans-serif" w:hAnsi="Times New Roman;sans-serif"/>
            <w:b w:val="false"/>
            <w:color w:val="0000FF"/>
            <w:sz w:val="20"/>
            <w:u w:val="single"/>
          </w:rPr>
          <w:t>Note 11 - Stockholders Equity</w:t>
        </w:r>
      </w:hyperlink>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At-The-Market Offering Program. </w:t>
      </w:r>
      <w:r>
        <w:rPr>
          <w:rFonts w:ascii="Times New Roman;sans-serif" w:hAnsi="Times New Roman;sans-serif"/>
          <w:b w:val="false"/>
          <w:color w:val="000000"/>
          <w:sz w:val="20"/>
        </w:rPr>
        <w:t xml:space="preserve">During the nine months ended September 30, 2023, we sold an aggregate of 8.2 million shares under the ATM Program (as defined in </w:t>
      </w:r>
      <w:hyperlink w:anchor="ie1960b1d976b4148b3d478b9e76c8e4e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all of which were subject to forward sale agreements, for estimated aggregate total proceeds of $248.2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417" w:type="dxa"/>
        <w:jc w:val="left"/>
        <w:tblInd w:w="0" w:type="dxa"/>
        <w:tblLayout w:type="fixed"/>
        <w:tblCellMar>
          <w:top w:w="28" w:type="dxa"/>
          <w:left w:w="28" w:type="dxa"/>
          <w:bottom w:w="28" w:type="dxa"/>
          <w:right w:w="28" w:type="dxa"/>
        </w:tblCellMar>
      </w:tblPr>
      <w:tblGrid>
        <w:gridCol w:w="836"/>
        <w:gridCol w:w="287"/>
        <w:gridCol w:w="28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517"/>
        <w:gridCol w:w="415"/>
        <w:gridCol w:w="41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06"/>
        <w:gridCol w:w="370"/>
        <w:gridCol w:w="3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6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MGM Master Lease, the Harrah’s Call Properties component of the Caesars Regional Lease, the JACK Master Lease, the Foundation Master Lease, the Mirage Lease, the PURE Master Lease, the Gold Strike Lease and the Century Canadian Portfolio component of the Century Master Lease.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direct financing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$143.3 million and $812.1 million during the three and nine months ended September 30, 2023, respectively, compared to the three and nine months ended September 30, 2022, respectively. Total contractual leasing revenue increased $120.5 million and $658.9 million during the three and nine months ended September 30, 2023, respectively, compared to the three and nine months ended September 30, 2022, respectively. The increases were primarily driven by the addition to our portfolio of the Venetian Lease in February 2022, MGM Master Lease in April 2022, Foundation Master Lease in December 2022, PURE Master Lease and MGM Grand/Mandalay Bay Lease in January 2023, the Rocky Gap Casino component of the Century Master Lease in July 2023 and the Century Canadian Portfolio component of the Century Master Lease in September 2023,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$8.4 million and $21.0 million during the three and nine months ended September 30, 2023, respectively, compared to the three and nine months ended September 30, 2022, respectively. The increases were driven by the origination and subsequent funding, as applicable, of our senior secured and mezzanine loans, preferred equity and securities and the related interest income from the increased principal balance outstanding, partially offset by the full repayment of the Forum Convention Center Mortgage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$0.3 million and $13.2 million during the three and nine months ended September 30, 2023, respectively, compared to the three and nine months ended September 30, 2022, respectively. The increases were driven primarily by the additional income and offsetting expense as a result of the assumption of certain sub-leases in connection with the closing of the Venetian Acquisition in February 2022, the MGP Transactions in April 2022 and the Rocky Gap Casino Transaction in July 2023. The Lease Agreements require the tenants to pay all costs associated with such ground and use sub-leases and provide for their direct payment to the landlord.</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578"/>
        <w:gridCol w:w="509"/>
        <w:gridCol w:w="511"/>
        <w:gridCol w:w="211"/>
        <w:gridCol w:w="826"/>
        <w:gridCol w:w="109"/>
        <w:gridCol w:w="109"/>
        <w:gridCol w:w="109"/>
        <w:gridCol w:w="109"/>
        <w:gridCol w:w="211"/>
        <w:gridCol w:w="826"/>
        <w:gridCol w:w="109"/>
        <w:gridCol w:w="109"/>
        <w:gridCol w:w="109"/>
        <w:gridCol w:w="109"/>
        <w:gridCol w:w="211"/>
        <w:gridCol w:w="850"/>
        <w:gridCol w:w="109"/>
        <w:gridCol w:w="109"/>
        <w:gridCol w:w="109"/>
        <w:gridCol w:w="109"/>
        <w:gridCol w:w="211"/>
        <w:gridCol w:w="826"/>
        <w:gridCol w:w="109"/>
        <w:gridCol w:w="109"/>
        <w:gridCol w:w="109"/>
        <w:gridCol w:w="109"/>
        <w:gridCol w:w="211"/>
        <w:gridCol w:w="826"/>
        <w:gridCol w:w="109"/>
        <w:gridCol w:w="109"/>
        <w:gridCol w:w="109"/>
        <w:gridCol w:w="109"/>
        <w:gridCol w:w="211"/>
        <w:gridCol w:w="850"/>
        <w:gridCol w:w="157"/>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(688,168)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$2.4 million and $11.0 million for the three and nine months ended September 30, 2023, respectively, as compared to the three and nine months ended September 30, 2022, respectively. The increase was primarily driven by an increase in compensation, including stock-based compensation and the addition of new employees and additional expenses related to the growth of our business in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$0.3 million and $13.2 million during the three and nine months ended September 30, 2023, respectively, compared to the three and nine months ended September 30, 2022, respectively, driven primarily by the additional income and offsetting expense as a result of the assumption of certain sub-leases in connection with the closing of the Venetian Acquisition in February 2022, the MGP Transactions in April 2022 and the Rocky Gap Casino Transaction in July 2023. The Lease Agreements require the tenants to pay all costs associated with such ground and use sub-leases and provide for their direct payment to the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recognized a $96.0 million increase in our allowance for credit losses primarily driven by (i) the initial CECL allowances in relation to (a) the Century Canadian Portfolio Transaction and related classification of the Century Canadian Portfolio component of the Century Master Lease as a lease financing receivable, (b) the Rocky Gap Casino Transaction and related classification of the Rocky Gap Casino component of the Century Master Lease as a sales-type lease, and (c) the origination of the Canyon Ranch preferred equity investment and Canyon Ranch Tucson and Canyon Ranch Lenox mortgage loan, and (ii) an increase in the reasonable and supportable period, or R&amp;S Period, probability of default, or PD, of our tenants and their parent guarantors as a result of their market performance during the current quarter.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recognized a $166.1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(c) the purchase of the Hard Rock Ottawa Notes, and (d) the initial allowances as stated above describing the three months ended September 30, 2023, and (ii) an increase in the Long-Term Period PD as a result of a standard annual update made to the Long-Term PD default study we utilize to estimate our CECL allowance.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was partially offset by an overall decrease in the R&amp;S Period PD of our tenants and their parent guarantors as a result of their market performance during the nine-month period.</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September 30, 2022, we recognized a $232.8 million increase in our allowance for credit losses primarily driven by (i) changes in the macroeconomic model used to scenario condition our R&amp;S Period PD due to uncertain and potentially negative future market conditions, (ii) an increase in the R&amp;S Period PD of our tenants and their parent guarantors as a result of market volatility during the current quarter, (iii) an increase in the R&amp;S Period PD and loss given default, or LGD, as a result of standard annual updates that were made to the inputs and assumptions in the model that we utilize to estimate our CECL allowance, and (iv) the initial CECL allowance on the future funding commitments from the origination of the Great Wolf Gulf Coast Texas loan and the Great Wolf South Florida loan.</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nine months ended September 30, 2022, we recognized a $865.5 million increase in our allowance for credit losses primarily driven by initial CECL allowances on our acquisition activity during such period in the amount of $523.2 million, representing 60.5% of the total allowance for the nine months ended September 30, 2022.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(ii) the closing of the Venetian Acquisition on February 23, 2022, which included (a) the classification of the Venetian Lease as a sales-type lease, (b) the estimated future funding commitments under the Partner Property Growth Fund Agreement with the Venetian and (c) the sales-type sub-lease agreements we assumed in connection with the closing of the Venetian Acquisition, and (iii) the future funding commitments from the origination of the BigShots Loan, the Cabot Citrus Farms Loan, the Great Wolf South Florida loan and the Great Wolf Gulf Coast Texas loan. Additional increases were attributable to the increase for the three months ended September 30, 2022 as described above. These increases were partially offset by a decrease in the Long-Term Period PD as a result of standard annual updates that were made to the Long-Term Period PD default study we utilize to estimate our CECL allowance.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pPr>
      <w:r>
        <w:rPr>
          <w:rFonts w:ascii="Times New Roman;sans-serif" w:hAnsi="Times New Roman;sans-serif"/>
          <w:b w:val="false"/>
          <w:color w:val="000000"/>
          <w:sz w:val="20"/>
        </w:rPr>
        <w:t xml:space="preserve">Transaction and acquisition expenses increased $1.6 million and decreased $16.0 million during the three and nine months ended September 30, 2023, respectively, compared to the three and nine months ended September 30, 2022, respectively. Changes in transaction and acquisition expenses are related to fluctuations in (i) costs incurred for investments during the period that are not capitalizable under GAAP, and (ii) costs incurred for investments that we are no longer pursuing. Amounts for the </w:t>
      </w:r>
      <w:r>
        <w:rPr>
          <w:rFonts w:ascii="Times New Roman;sans-serif" w:hAnsi="Times New Roman;sans-serif"/>
          <w:b w:val="false"/>
          <w:color w:val="000000"/>
          <w:sz w:val="20"/>
          <w:shd w:fill="FFFFFF" w:val="clear"/>
        </w:rPr>
        <w:t xml:space="preserve">nine months ended September 30, 2022 </w:t>
      </w:r>
      <w:r>
        <w:rPr>
          <w:rFonts w:ascii="Times New Roman;sans-serif" w:hAnsi="Times New Roman;sans-serif"/>
          <w:b w:val="false"/>
          <w:color w:val="000000"/>
          <w:sz w:val="20"/>
        </w:rPr>
        <w:t>include costs incurred for the MGP Transactions and Venetian Acquisition during the period that are not capitalized under GAAP</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our non-operating income and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832"/>
        <w:gridCol w:w="732"/>
        <w:gridCol w:w="739"/>
        <w:gridCol w:w="297"/>
        <w:gridCol w:w="574"/>
        <w:gridCol w:w="109"/>
        <w:gridCol w:w="109"/>
        <w:gridCol w:w="109"/>
        <w:gridCol w:w="109"/>
        <w:gridCol w:w="211"/>
        <w:gridCol w:w="721"/>
        <w:gridCol w:w="109"/>
        <w:gridCol w:w="109"/>
        <w:gridCol w:w="109"/>
        <w:gridCol w:w="109"/>
        <w:gridCol w:w="211"/>
        <w:gridCol w:w="767"/>
        <w:gridCol w:w="109"/>
        <w:gridCol w:w="109"/>
        <w:gridCol w:w="109"/>
        <w:gridCol w:w="109"/>
        <w:gridCol w:w="221"/>
        <w:gridCol w:w="650"/>
        <w:gridCol w:w="109"/>
        <w:gridCol w:w="109"/>
        <w:gridCol w:w="109"/>
        <w:gridCol w:w="109"/>
        <w:gridCol w:w="211"/>
        <w:gridCol w:w="721"/>
        <w:gridCol w:w="109"/>
        <w:gridCol w:w="109"/>
        <w:gridCol w:w="109"/>
        <w:gridCol w:w="109"/>
        <w:gridCol w:w="211"/>
        <w:gridCol w:w="767"/>
        <w:gridCol w:w="160"/>
      </w:tblGrid>
      <w:tr>
        <w:trPr/>
        <w:tc>
          <w:tcPr>
            <w:tcW w:w="8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nine months ended September 30,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three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three and nine months ended September 30, 2022, represents our 50.1% share of the income of the MGM Grand/Mandalay Bay JV beginning in April 2022 in connection with and upon the closing of the MGP Transactions.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pPr>
      <w:r>
        <w:rPr>
          <w:rFonts w:ascii="Times New Roman;sans-serif" w:hAnsi="Times New Roman;sans-serif"/>
          <w:b w:val="false"/>
          <w:color w:val="000000"/>
          <w:sz w:val="20"/>
        </w:rPr>
        <w:t xml:space="preserve">Interest expense increased $35.6 million and $242.3 million during the three and nine months ended September 30, 2023, respectively, as compared to the three and nine months ended September 30, 2022, respectively. The increases during the three and nine months ended September 30, 2023 were primarily related to the increase in debt from the (i) issuance of the April 2022 Notes, (ii) issuance of the Exchange Notes, (iii) assumption of the MGP OP Notes, (iv) C$140.0 million and C$75.0 million draws on the Revolving Credit Facility to finance the PURE Canadian Gaming Transaction and Century Canadian Portfolio Transaction, respectively, and (v) assumption of $3.0 billion aggregate principal amount of CMBS debt in connection with the MGM Grand/Mandalay Bay JV Interest Acquisition, the combination of which resulted in an additional $12.4 billion in notional amount of debt at a weighted average interest rate of 4.53% and 4.65% during the three and nine months ended September 30, 2023, respectively, net of the impact of the forward-starting interest rate swaps and treasury locks. The increases were partially offset by certain interest expense recorded during the three and nine months ended September 30, 2022 with no corresponding expense during the three and nine months ended September 30, 2023 and include (i) the amortization of the commitment fees associated with the Venetian Acquisition Bridge Facility and the MGP Transactions Bridge Facility and (ii) additional interest on the $600.0 million draw on the Revolving Credit Facility in </w:t>
      </w:r>
      <w:r>
        <w:rPr>
          <w:rFonts w:ascii="Times New Roman;sans-serif" w:hAnsi="Times New Roman;sans-serif"/>
          <w:b w:val="false"/>
          <w:color w:val="000000"/>
          <w:sz w:val="20"/>
          <w:shd w:fill="FFFFFF" w:val="clear"/>
        </w:rPr>
        <w:t>February 2022 (which</w:t>
      </w:r>
      <w:r>
        <w:rPr>
          <w:color w:val="000000"/>
        </w:rPr>
        <w:t xml:space="preserve"> </w:t>
      </w:r>
      <w:r>
        <w:rPr>
          <w:rFonts w:ascii="Times New Roman;sans-serif" w:hAnsi="Times New Roman;sans-serif"/>
          <w:b w:val="false"/>
          <w:color w:val="000000"/>
          <w:sz w:val="20"/>
        </w:rPr>
        <w:t>was repaid in full on April 29,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weighted average annualized interest rate of our debt, net of the impact of the forward-starting interest rate swaps and treasury locks, decreased to 4.32% from 4.47% for the three months ended September 30, 2023 compared to three months ended September 30, 2022, respectively, as a result of the lower interest rate on the MGM Grand/Mandalay Bay JV CMBS debt. The weighted average annualized interest rate of our debt, net of the impact of the forward-starting interest rate swaps and treasury locks, decreased to 4.32% from 4.35%, during the nine months ended September 30, 2023 compared to the nine months ended September 30, 2022, respectively, as a result of the lower interest rate on the MGM Grand/Mandalay Bay JV CMBS debt, partially offset by a higher weighted average effective interest rate on the April 2022 Notes, Exchange Notes and MGP OP Notes as compared to our outstanding debt during such earlier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$4.3 million and $12.3 million during the three and nine months ended September 30, 2023, respectively, compared to the three and nine months ended September 30, 2022, respectively. The increase was primarily driven by a significant increase in the interest rates and income earned on our excess cash, coupled with an overall increase in our cash on hand throughout the current period as compared to the prior period.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(Losses)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we recognized a $1.1 million loss and $4.3 million gain in Other (losses) gains, respectively, which primarily relate to the sale of excess land in April 2023 and foreign currency remeasurement adjustments associated with our investments in Canada. In connection with the PURE Canadian Gaming Transaction and Century Canadian Portfolio Transaction, we entered into intercompany debt and drew C$140.0 million on the Revolving Credit Facility and C$75.0 million, respectively, both of which are denominated in CAD and, since such debt is held at entities with USD as their functional currency, certain of the related assets and liabilities are remeasured through the Statement of Operations. There is no comparable amount during the three and nine months ended September 30, 2022, as we did not have any foreign investments or sales of land during such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(losses),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517"/>
        <w:gridCol w:w="1078"/>
        <w:gridCol w:w="1086"/>
        <w:gridCol w:w="267"/>
        <w:gridCol w:w="1069"/>
        <w:gridCol w:w="109"/>
        <w:gridCol w:w="109"/>
        <w:gridCol w:w="109"/>
        <w:gridCol w:w="109"/>
        <w:gridCol w:w="237"/>
        <w:gridCol w:w="949"/>
        <w:gridCol w:w="109"/>
        <w:gridCol w:w="109"/>
        <w:gridCol w:w="109"/>
        <w:gridCol w:w="109"/>
        <w:gridCol w:w="234"/>
        <w:gridCol w:w="1102"/>
        <w:gridCol w:w="109"/>
        <w:gridCol w:w="109"/>
        <w:gridCol w:w="109"/>
        <w:gridCol w:w="109"/>
        <w:gridCol w:w="211"/>
        <w:gridCol w:w="991"/>
        <w:gridCol w:w="156"/>
      </w:tblGrid>
      <w:tr>
        <w:trPr/>
        <w:tc>
          <w:tcPr>
            <w:tcW w:w="151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1,767,197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530,635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and interest rate swap settlements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losses (gains) </w:t>
            </w:r>
            <w:r>
              <w:rPr>
                <w:rFonts w:ascii="Times New Roman;sans-serif" w:hAnsi="Times New Roman;sans-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470,657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1,616,626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1,206,202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726,406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638,614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2,160,122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1,561,071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vAlign w:val="center"/>
          </w:tcPr>
          <w:p>
            <w:pPr>
              <w:pStyle w:val="TableContents"/>
              <w:bidi w:val="0"/>
              <w:spacing w:before="0" w:after="283"/>
              <w:jc w:val="left"/>
              <w:rPr>
                <w:sz w:val="4"/>
                <w:szCs w:val="4"/>
              </w:rPr>
            </w:pPr>
            <w:r>
              <w:rPr>
                <w:sz w:val="4"/>
                <w:szCs w:val="4"/>
              </w:rPr>
            </w:r>
          </w:p>
        </w:tc>
        <w:tc>
          <w:tcPr>
            <w:tcW w:w="6524" w:type="dxa"/>
            <w:gridSpan w:val="21"/>
            <w:tcBorders/>
          </w:tcPr>
          <w:p>
            <w:pPr>
              <w:pStyle w:val="TableContents"/>
              <w:bidi w:val="0"/>
              <w:spacing w:before="0" w:after="283"/>
              <w:jc w:val="left"/>
              <w:rPr>
                <w:sz w:val="4"/>
                <w:szCs w:val="4"/>
              </w:rPr>
            </w:pPr>
            <w:r>
              <w:rPr>
                <w:sz w:val="4"/>
                <w:szCs w:val="4"/>
              </w:rPr>
            </w:r>
          </w:p>
        </w:tc>
      </w:tr>
      <w:tr>
        <w:trPr/>
        <w:tc>
          <w:tcPr>
            <w:tcW w:w="368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68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68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962,573,646 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848,839,357 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964,134,340 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850,823,037 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(1)Represents non-cash foreign currency remeasurement adjustments and gain on sale of 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available cash balances, capacity under our Revolving Credit Facility and proceeds available from outstanding forward sale agreements were as follows:</w:t>
      </w:r>
    </w:p>
    <w:tbl>
      <w:tblPr>
        <w:tblW w:w="7108" w:type="dxa"/>
        <w:jc w:val="left"/>
        <w:tblInd w:w="0" w:type="dxa"/>
        <w:tblLayout w:type="fixed"/>
        <w:tblCellMar>
          <w:top w:w="28" w:type="dxa"/>
          <w:left w:w="28" w:type="dxa"/>
          <w:bottom w:w="28" w:type="dxa"/>
          <w:right w:w="28" w:type="dxa"/>
        </w:tblCellMar>
      </w:tblPr>
      <w:tblGrid>
        <w:gridCol w:w="1974"/>
        <w:gridCol w:w="1739"/>
        <w:gridCol w:w="1746"/>
        <w:gridCol w:w="259"/>
        <w:gridCol w:w="1201"/>
        <w:gridCol w:w="189"/>
      </w:tblGrid>
      <w:tr>
        <w:trPr/>
        <w:tc>
          <w:tcPr>
            <w:tcW w:w="197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2,341,652 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Proceeds available from settlement of Forward Sale Agreements </w:t>
            </w:r>
            <w:r>
              <w:rPr>
                <w:rFonts w:ascii="Times New Roman;sans-serif" w:hAnsi="Times New Roman;sans-serif"/>
                <w:b w:val="false"/>
                <w:i/>
                <w:color w:val="000000"/>
                <w:sz w:val="13"/>
              </w:rPr>
              <w:t>(2)</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3,659,781 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17,702,500 shares under the January 2023 Forward Sale Agreement, 327,306 shares under the June 2023 ATM Forward Sale Agreement, 271,071 shares under the July 2023 ATM Forward Sale Agreement and 7,572,281 shares under the September 2023 ATM Forward Sale Agreement at the forward sale price per share of $31.58, $31.67, $31.71 and $30.26, respectively, each as calculated as of September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the ATM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sustained rising interest rates, equity market volatility,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the Lease Agreements, we believe we have sufficient liquidity from the other sources discussed above to meet all of our contractual obligations for a significant period of time. For more information, refer to the risk factors incorporated by reference into </w:t>
      </w:r>
      <w:hyperlink w:anchor="ie1960b1d976b4148b3d478b9e76c8e4e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e1960b1d976b4148b3d478b9e76c8e4e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September 30, 2023, we have $17.1 billion of debt obligations outstanding. We have $1.1 billion of debt that matures on May 1, 2024. For a summary of principal debt balances and their maturity dates and principal terms, refer to </w:t>
      </w:r>
      <w:hyperlink w:anchor="ie1960b1d976b4148b3d478b9e76c8e4e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e1960b1d976b4148b3d478b9e76c8e4e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for properties under the Lease Agreements are the responsibility of the tenants. Minimum capital expenditure spending requirements of the tenants pursuant to the Lease Agreements are described in </w:t>
      </w:r>
      <w:hyperlink w:anchor="ie1960b1d976b4148b3d478b9e76c8e4e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September 30, 2023. Amounts in this table omit, among other things, non-contractual commitments and items such as dividends and recurring or non-recurring operating expenses and other expenditures, including acquisitions and other investments:</w:t>
      </w:r>
    </w:p>
    <w:tbl>
      <w:tblPr>
        <w:tblW w:w="1157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22,110,021 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loans are based on the CDOR rate as of September 30, 2023.</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allocation of our future funding commitments is based on a construction draw schedule, commitment funding date, expiration date or other information, as applicable; however, we may be obligated to fund these commitments earlier than such applicable date.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September 30, 2023, we had $1.0 billion of additional potential future funding commitments under our Partner Property Growth Fund agreements, the use of which are at the discretion of our tenants and will be dependent upon independent decisions made by our tenants with respect to any capital improvement projects and the source of funds for such projects, as well as the total funding ultimately provided under such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785"/>
                <wp:effectExtent l="0" t="0" r="0" b="0"/>
                <wp:wrapNone/>
                <wp:docPr id="68" name="Frame6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nine months ended September 30, 2023 and 2022:</w:t>
      </w:r>
    </w:p>
    <w:tbl>
      <w:tblPr>
        <w:tblW w:w="10205" w:type="dxa"/>
        <w:jc w:val="left"/>
        <w:tblInd w:w="0" w:type="dxa"/>
        <w:tblLayout w:type="fixed"/>
        <w:tblCellMar>
          <w:top w:w="28" w:type="dxa"/>
          <w:left w:w="28" w:type="dxa"/>
          <w:bottom w:w="28" w:type="dxa"/>
          <w:right w:w="28" w:type="dxa"/>
        </w:tblCellMar>
      </w:tblPr>
      <w:tblGrid>
        <w:gridCol w:w="488"/>
        <w:gridCol w:w="428"/>
        <w:gridCol w:w="428"/>
        <w:gridCol w:w="1601"/>
        <w:gridCol w:w="1398"/>
        <w:gridCol w:w="1414"/>
        <w:gridCol w:w="211"/>
        <w:gridCol w:w="976"/>
        <w:gridCol w:w="109"/>
        <w:gridCol w:w="109"/>
        <w:gridCol w:w="109"/>
        <w:gridCol w:w="109"/>
        <w:gridCol w:w="211"/>
        <w:gridCol w:w="976"/>
        <w:gridCol w:w="109"/>
        <w:gridCol w:w="109"/>
        <w:gridCol w:w="109"/>
        <w:gridCol w:w="109"/>
        <w:gridCol w:w="212"/>
        <w:gridCol w:w="832"/>
        <w:gridCol w:w="158"/>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7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(6,569,949)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$149.0 million for the nine months ended September 30, 2023 compared with the nine months ended September 30, 2022. The increase is primarily driven by an increase in cash rental payments from the addition of the MGM Master Lease, Foundation Master Lease, MGM Grand/Mandalay Bay Lease, PURE Master Lease and the Rocky Gap Casino and Century Canadian Portfolio component of the Century Master Lease to our real estate portfolio, the annual rent escalators on our Caesars Leases and certain of our other Lease Agreements, and an increase in loan income as a result of an increase in the principal balance of our loan and securities portfolio.</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$6,944.2 million for the nine months ended September 30, 2023 compared with the nine months ended September 30, 2022.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$1,266.9 million, including acquisition costs, in connection with the MGM Grand/Mandalay Bay JV Interest Acquisition;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Principal repayment of the Forum Convention Center Mortgage Loan of $400.0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$702.1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Maturities of short-term investments of $217.3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PURE Canadian Gaming Transaction for a total cost of $203.3 million,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Rocky Gap Casino Transaction for a total cost of $205.8 million,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Century Canadian Portfolio Transaction for a total cost of $164.9 million,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to fund Partner Property Growth Fund investments in the amount of $25.4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Proceeds from the sale of land of $6.2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Acquisition of property and equipment costs of $1.9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Capitalized transaction costs of $0.8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September 30, 2022</w:t>
      </w:r>
      <w:r>
        <w:rPr>
          <w:rFonts w:ascii="Times New Roman;sans-serif" w:hAnsi="Times New Roman;sans-serif"/>
          <w:b w:val="false"/>
          <w:color w:val="000000"/>
          <w:sz w:val="20"/>
          <w:shd w:fill="FFFFFF" w:val="clear"/>
        </w:rPr>
        <w:t xml:space="preserve">, the primary sources and uses of cash from investing activities include: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$4,574.5 million in relation to the closing of the MGP Transactions, including $4,404.0 million in connection with the redemption of the majority of the MGP units held by MGM, $90.0 million in connection with the repayment of the outstanding MGP revolving credit facility and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Venetian Acquisition for a total cost of $4,012.8 million, including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Investment in short-term investments of $207.7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portions of certain development loans in the amount of $87.2 million; and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Capitalized transaction costs of $6.8 million</w:t>
      </w:r>
      <w:r>
        <w:rPr>
          <w:rFonts w:ascii="Times New Roman;sans-serif" w:hAnsi="Times New Roman;sans-serif"/>
          <w:b w:val="false"/>
          <w:color w:val="000000"/>
          <w:sz w:val="20"/>
          <w:shd w:fill="FFFFFF" w:val="clear"/>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$6,569.9 million for the nine months ended September 30, 2023, compared with the nine months ended September 30,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$1,672.4 million from the issuance of an aggregate 53,192,592 shares of our common stock pursuant to the full physical settlement of the November 2022 Forward Sale Agreements, June 2022 ATM Forward Sale Agreement, August 2022 ATM Forward Sale Agreement, December 2022 ATM Forward Sale Agreement, and January 2023 Forward Sale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$1,161.8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$408.2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$21.5 million to 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$3,219.1 million from the issuance of an aggregate 119,000,000 shares of our common stock pursuant to the full physical settlement of the September 2021 Forward Sale Agreements and March 2021 Forward Sale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Gross proceeds of $5,000.0 million from the April 2022 Notes offering;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Initial draw and repayment of $600.0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$843.7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Debt issuance costs of $146.2 million;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$6.1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$10.7 million to non-controlling interest.</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September 30, 2023, refer to </w:t>
      </w:r>
      <w:hyperlink w:anchor="ie1960b1d976b4148b3d478b9e76c8e4e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2023, we were in compliance with all debt-related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84785"/>
                <wp:effectExtent l="0" t="0" r="0" b="0"/>
                <wp:wrapNone/>
                <wp:docPr id="70" name="Frame6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nine months ended September 30, 2023 and 2022 were as follows:</w:t>
      </w:r>
    </w:p>
    <w:tbl>
      <w:tblPr>
        <w:tblW w:w="10043"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55"/>
        <w:gridCol w:w="955"/>
        <w:gridCol w:w="970"/>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center"/>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55"/>
        <w:gridCol w:w="955"/>
        <w:gridCol w:w="970"/>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2021 -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2022 -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significant changes in our critical policies and estimates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rate risk management objective is to limit the impact of future interest rate changes on our earnings and cash flows. To achieve this objective, our consolidated subsidiaries primarily borrow on a fixed-rate basis for longer-term debt issuances. As of September 30, 2023, we had $17.1 billion aggregate principal amount of outstanding indebtedness, of which 99.1% has fixed rate interest and 0.9% has a variable interest rate, representing the US$158.3 million (denominated in CAD) outstanding under our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4785"/>
                <wp:effectExtent l="0" t="0" r="0" b="0"/>
                <wp:wrapNone/>
                <wp:docPr id="71" name="Frame7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September 30, 2023,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September 30, 2023,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84785"/>
                <wp:effectExtent l="0" t="0" r="0" b="0"/>
                <wp:wrapNone/>
                <wp:docPr id="72" name="Frame7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e1960b1d976b4148b3d478b9e76c8e4e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material changes to those factors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September 30, 2023,</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750"/>
        <w:gridCol w:w="521"/>
        <w:gridCol w:w="527"/>
        <w:gridCol w:w="109"/>
        <w:gridCol w:w="109"/>
        <w:gridCol w:w="109"/>
        <w:gridCol w:w="466"/>
        <w:gridCol w:w="466"/>
        <w:gridCol w:w="468"/>
        <w:gridCol w:w="109"/>
        <w:gridCol w:w="109"/>
        <w:gridCol w:w="109"/>
        <w:gridCol w:w="289"/>
        <w:gridCol w:w="866"/>
        <w:gridCol w:w="149"/>
        <w:gridCol w:w="109"/>
        <w:gridCol w:w="109"/>
        <w:gridCol w:w="109"/>
        <w:gridCol w:w="690"/>
        <w:gridCol w:w="690"/>
        <w:gridCol w:w="691"/>
        <w:gridCol w:w="109"/>
        <w:gridCol w:w="109"/>
        <w:gridCol w:w="109"/>
        <w:gridCol w:w="678"/>
        <w:gridCol w:w="678"/>
        <w:gridCol w:w="968"/>
      </w:tblGrid>
      <w:tr>
        <w:trPr/>
        <w:tc>
          <w:tcPr>
            <w:tcW w:w="75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through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through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September 1, 2023 through September 30,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84785"/>
                <wp:effectExtent l="0" t="0" r="0" b="0"/>
                <wp:wrapNone/>
                <wp:docPr id="73" name="Frame7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65"/>
        <w:gridCol w:w="233"/>
        <w:gridCol w:w="235"/>
        <w:gridCol w:w="109"/>
        <w:gridCol w:w="109"/>
        <w:gridCol w:w="109"/>
        <w:gridCol w:w="1769"/>
        <w:gridCol w:w="1719"/>
        <w:gridCol w:w="1578"/>
        <w:gridCol w:w="109"/>
        <w:gridCol w:w="109"/>
        <w:gridCol w:w="109"/>
        <w:gridCol w:w="283"/>
        <w:gridCol w:w="283"/>
        <w:gridCol w:w="284"/>
        <w:gridCol w:w="109"/>
        <w:gridCol w:w="109"/>
        <w:gridCol w:w="109"/>
        <w:gridCol w:w="170"/>
        <w:gridCol w:w="170"/>
        <w:gridCol w:w="171"/>
        <w:gridCol w:w="113"/>
        <w:gridCol w:w="113"/>
        <w:gridCol w:w="113"/>
        <w:gridCol w:w="210"/>
        <w:gridCol w:w="210"/>
        <w:gridCol w:w="211"/>
        <w:gridCol w:w="113"/>
        <w:gridCol w:w="113"/>
        <w:gridCol w:w="113"/>
        <w:gridCol w:w="197"/>
        <w:gridCol w:w="197"/>
        <w:gridCol w:w="198"/>
        <w:gridCol w:w="163"/>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editfacilitysecondamendm.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editfacilitysecondamendm.htm">
              <w:r>
                <w:rPr>
                  <w:rStyle w:val="InternetLink"/>
                  <w:rFonts w:ascii="Times New Roman;sans-serif" w:hAnsi="Times New Roman;sans-serif"/>
                  <w:b w:val="false"/>
                  <w:color w:val="0000FF"/>
                  <w:sz w:val="20"/>
                  <w:u w:val="single"/>
                </w:rPr>
                <w:t>Second Amendment to Credit Agreement dated as of August 4, 2023, to the Credit Agreement dated as of February 8, 2022, by and among VICI Properties L.P., as Borrower, the financial institutions party thereto as lenders,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3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3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e1960b1d976b4148b3d478b9e76c8e4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349"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502"/>
        <w:gridCol w:w="502"/>
        <w:gridCol w:w="556"/>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3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18"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486"/>
        <w:gridCol w:w="486"/>
        <w:gridCol w:w="588"/>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8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84785"/>
                <wp:effectExtent l="0" t="0" r="0" b="0"/>
                <wp:wrapNone/>
                <wp:docPr id="75" name="Frame7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This Second Amendment, dated as of August 4, 2023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Credit Agreement dated as of February 8, 2022 (as amended by that certain First Amendment, dated as of July 15, 2022, and as further amended, supplemented or otherwise modified from time to time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among VICI PROPERTIES L.P., a Delaware limited partnership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several banks and other financial institutions or entities from time to time parties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lineRule="auto" w:line="240" w:before="0" w:after="360"/>
        <w:jc w:val="center"/>
        <w:rPr/>
      </w:pPr>
      <w:r>
        <w:rPr>
          <w:rFonts w:ascii="Times New Roman;sans-serif" w:hAnsi="Times New Roman;sans-serif"/>
          <w:b w:val="false"/>
          <w:color w:val="000000"/>
          <w:sz w:val="22"/>
          <w:u w:val="single"/>
        </w:rPr>
        <w:t>W I T N E S S E T H</w:t>
      </w:r>
      <w:r>
        <w:rPr>
          <w:rFonts w:ascii="Times New Roman;sans-serif" w:hAnsi="Times New Roman;sans-serif"/>
          <w:b w:val="false"/>
          <w:color w:val="000000"/>
          <w:sz w:val="22"/>
        </w:rPr>
        <w:t>:</w:t>
      </w:r>
    </w:p>
    <w:p>
      <w:pPr>
        <w:pStyle w:val="TextBody"/>
        <w:bidi w:val="0"/>
        <w:spacing w:lineRule="auto" w:line="240" w:before="100" w:after="240"/>
        <w:ind w:left="0" w:right="0" w:firstLine="1440"/>
        <w:jc w:val="left"/>
        <w:rPr/>
      </w:pPr>
      <w:r>
        <w:rPr>
          <w:rFonts w:ascii="Times New Roman;sans-serif" w:hAnsi="Times New Roman;sans-serif"/>
          <w:b w:val="false"/>
          <w:color w:val="000000"/>
          <w:sz w:val="22"/>
        </w:rPr>
        <w:t>WHEREAS, the Borrower, the Lenders (including the Issuing Lenders) and the Administrative Agent are parties to the Existing Credit Agreement (the Existing Credit Agreement, as so amended,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Mizuho Bank, Ltd. (the “</w:t>
      </w:r>
      <w:r>
        <w:rPr>
          <w:rFonts w:ascii="Times New Roman;sans-serif" w:hAnsi="Times New Roman;sans-serif"/>
          <w:b w:val="false"/>
          <w:color w:val="000000"/>
          <w:sz w:val="22"/>
          <w:u w:val="single"/>
        </w:rPr>
        <w:t>New Lender</w:t>
      </w:r>
      <w:r>
        <w:rPr>
          <w:color w:val="000000"/>
        </w:rPr>
        <w:t>”</w:t>
      </w:r>
      <w:r>
        <w:rPr>
          <w:rFonts w:ascii="Times New Roman;sans-serif" w:hAnsi="Times New Roman;sans-serif"/>
          <w:b w:val="false"/>
          <w:color w:val="000000"/>
          <w:sz w:val="22"/>
        </w:rPr>
        <w:t>) has agreed to become a “Lender” under the Credit Agreement and (i) JPMorgan Chase Bank, N.A., Wells Fargo Bank, N.A., Bank of America, N.A. and Citibank, N.A. (collectively, the “</w:t>
      </w:r>
      <w:r>
        <w:rPr>
          <w:rFonts w:ascii="Times New Roman;sans-serif" w:hAnsi="Times New Roman;sans-serif"/>
          <w:b w:val="false"/>
          <w:color w:val="000000"/>
          <w:sz w:val="22"/>
          <w:u w:val="single"/>
        </w:rPr>
        <w:t>Assigning Lenders</w:t>
      </w:r>
      <w:r>
        <w:rPr>
          <w:color w:val="000000"/>
        </w:rPr>
        <w:t>”</w:t>
      </w:r>
      <w:r>
        <w:rPr>
          <w:rFonts w:ascii="Times New Roman;sans-serif" w:hAnsi="Times New Roman;sans-serif"/>
          <w:b w:val="false"/>
          <w:color w:val="000000"/>
          <w:sz w:val="22"/>
        </w:rPr>
        <w:t xml:space="preserve">) have agreed to assign a portion of their Revolving Commitments to the New Lender as set forth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and (ii) The Huntington National Bank (the “</w:t>
      </w:r>
      <w:r>
        <w:rPr>
          <w:rFonts w:ascii="Times New Roman;sans-serif" w:hAnsi="Times New Roman;sans-serif"/>
          <w:b w:val="false"/>
          <w:color w:val="000000"/>
          <w:sz w:val="22"/>
          <w:u w:val="single"/>
        </w:rPr>
        <w:t>Exiting Lender</w:t>
      </w:r>
      <w:r>
        <w:rPr>
          <w:color w:val="000000"/>
        </w:rPr>
        <w:t>”</w:t>
      </w:r>
      <w:r>
        <w:rPr>
          <w:rFonts w:ascii="Times New Roman;sans-serif" w:hAnsi="Times New Roman;sans-serif"/>
          <w:b w:val="false"/>
          <w:color w:val="000000"/>
          <w:sz w:val="22"/>
        </w:rPr>
        <w:t xml:space="preserve">) has agreed to assign all of its Revolving Commitments to the New Lender as set forth in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WHEREAS, in accordance with the provisions of Section 10.1 of the Existing Credit Agreement, the Borrower has requested, and the Lenders party hereto, constituting all Lenders (including each Issuing Lender), have agreed, to amend the Existing Credit Agreement as set forth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hereof; </w:t>
      </w:r>
    </w:p>
    <w:p>
      <w:pPr>
        <w:pStyle w:val="TextBody"/>
        <w:bidi w:val="0"/>
        <w:spacing w:lineRule="auto" w:line="240"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contained herein, the parties hereto agree as follows:</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Unless otherwise defined herein, capitalized terms are used herein as defined in the Credit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2.</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(a)The New Lender has agreed to purchase, on the terms set forth in the Assignment and Assumption attached as Exhibit D to the Existing Credit Agreement (the “</w:t>
      </w:r>
      <w:r>
        <w:rPr>
          <w:rFonts w:ascii="Times New Roman;sans-serif" w:hAnsi="Times New Roman;sans-serif"/>
          <w:b w:val="false"/>
          <w:color w:val="000000"/>
          <w:sz w:val="22"/>
          <w:u w:val="single"/>
        </w:rPr>
        <w:t>Assignment and Assumption</w:t>
      </w:r>
      <w:r>
        <w:rPr>
          <w:color w:val="000000"/>
        </w:rPr>
        <w:t>”</w:t>
      </w:r>
      <w:r>
        <w:rPr>
          <w:rFonts w:ascii="Times New Roman;sans-serif" w:hAnsi="Times New Roman;sans-serif"/>
          <w:b w:val="false"/>
          <w:color w:val="000000"/>
          <w:sz w:val="22"/>
        </w:rPr>
        <w:t xml:space="preserve">) (and subject to the representations and warranties and other requirements therein (including, for the avoidance of doubt, the delivery of an Administrative Questionnaire to the Administrative Agent)), (i) $25,000,000 in aggregate of USD Revolving Commitments and $25,000,000 in aggregate of Multicurrency Revolving Commitments from the Assigning Lenders and (ii) $25,000,000 in aggregate of USD Revolving Commitments and $25,000,000 in aggregate of Multicurrency Revolving Commitments from the Exiting Lender and, in each case, the related Assigned Interest (as defined in the Assignment and Assumption), and the Assigning Lenders and the Exiting Lender have agreed to assign, on the terms set forth in the Assignment and Assumption (and subject to the representations and warranties and other requirements therein), (x) a portion (or all in the case of the Exiting Lender) of their Revolving Commitments such that after giving effect to such assignment and assumption, the Revolving Commitments of each Lender shall be as set forth in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hereto and (y) the related Assigned Interest, which such assignment and assumption shall be effective on the Second Amendment Effective Date (as defined below) (the “</w:t>
      </w:r>
      <w:r>
        <w:rPr>
          <w:rFonts w:ascii="Times New Roman;sans-serif" w:hAnsi="Times New Roman;sans-serif"/>
          <w:b w:val="false"/>
          <w:color w:val="000000"/>
          <w:sz w:val="22"/>
          <w:u w:val="single"/>
        </w:rPr>
        <w:t>Assignment</w:t>
      </w:r>
      <w:r>
        <w:rPr>
          <w:color w:val="000000"/>
        </w:rPr>
        <w:t>”</w:t>
      </w:r>
      <w:r>
        <w:rPr>
          <w:rFonts w:ascii="Times New Roman;sans-serif" w:hAnsi="Times New Roman;sans-serif"/>
          <w:b w:val="false"/>
          <w:color w:val="000000"/>
          <w:sz w:val="22"/>
        </w:rPr>
        <w:t xml:space="preserve">), with the New Lender constituting an Assignee (as defined in the Assignment and Assumption) and each Assigning Lender and the Exiting Lender constituting an Assignor (as defined in the Assignment and Assumption). In accordance with Section 10.6(b)(iii) of the Existing Credit Agreement, upon the consummation of the Assignment, the Exiting Lender shall be released from its obligations under the Existing Credit Agreement and </w:t>
      </w:r>
    </w:p>
    <w:p>
      <w:pPr>
        <w:pStyle w:val="TextBody"/>
        <w:bidi w:val="0"/>
        <w:spacing w:lineRule="auto" w:line="240" w:before="0" w:after="0"/>
        <w:jc w:val="right"/>
        <w:rPr>
          <w:color w:val="000000"/>
        </w:rPr>
      </w:pPr>
      <w:r>
        <w:rPr>
          <w:color w:val="000000"/>
        </w:rPr>
        <w:t>        </w:t>
      </w:r>
      <w:r>
        <w:rPr>
          <w:rFonts w:ascii="Times New Roman;sans-serif" w:hAnsi="Times New Roman;sans-serif"/>
          <w:b w:val="false"/>
          <w:color w:val="000000"/>
          <w:sz w:val="24"/>
        </w:rPr>
        <w:t>- 2 -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shall cease to be a party thereto (but shall continue to be entitled to the benefits of Sections 2.16, 2.17, 2.18 and 10.5 of the Credit Agreement).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(b)The parties hereto hereby consent to the Assignment and the parties further agree that on the Second Amendment Effective Date (i) the outstanding USD Revolving Loans held by the Assigning Lenders and the Exiting Lender and the participations of the Assigning Lenders and the Exiting Lender in any outstanding USD Letters of Credit shall be reallocated to the New Lender ratably in proportion to its USD Revolving Commitments after giving effect to the Assignment and (ii) the Multicurrency Revolving Loans held by the Assigning Lenders and the Exiting Lender and the participations of the Assigning Lenders and the Exiting Lender in any outstanding Multicurrency Letters of Credit shall be reallocated to the New Lender ratably in proportion to its Multicurrency Revolving Commitments after giving effect to the Assignment. In connection with the Assignment and for the purposes of the Assignment only, the parties hereto hereby waive the processing and recordation fee set forth in Section 10.6(b)(ii)(F) of the Existing Credit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3.</w:t>
      </w:r>
      <w:r>
        <w:rPr>
          <w:rFonts w:ascii="Times New Roman;sans-serif" w:hAnsi="Times New Roman;sans-serif"/>
          <w:b w:val="false"/>
          <w:color w:val="000000"/>
          <w:sz w:val="22"/>
          <w:u w:val="single"/>
        </w:rPr>
        <w:t>Amendments to the Existing Credit Agreement</w:t>
      </w:r>
      <w:r>
        <w:rPr>
          <w:rFonts w:ascii="Times New Roman;sans-serif" w:hAnsi="Times New Roman;sans-serif"/>
          <w:b w:val="false"/>
          <w:color w:val="000000"/>
          <w:sz w:val="22"/>
        </w:rPr>
        <w:t xml:space="preserve">. Subject to the satisfaction of the conditions set forth in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(a)The definition of “Pricing Grids” set forth in Section 1.1 of the Existing Credit Agreement is hereby amended by inserting, immediately following the last sentence of the first full paragraph thereof, a new sentence as follows:</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Notwithstanding anything else herein to the contrary, if (i) the Total Leverage Ratio as of the last day of the most recently ending fiscal quarter of the Borrower as set forth in the corresponding Compliance Certificate delivered pursuant to </w:t>
      </w:r>
      <w:r>
        <w:rPr>
          <w:rFonts w:ascii="Times New Roman;sans-serif" w:hAnsi="Times New Roman;sans-serif"/>
          <w:b w:val="false"/>
          <w:color w:val="000000"/>
          <w:sz w:val="22"/>
          <w:u w:val="single"/>
        </w:rPr>
        <w:t>Section 6.2(a)</w:t>
      </w:r>
      <w:r>
        <w:rPr>
          <w:color w:val="000000"/>
        </w:rPr>
        <w:t xml:space="preserve"> </w:t>
      </w:r>
      <w:r>
        <w:rPr>
          <w:rFonts w:ascii="Times New Roman;sans-serif" w:hAnsi="Times New Roman;sans-serif"/>
          <w:b w:val="false"/>
          <w:color w:val="000000"/>
          <w:sz w:val="22"/>
        </w:rPr>
        <w:t xml:space="preserve">is less than or equal to 37.5% and (ii) the Borrower’s Credit Rating is not lower than BBB-/Baa3 (determined in accordance with the immediately preceding paragraph), the Applicable Margin and Facility Fee Percentage shall be the rate per annum applicable for a Credit Rating of BBB/Baa2.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(b)The second full paragraph in the definition of “Pricing Grids” set forth in Section 1.1 of the Existing Credit Agreement is hereby amended and restated in its entirety as follows:</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2"/>
        </w:rPr>
        <w:t xml:space="preserve">A change (if any) in the Applicable Margin and Facility Fee Percentage (x) resulting from a change in the Credit Rating shall be effective immediately as of the date on which any of the rating agencies announces a change in the Credit Rating or the date on which the Borrower no longer has a Credit Rating from one of the rating agencies or the date on which the Borrower has a Credit Rating from a rating agency that had not provided a Credit Rating for the Borrower on the day immediately preceding such date, whichever is applicable and (y) resulting from a change in the Total Leverage Ratio in accordance with the immediately preceding paragraph shall become effective as of the first Business Day immediately following the date a Compliance Certificate is delivered pursuant to </w:t>
      </w:r>
      <w:r>
        <w:rPr>
          <w:rFonts w:ascii="Times New Roman;sans-serif" w:hAnsi="Times New Roman;sans-serif"/>
          <w:b w:val="false"/>
          <w:color w:val="000000"/>
          <w:sz w:val="22"/>
          <w:u w:val="single"/>
        </w:rPr>
        <w:t>Section 6.2(a)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a Compliance Certificate is not delivered when due in accordance with such </w:t>
      </w:r>
      <w:r>
        <w:rPr>
          <w:rFonts w:ascii="Times New Roman;sans-serif" w:hAnsi="Times New Roman;sans-serif"/>
          <w:b w:val="false"/>
          <w:color w:val="000000"/>
          <w:sz w:val="22"/>
          <w:u w:val="single"/>
        </w:rPr>
        <w:t>Section 6.2(a)</w:t>
      </w:r>
      <w:r>
        <w:rPr>
          <w:rFonts w:ascii="Times New Roman;sans-serif" w:hAnsi="Times New Roman;sans-serif"/>
          <w:b w:val="false"/>
          <w:color w:val="000000"/>
          <w:sz w:val="22"/>
        </w:rPr>
        <w:t>, then the Applicable Margin and Facility Fee Percentage corresponding to the Credit Rating then in effect shall apply as of the fifth Business Day after the date on which such Compliance Certificate was required to have been delivered and shall remain in effect until the date on which such Compliance Certificate is delivered.</w:t>
      </w:r>
    </w:p>
    <w:p>
      <w:pPr>
        <w:pStyle w:val="TextBody"/>
        <w:bidi w:val="0"/>
        <w:spacing w:lineRule="auto" w:line="240" w:before="0" w:after="0"/>
        <w:jc w:val="right"/>
        <w:rPr>
          <w:color w:val="000000"/>
        </w:rPr>
      </w:pPr>
      <w:r>
        <w:rPr>
          <w:color w:val="000000"/>
        </w:rPr>
        <w:t>        </w:t>
      </w:r>
      <w:r>
        <w:rPr>
          <w:rFonts w:ascii="Times New Roman;sans-serif" w:hAnsi="Times New Roman;sans-serif"/>
          <w:b w:val="false"/>
          <w:color w:val="000000"/>
          <w:sz w:val="24"/>
        </w:rPr>
        <w:t>- 3 -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(c)The notice information for the Administrative Agent set forth in Section 10.2(a) of the Existing Credit Agreement is hereby amended and restated in its entirety as follows:</w:t>
      </w:r>
    </w:p>
    <w:tbl>
      <w:tblPr>
        <w:tblW w:w="6524" w:type="dxa"/>
        <w:jc w:val="left"/>
        <w:tblInd w:w="0" w:type="dxa"/>
        <w:tblLayout w:type="fixed"/>
        <w:tblCellMar>
          <w:top w:w="28" w:type="dxa"/>
          <w:left w:w="28" w:type="dxa"/>
          <w:bottom w:w="28" w:type="dxa"/>
          <w:right w:w="28" w:type="dxa"/>
        </w:tblCellMar>
      </w:tblPr>
      <w:tblGrid>
        <w:gridCol w:w="794"/>
        <w:gridCol w:w="697"/>
        <w:gridCol w:w="699"/>
        <w:gridCol w:w="1269"/>
        <w:gridCol w:w="1269"/>
        <w:gridCol w:w="1796"/>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 and Agency Services Group</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500 Stanton Christiana Road, NCC5, Floor 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Newark, DE 19713-2107, United States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Eureka Young</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eureka.young@jpmchase.com</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Telephone:    (302) 786-9120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 and Agency Services Group</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500 Stanton Christiana Road, NCC5, Floor 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Newark, DE 19713-2107, United States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Sherril Lowe</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sherril.lowe@chase.com</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Telephone:    (980) 296-6558</w:t>
            </w:r>
          </w:p>
        </w:tc>
      </w:tr>
    </w:tbl>
    <w:p>
      <w:pPr>
        <w:pStyle w:val="TextBody"/>
        <w:bidi w:val="0"/>
        <w:spacing w:before="0" w:after="24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(d)Schedule 1.1A of the Existing Credit Agreement is hereby amended and restated as set forth in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4.</w:t>
      </w:r>
      <w:r>
        <w:rPr>
          <w:rFonts w:ascii="Times New Roman;sans-serif" w:hAnsi="Times New Roman;sans-serif"/>
          <w:b w:val="false"/>
          <w:color w:val="000000"/>
          <w:sz w:val="22"/>
          <w:u w:val="single"/>
        </w:rPr>
        <w:t>Conditions to Effectiveness of this Amendment</w:t>
      </w:r>
      <w:r>
        <w:rPr>
          <w:rFonts w:ascii="Times New Roman;sans-serif" w:hAnsi="Times New Roman;sans-serif"/>
          <w:b w:val="false"/>
          <w:color w:val="000000"/>
          <w:sz w:val="22"/>
        </w:rPr>
        <w:t>. This Amendment shall become effective on the date on which the following conditions precedent have been satisfied or waived (the date on which such conditions shall have been so satisfied or waived, the “</w:t>
      </w:r>
      <w:r>
        <w:rPr>
          <w:rFonts w:ascii="Times New Roman;sans-serif" w:hAnsi="Times New Roman;sans-serif"/>
          <w:b w:val="false"/>
          <w:color w:val="000000"/>
          <w:sz w:val="22"/>
          <w:u w:val="single"/>
        </w:rPr>
        <w:t>Second Amendment Effective Date</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(a)The Administrative Agent shall have received a counterpart of this Amendment, executed and delivered by (i) the Borrower, (ii) each Revolving Lender (including each Issuing Lender and Assigning Lender), (iii) the New Lender, (iv) the Exiting Lender and (v) the Administrative Agent.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(b)The Administrative Agent shall have received all fees required to be paid, if any, and all reasonable and documented out-of-pocket expenses (including the reasonable and documented out-of-pocket fees and expenses of legal counsel) for which invoices have been presented at least 1 Business Day (or such later date as agreed to by the Borrower) prior to the Second Amendment Effective Date.</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5.</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On and as of the date hereof, the Borrower hereby confirms, reaffirms and restates that, prior to and after giving effect to this Amendment (i) each of the representations and warranties made by any Loan Party in or pursuant to the Loan Documents is true and correct in all material respects (other than any representation or warranty qualified as to “materiality”, “Material Adverse Effect” or similar language, which shall be true and correct in all respects), except to the extent such representations and warranties specifically relate to an earlier date, in which case they are true and correct in all material respects (other than any representation or warranty qualified as to “materiality”, “Material Adverse Effect” or similar language, which shall be true and correct in all respects) on and as of such earlier date and (ii) no Default or Event of Default has occurred and is continuing. </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6.</w:t>
      </w:r>
      <w:r>
        <w:rPr>
          <w:rFonts w:ascii="Times New Roman;sans-serif" w:hAnsi="Times New Roman;sans-serif"/>
          <w:b w:val="false"/>
          <w:color w:val="000000"/>
          <w:sz w:val="22"/>
          <w:u w:val="single"/>
        </w:rPr>
        <w:t>Continuing Effect; No Other Amendments or Consents</w:t>
      </w:r>
      <w:r>
        <w:rPr>
          <w:rFonts w:ascii="Times New Roman;sans-serif" w:hAnsi="Times New Roman;sans-serif"/>
          <w:b w:val="false"/>
          <w:color w:val="000000"/>
          <w:sz w:val="22"/>
        </w:rPr>
        <w:t xml:space="preserve">. </w:t>
      </w:r>
    </w:p>
    <w:p>
      <w:pPr>
        <w:pStyle w:val="TextBody"/>
        <w:bidi w:val="0"/>
        <w:spacing w:lineRule="auto" w:line="240" w:before="0" w:after="0"/>
        <w:jc w:val="right"/>
        <w:rPr>
          <w:color w:val="000000"/>
        </w:rPr>
      </w:pPr>
      <w:r>
        <w:rPr>
          <w:color w:val="000000"/>
        </w:rPr>
        <w:t>        </w:t>
      </w:r>
      <w:r>
        <w:rPr>
          <w:rFonts w:ascii="Times New Roman;sans-serif" w:hAnsi="Times New Roman;sans-serif"/>
          <w:b w:val="false"/>
          <w:color w:val="000000"/>
          <w:sz w:val="24"/>
        </w:rPr>
        <w:t>- 4 -</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Second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(b)The Borrower, the Lenders (including each Issuing Lender) party hereto and the Administrative Agent acknowledge and agree that this Amendment shall constitute a Loan Document.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(c)Nothing contained herein shall be construed as a substitution or novation of the obligations outstanding under the Existing Credit Agreement or the other Loan Documents, which shall remain in full force and effect, except to any extent expressly modified hereby or by instruments executed concurrently herewith.</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7.</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The Borrower agrees to pay and reimburse the Administrative Agent for all its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Administrative Agent, in accordance with the terms in the Credit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8.</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Delivery of an executed counterpart of a signature page of (x) this Amendment, (y) any other Loan Document and/or (z) any Ancillary Document that is an Electronic Signature transmitted by telecopy, emailed pdf. or any other electronic means that reproduces an image of an actual executed signature page shall be effective as delivery of a manually executed counterpart of this Amendment, such other Loan Document or such Ancillary Document, as applicable. The words “execution,” “signed,” “signature,” “delivery,” and words of like import in or relating to this Amendment,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Amendment, any other Loan Document and/or any Ancillary Document shall have the same legal effect, validity and enforceability as any paper original, (ii) the Administrative Agent and each of the Lenders </w:t>
      </w:r>
    </w:p>
    <w:p>
      <w:pPr>
        <w:pStyle w:val="TextBody"/>
        <w:bidi w:val="0"/>
        <w:spacing w:lineRule="auto" w:line="240" w:before="0" w:after="0"/>
        <w:jc w:val="right"/>
        <w:rPr>
          <w:color w:val="000000"/>
        </w:rPr>
      </w:pPr>
      <w:r>
        <w:rPr>
          <w:color w:val="000000"/>
        </w:rPr>
        <w:t>        </w:t>
      </w:r>
      <w:r>
        <w:rPr>
          <w:rFonts w:ascii="Times New Roman;sans-serif" w:hAnsi="Times New Roman;sans-serif"/>
          <w:b w:val="false"/>
          <w:color w:val="000000"/>
          <w:sz w:val="24"/>
        </w:rPr>
        <w:t>- 5 -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may, at its option, create one or more copies of this Amendment,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Amendment, any other Loan Document and/or any Ancillary Document based solely on the lack of paper original copies of this Amendment, such other Loan Document and/or such Ancillary Document, respectively, including with respect to any signature pages thereto and (iv) waives any claim against any Indemnified Person for any Losses arising solely from the Administrative Agent’s and/or any Lender’s reliance on or use of Electronic Signatures and/or transmissions by telecopy, emailed pdf. or any other electronic means that reproduces an image of an actual executed signature page, including any Losses arising as a result of the failure of a Borrower to use any available security measures in connection with the execution, delivery or transmission of any Electronic Signature. </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9.</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xml:space="preserve">. It is understood and agreed that this Amendment shall be deemed to incorporate,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Sections 10.13 and 10.17 of the Existing Credit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SECTION 12.</w:t>
      </w:r>
      <w:r>
        <w:rPr>
          <w:rFonts w:ascii="Times New Roman;sans-serif" w:hAnsi="Times New Roman;sans-serif"/>
          <w:b/>
          <w:color w:val="000000"/>
          <w:sz w:val="22"/>
          <w:u w:val="single"/>
        </w:rPr>
        <w:t>GOVERNING LAW</w:t>
      </w:r>
      <w:r>
        <w:rPr>
          <w:rFonts w:ascii="Times New Roman;sans-serif" w:hAnsi="Times New Roman;sans-serif"/>
          <w:b/>
          <w:color w:val="000000"/>
          <w:sz w:val="22"/>
        </w:rPr>
        <w:t>. THIS AMENDMENT AND THE RIGHTS AND OBLIGATIONS (WHETHER IN CONTRACT, TORT OR OTHERWISE AND IN LAW OR EQUITY) OF THE PARTIES HEREUNDER SHALL BE GOVERNED BY, AND CONSTRUED AND INTERPRETED IN ACCORDANCE WITH, THE LAW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caused this Amendment to be duly executed and delivered by their proper and duly authorized officers as of the day and year first above written.</w:t>
      </w:r>
    </w:p>
    <w:p>
      <w:pPr>
        <w:pStyle w:val="TextBody"/>
        <w:bidi w:val="0"/>
        <w:spacing w:before="0" w:after="240"/>
        <w:ind w:left="0" w:right="0" w:firstLine="144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VICI PROPERTIES L.P., as the Borrower </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David A Kieske</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David A. Kieske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as Administrative Agent and as a Revolving Lender, Assigning Lender and Issuing Lender </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Jeff C. Miller</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Jeff C. Miller</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WELLS FARGO BANK, N.A., as a Revolving Lender, Assigning Lender and Issuing Lender </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Jordan Mendell</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Jordan Mendell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N.A., as a Revolving Lender, Assigning Lender and Issuing Lender </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rFonts w:ascii="Times New Roman;sans-serif" w:hAnsi="Times New Roman;sans-serif"/>
          <w:b w:val="false"/>
          <w:i/>
          <w:color w:val="000000"/>
          <w:sz w:val="22"/>
          <w:u w:val="single"/>
        </w:rPr>
        <w:t>/s/ Brian D. Corum</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CITIBANK, N.A., as a Revolving Lender, Assigning Lender and Issuing Lender </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Christopher Albano</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Christopher Albano</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rFonts w:ascii="Times New Roman;sans-serif" w:hAnsi="Times New Roman;sans-serif"/>
          <w:b w:val="false"/>
          <w:i/>
          <w:color w:val="000000"/>
          <w:sz w:val="22"/>
          <w:u w:val="single"/>
        </w:rPr>
        <w:t>/s/ Charlene Saldanha</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Charlene Saldanha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Tesha Winslow</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Tesha Winslow</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BANK OF NOVA SCOTIA,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Sacha Boxill</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2"/>
        </w:rPr>
        <w:t>Name:</w:t>
      </w:r>
      <w:r>
        <w:rPr>
          <w:color w:val="000000"/>
        </w:rPr>
        <w:t xml:space="preserve"> </w:t>
      </w:r>
      <w:r>
        <w:rPr>
          <w:rFonts w:ascii="Times New Roman;sans-serif" w:hAnsi="Times New Roman;sans-serif"/>
          <w:b w:val="false"/>
          <w:color w:val="000000"/>
          <w:sz w:val="22"/>
        </w:rPr>
        <w:t>Sacha Boxill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James Goodall</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Kyle Fitzpatrick</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Eric Purzycki</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Eric Purzycki</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Duly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w:t>
      </w:r>
      <w:r>
        <w:rPr>
          <w:rFonts w:ascii="Times New Roman;sans-serif" w:hAnsi="Times New Roman;sans-serif"/>
          <w:b w:val="false"/>
          <w:i/>
          <w:color w:val="000000"/>
          <w:sz w:val="22"/>
          <w:u w:val="single"/>
        </w:rPr>
        <w:t>Sean McWhinnie</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Sean McWhinnie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Ming K. Chu</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Ming K. Chu</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Alison Lugo</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Alison Lugo</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Keshia Leday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Keshia Leday </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Jack Kuhns</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Jack Kuhns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John J. DeLong</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John J. DeLong</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RAYMOND JAMES BANK,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Alexander Sierra</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Alexander Sierra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Revolving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i/>
          <w:color w:val="000000"/>
          <w:sz w:val="22"/>
          <w:u w:val="single"/>
        </w:rPr>
        <w:t>/s/ Mary Harold</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Mary Harold</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 as the New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rFonts w:ascii="Times New Roman;sans-serif" w:hAnsi="Times New Roman;sans-serif"/>
          <w:b w:val="false"/>
          <w:i/>
          <w:color w:val="000000"/>
          <w:sz w:val="22"/>
          <w:u w:val="single"/>
        </w:rPr>
        <w:t>/s/ Donna DeMagistris</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Donna DeMagistris </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HUNTINGTON NATIONAL BANK, as the Exiting Lender</w:t>
      </w:r>
    </w:p>
    <w:p>
      <w:pPr>
        <w:pStyle w:val="TextBody"/>
        <w:bidi w:val="0"/>
        <w:spacing w:before="0" w:after="24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Erin L. Mahon</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Erin L. Mahon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Assistant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Schedule I</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3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Second Amendment]</w:t>
                      </w:r>
                    </w:p>
                  </w:txbxContent>
                </v:textbox>
                <w10:wrap type="none"/>
              </v:rect>
            </w:pict>
          </mc:Fallback>
        </mc:AlternateContent>
      </w:r>
    </w:p>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SCHEDULE 1.1A</w:t>
      </w:r>
    </w:p>
    <w:p>
      <w:pPr>
        <w:pStyle w:val="TextBody"/>
        <w:bidi w:val="0"/>
        <w:spacing w:lineRule="auto" w:line="300" w:before="0" w:after="1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 Commitments</w:t>
      </w:r>
    </w:p>
    <w:tbl>
      <w:tblPr>
        <w:tblW w:w="9806" w:type="dxa"/>
        <w:jc w:val="left"/>
        <w:tblInd w:w="0" w:type="dxa"/>
        <w:tblLayout w:type="fixed"/>
        <w:tblCellMar>
          <w:top w:w="28" w:type="dxa"/>
          <w:left w:w="28" w:type="dxa"/>
          <w:bottom w:w="28" w:type="dxa"/>
          <w:right w:w="28" w:type="dxa"/>
        </w:tblCellMar>
      </w:tblPr>
      <w:tblGrid>
        <w:gridCol w:w="1364"/>
        <w:gridCol w:w="1197"/>
        <w:gridCol w:w="1204"/>
        <w:gridCol w:w="1029"/>
        <w:gridCol w:w="1029"/>
        <w:gridCol w:w="1032"/>
        <w:gridCol w:w="109"/>
        <w:gridCol w:w="109"/>
        <w:gridCol w:w="109"/>
        <w:gridCol w:w="768"/>
        <w:gridCol w:w="768"/>
        <w:gridCol w:w="108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USD 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Multicurrency</w:t>
            </w:r>
          </w:p>
          <w:p>
            <w:pPr>
              <w:pStyle w:val="TableContents"/>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Revolving Credit Facility</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$83,750,000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$108,750,000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$83,750,000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$108,750,000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$96,250,000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$96,250,000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Nova Scotia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Raymond James Bank</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Total</w:t>
            </w:r>
          </w:p>
        </w:tc>
        <w:tc>
          <w:tcPr>
            <w:tcW w:w="309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$1,250,000,000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$1,250,000,000</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89560"/>
                <wp:effectExtent l="0" t="0" r="0" b="0"/>
                <wp:wrapNone/>
                <wp:docPr id="101" name="Frame10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572"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89560"/>
                <wp:effectExtent l="0" t="0" r="0" b="0"/>
                <wp:wrapNone/>
                <wp:docPr id="102" name="Frame10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89560"/>
                <wp:effectExtent l="0" t="0" r="0" b="0"/>
                <wp:wrapNone/>
                <wp:docPr id="103" name="Frame10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572"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89560"/>
                <wp:effectExtent l="0" t="0" r="0" b="0"/>
                <wp:wrapNone/>
                <wp:docPr id="104" name="Frame10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September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89560"/>
                <wp:effectExtent l="0" t="0" r="0" b="0"/>
                <wp:wrapNone/>
                <wp:docPr id="105" name="Frame10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September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57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89560"/>
                <wp:effectExtent l="0" t="0" r="0" b="0"/>
                <wp:wrapNone/>
                <wp:docPr id="106" name="Frame10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September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89560"/>
                <wp:effectExtent l="0" t="0" r="0" b="0"/>
                <wp:wrapNone/>
                <wp:docPr id="107" name="Frame10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September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57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89560"/>
                <wp:effectExtent l="0" t="0" r="0" b="0"/>
                <wp:wrapNone/>
                <wp:docPr id="108" name="Frame10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3000035/vici-20221231.htm" TargetMode="External"/><Relationship Id="rId4" Type="http://schemas.openxmlformats.org/officeDocument/2006/relationships/hyperlink" Target="https://www.sec.gov/ix?doc=/Archives/edgar/data/1705696/000170569623000035/vici-20221231.htm" TargetMode="External"/><Relationship Id="rId5" Type="http://schemas.openxmlformats.org/officeDocument/2006/relationships/hyperlink" Target="https://www.sec.gov/ix?doc=/Archives/edgar/data/1705696/000170569623000035/vici-20221231.htm" TargetMode="External"/><Relationship Id="rId6" Type="http://schemas.openxmlformats.org/officeDocument/2006/relationships/hyperlink" Target="https://www.sec.gov/ix?doc=/Archives/edgar/data/1705696/000170569623000035/vici-20221231.htm" TargetMode="External"/><Relationship Id="rId7" Type="http://schemas.openxmlformats.org/officeDocument/2006/relationships/hyperlink" Target="https://www.sec.gov/ix?doc=/Archives/edgar/data/1705696/000170569623000035/vici-20221231.htm" TargetMode="External"/><Relationship Id="rId8" Type="http://schemas.openxmlformats.org/officeDocument/2006/relationships/hyperlink" Target="https://www.sec.gov/ix?doc=/Archives/edgar/data/1705696/000170569623000035/vici-202212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45665</Words>
  <Characters>253633</Characters>
  <CharactersWithSpaces>296915</CharactersWithSpaces>
  <Paragraphs>5519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