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147"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10-Q</w:t>
      </w:r>
    </w:p>
    <w:p>
      <w:pPr>
        <w:spacing w:after="0" w:line="3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33" w:lineRule="exact"/>
        <w:rPr>
          <w:sz w:val="24"/>
          <w:szCs w:val="24"/>
          <w:color w:val="auto"/>
        </w:rPr>
      </w:pPr>
    </w:p>
    <w:p>
      <w:pPr>
        <w:ind w:left="1740" w:hanging="587"/>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7" w:lineRule="exact"/>
        <w:rPr>
          <w:sz w:val="24"/>
          <w:szCs w:val="24"/>
          <w:color w:val="auto"/>
        </w:rPr>
      </w:pPr>
    </w:p>
    <w:tbl>
      <w:tblPr>
        <w:tblLayout w:type="fixed"/>
        <w:tblInd w:w="940" w:type="dxa"/>
        <w:tblCellMar>
          <w:top w:w="0" w:type="dxa"/>
          <w:left w:w="0" w:type="dxa"/>
          <w:bottom w:w="0" w:type="dxa"/>
          <w:right w:w="0" w:type="dxa"/>
        </w:tblCellMar>
      </w:tblPr>
      <w:tr>
        <w:trPr>
          <w:trHeight w:val="210"/>
        </w:trPr>
        <w:tc>
          <w:tcPr>
            <w:tcW w:w="520" w:type="dxa"/>
            <w:vAlign w:val="bottom"/>
            <w:vMerge w:val="restart"/>
          </w:tcPr>
          <w:p>
            <w:pPr>
              <w:spacing w:after="0" w:line="368" w:lineRule="exact"/>
              <w:rPr>
                <w:sz w:val="20"/>
                <w:szCs w:val="20"/>
                <w:color w:val="auto"/>
              </w:rPr>
            </w:pPr>
            <w:r>
              <w:rPr>
                <w:rFonts w:ascii="Arial" w:cs="Arial" w:eastAsia="Arial" w:hAnsi="Arial"/>
                <w:sz w:val="16"/>
                <w:szCs w:val="16"/>
                <w:b w:val="1"/>
                <w:bCs w:val="1"/>
                <w:color w:val="auto"/>
              </w:rPr>
              <w:t xml:space="preserve">or  </w:t>
            </w:r>
            <w:r>
              <w:rPr>
                <w:rFonts w:ascii="MS PGothic" w:cs="MS PGothic" w:eastAsia="MS PGothic" w:hAnsi="MS PGothic"/>
                <w:sz w:val="32"/>
                <w:szCs w:val="32"/>
                <w:color w:val="auto"/>
                <w:highlight w:val="black"/>
                <w:vertAlign w:val="superscript"/>
              </w:rPr>
              <w:t>☐</w:t>
            </w:r>
          </w:p>
        </w:tc>
        <w:tc>
          <w:tcPr>
            <w:tcW w:w="85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2"/>
              </w:rPr>
              <w:t>For the Quarterly Period Ended June 30, 2021</w:t>
            </w:r>
          </w:p>
        </w:tc>
        <w:tc>
          <w:tcPr>
            <w:tcW w:w="0" w:type="dxa"/>
            <w:vAlign w:val="bottom"/>
          </w:tcPr>
          <w:p>
            <w:pPr>
              <w:spacing w:after="0"/>
              <w:rPr>
                <w:sz w:val="1"/>
                <w:szCs w:val="1"/>
                <w:color w:val="auto"/>
              </w:rPr>
            </w:pPr>
          </w:p>
        </w:tc>
      </w:tr>
      <w:tr>
        <w:trPr>
          <w:trHeight w:val="463"/>
        </w:trPr>
        <w:tc>
          <w:tcPr>
            <w:tcW w:w="520" w:type="dxa"/>
            <w:vAlign w:val="bottom"/>
            <w:vMerge w:val="continue"/>
          </w:tcPr>
          <w:p>
            <w:pPr>
              <w:spacing w:after="0"/>
              <w:rPr>
                <w:sz w:val="24"/>
                <w:szCs w:val="24"/>
                <w:color w:val="auto"/>
              </w:rPr>
            </w:pPr>
          </w:p>
        </w:tc>
        <w:tc>
          <w:tcPr>
            <w:tcW w:w="8580" w:type="dxa"/>
            <w:vAlign w:val="bottom"/>
            <w:gridSpan w:val="2"/>
          </w:tcPr>
          <w:p>
            <w:pPr>
              <w:ind w:left="360"/>
              <w:spacing w:after="0"/>
              <w:rPr>
                <w:sz w:val="20"/>
                <w:szCs w:val="20"/>
                <w:color w:val="auto"/>
              </w:rPr>
            </w:pPr>
            <w:r>
              <w:rPr>
                <w:rFonts w:ascii="Arial" w:cs="Arial" w:eastAsia="Arial" w:hAnsi="Arial"/>
                <w:sz w:val="16"/>
                <w:szCs w:val="16"/>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85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1"/>
              </w:rPr>
              <w:t>For the transition period from _________ to __________</w:t>
            </w:r>
          </w:p>
        </w:tc>
        <w:tc>
          <w:tcPr>
            <w:tcW w:w="0" w:type="dxa"/>
            <w:vAlign w:val="bottom"/>
          </w:tcPr>
          <w:p>
            <w:pPr>
              <w:spacing w:after="0"/>
              <w:rPr>
                <w:sz w:val="1"/>
                <w:szCs w:val="1"/>
                <w:color w:val="auto"/>
              </w:rPr>
            </w:pPr>
          </w:p>
        </w:tc>
      </w:tr>
      <w:tr>
        <w:trPr>
          <w:trHeight w:val="301"/>
        </w:trPr>
        <w:tc>
          <w:tcPr>
            <w:tcW w:w="520" w:type="dxa"/>
            <w:vAlign w:val="bottom"/>
          </w:tcPr>
          <w:p>
            <w:pPr>
              <w:spacing w:after="0"/>
              <w:rPr>
                <w:sz w:val="24"/>
                <w:szCs w:val="24"/>
                <w:color w:val="auto"/>
              </w:rPr>
            </w:pPr>
          </w:p>
        </w:tc>
        <w:tc>
          <w:tcPr>
            <w:tcW w:w="8580" w:type="dxa"/>
            <w:vAlign w:val="bottom"/>
            <w:gridSpan w:val="2"/>
          </w:tcPr>
          <w:p>
            <w:pPr>
              <w:jc w:val="center"/>
              <w:ind w:right="179"/>
              <w:spacing w:after="0"/>
              <w:rPr>
                <w:sz w:val="20"/>
                <w:szCs w:val="20"/>
                <w:color w:val="auto"/>
              </w:rPr>
            </w:pPr>
            <w:r>
              <w:rPr>
                <w:rFonts w:ascii="Arial" w:cs="Arial" w:eastAsia="Arial" w:hAnsi="Arial"/>
                <w:sz w:val="18"/>
                <w:szCs w:val="18"/>
                <w:b w:val="1"/>
                <w:bCs w:val="1"/>
                <w:color w:val="auto"/>
                <w:w w:val="89"/>
              </w:rPr>
              <w:t>Commission file number: 001-38372</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8580" w:type="dxa"/>
            <w:vAlign w:val="bottom"/>
            <w:gridSpan w:val="2"/>
          </w:tcPr>
          <w:p>
            <w:pPr>
              <w:jc w:val="center"/>
              <w:ind w:right="139"/>
              <w:spacing w:after="0"/>
              <w:rPr>
                <w:sz w:val="20"/>
                <w:szCs w:val="20"/>
                <w:color w:val="auto"/>
              </w:rPr>
            </w:pPr>
            <w:r>
              <w:rPr>
                <w:rFonts w:ascii="Arial" w:cs="Arial" w:eastAsia="Arial" w:hAnsi="Arial"/>
                <w:sz w:val="18"/>
                <w:szCs w:val="18"/>
                <w:color w:val="auto"/>
                <w:w w:val="89"/>
              </w:rPr>
              <w:t>_________________________</w:t>
            </w:r>
          </w:p>
        </w:tc>
        <w:tc>
          <w:tcPr>
            <w:tcW w:w="0" w:type="dxa"/>
            <w:vAlign w:val="bottom"/>
          </w:tcPr>
          <w:p>
            <w:pPr>
              <w:spacing w:after="0"/>
              <w:rPr>
                <w:sz w:val="1"/>
                <w:szCs w:val="1"/>
                <w:color w:val="auto"/>
              </w:rPr>
            </w:pPr>
          </w:p>
        </w:tc>
      </w:tr>
      <w:tr>
        <w:trPr>
          <w:trHeight w:val="498"/>
        </w:trPr>
        <w:tc>
          <w:tcPr>
            <w:tcW w:w="520" w:type="dxa"/>
            <w:vAlign w:val="bottom"/>
          </w:tcPr>
          <w:p>
            <w:pPr>
              <w:spacing w:after="0"/>
              <w:rPr>
                <w:sz w:val="24"/>
                <w:szCs w:val="24"/>
                <w:color w:val="auto"/>
              </w:rPr>
            </w:pPr>
          </w:p>
        </w:tc>
        <w:tc>
          <w:tcPr>
            <w:tcW w:w="8580" w:type="dxa"/>
            <w:vAlign w:val="bottom"/>
            <w:gridSpan w:val="2"/>
          </w:tcPr>
          <w:p>
            <w:pPr>
              <w:jc w:val="center"/>
              <w:ind w:right="179"/>
              <w:spacing w:after="0"/>
              <w:rPr>
                <w:sz w:val="20"/>
                <w:szCs w:val="20"/>
                <w:color w:val="auto"/>
              </w:rPr>
            </w:pPr>
            <w:r>
              <w:rPr>
                <w:rFonts w:ascii="Arial" w:cs="Arial" w:eastAsia="Arial" w:hAnsi="Arial"/>
                <w:sz w:val="36"/>
                <w:szCs w:val="36"/>
                <w:b w:val="1"/>
                <w:bCs w:val="1"/>
                <w:color w:val="auto"/>
                <w:w w:val="95"/>
              </w:rPr>
              <w:t>VICI Properties Inc.</w:t>
            </w: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85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8580" w:type="dxa"/>
            <w:vAlign w:val="bottom"/>
            <w:gridSpan w:val="2"/>
          </w:tcPr>
          <w:p>
            <w:pPr>
              <w:jc w:val="center"/>
              <w:ind w:right="159"/>
              <w:spacing w:after="0"/>
              <w:rPr>
                <w:sz w:val="20"/>
                <w:szCs w:val="20"/>
                <w:color w:val="auto"/>
              </w:rPr>
            </w:pPr>
            <w:r>
              <w:rPr>
                <w:rFonts w:ascii="Arial" w:cs="Arial" w:eastAsia="Arial" w:hAnsi="Arial"/>
                <w:sz w:val="18"/>
                <w:szCs w:val="18"/>
                <w:color w:val="auto"/>
                <w:w w:val="89"/>
              </w:rPr>
              <w:t>__________________________</w:t>
            </w:r>
          </w:p>
        </w:tc>
        <w:tc>
          <w:tcPr>
            <w:tcW w:w="0" w:type="dxa"/>
            <w:vAlign w:val="bottom"/>
          </w:tcPr>
          <w:p>
            <w:pPr>
              <w:spacing w:after="0"/>
              <w:rPr>
                <w:sz w:val="1"/>
                <w:szCs w:val="1"/>
                <w:color w:val="auto"/>
              </w:rPr>
            </w:pPr>
          </w:p>
        </w:tc>
      </w:tr>
      <w:tr>
        <w:trPr>
          <w:trHeight w:val="247"/>
        </w:trPr>
        <w:tc>
          <w:tcPr>
            <w:tcW w:w="520" w:type="dxa"/>
            <w:vAlign w:val="bottom"/>
          </w:tcPr>
          <w:p>
            <w:pPr>
              <w:spacing w:after="0"/>
              <w:rPr>
                <w:sz w:val="21"/>
                <w:szCs w:val="21"/>
                <w:color w:val="auto"/>
              </w:rPr>
            </w:pPr>
          </w:p>
        </w:tc>
        <w:tc>
          <w:tcPr>
            <w:tcW w:w="4540" w:type="dxa"/>
            <w:vAlign w:val="bottom"/>
          </w:tcPr>
          <w:p>
            <w:pPr>
              <w:jc w:val="center"/>
              <w:ind w:right="607"/>
              <w:spacing w:after="0"/>
              <w:rPr>
                <w:sz w:val="20"/>
                <w:szCs w:val="20"/>
                <w:color w:val="auto"/>
              </w:rPr>
            </w:pPr>
            <w:r>
              <w:rPr>
                <w:rFonts w:ascii="Arial" w:cs="Arial" w:eastAsia="Arial" w:hAnsi="Arial"/>
                <w:sz w:val="18"/>
                <w:szCs w:val="18"/>
                <w:b w:val="1"/>
                <w:bCs w:val="1"/>
                <w:color w:val="auto"/>
                <w:w w:val="96"/>
              </w:rPr>
              <w:t>Maryland</w:t>
            </w:r>
          </w:p>
        </w:tc>
        <w:tc>
          <w:tcPr>
            <w:tcW w:w="4040" w:type="dxa"/>
            <w:vAlign w:val="bottom"/>
          </w:tcPr>
          <w:p>
            <w:pPr>
              <w:jc w:val="right"/>
              <w:ind w:right="1659"/>
              <w:spacing w:after="0"/>
              <w:rPr>
                <w:sz w:val="20"/>
                <w:szCs w:val="20"/>
                <w:color w:val="auto"/>
              </w:rPr>
            </w:pPr>
            <w:r>
              <w:rPr>
                <w:rFonts w:ascii="Arial" w:cs="Arial" w:eastAsia="Arial" w:hAnsi="Arial"/>
                <w:sz w:val="18"/>
                <w:szCs w:val="18"/>
                <w:b w:val="1"/>
                <w:bCs w:val="1"/>
                <w:color w:val="auto"/>
              </w:rPr>
              <w:t>81-4177147</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4540" w:type="dxa"/>
            <w:vAlign w:val="bottom"/>
          </w:tcPr>
          <w:p>
            <w:pPr>
              <w:jc w:val="center"/>
              <w:ind w:right="58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040" w:type="dxa"/>
            <w:vAlign w:val="bottom"/>
          </w:tcPr>
          <w:p>
            <w:pPr>
              <w:jc w:val="center"/>
              <w:ind w:right="239"/>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bl>
    <w:p>
      <w:pPr>
        <w:spacing w:after="0" w:line="15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0"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160" w:lineRule="exact"/>
        <w:rPr>
          <w:sz w:val="24"/>
          <w:szCs w:val="24"/>
          <w:color w:val="auto"/>
        </w:rPr>
      </w:pPr>
    </w:p>
    <w:tbl>
      <w:tblPr>
        <w:tblLayout w:type="fixed"/>
        <w:tblInd w:w="340" w:type="dxa"/>
        <w:tblCellMar>
          <w:top w:w="0" w:type="dxa"/>
          <w:left w:w="0" w:type="dxa"/>
          <w:bottom w:w="0" w:type="dxa"/>
          <w:right w:w="0" w:type="dxa"/>
        </w:tblCellMar>
      </w:tblPr>
      <w:tr>
        <w:trPr>
          <w:trHeight w:val="206"/>
        </w:trPr>
        <w:tc>
          <w:tcPr>
            <w:tcW w:w="42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394"/>
        </w:trPr>
        <w:tc>
          <w:tcPr>
            <w:tcW w:w="38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87"/>
              </w:rPr>
              <w:t>Title of each class</w:t>
            </w:r>
          </w:p>
        </w:tc>
        <w:tc>
          <w:tcPr>
            <w:tcW w:w="360" w:type="dxa"/>
            <w:vAlign w:val="bottom"/>
          </w:tcPr>
          <w:p>
            <w:pPr>
              <w:spacing w:after="0"/>
              <w:rPr>
                <w:sz w:val="24"/>
                <w:szCs w:val="24"/>
                <w:color w:val="auto"/>
              </w:rPr>
            </w:pPr>
          </w:p>
        </w:tc>
        <w:tc>
          <w:tcPr>
            <w:tcW w:w="252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92"/>
              </w:rPr>
              <w:t>Trading Symbol</w:t>
            </w:r>
          </w:p>
        </w:tc>
        <w:tc>
          <w:tcPr>
            <w:tcW w:w="360" w:type="dxa"/>
            <w:vAlign w:val="bottom"/>
          </w:tcPr>
          <w:p>
            <w:pPr>
              <w:spacing w:after="0"/>
              <w:rPr>
                <w:sz w:val="24"/>
                <w:szCs w:val="24"/>
                <w:color w:val="auto"/>
              </w:rPr>
            </w:pPr>
          </w:p>
        </w:tc>
        <w:tc>
          <w:tcPr>
            <w:tcW w:w="38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24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Common stock, $0.01 par value</w:t>
            </w:r>
          </w:p>
        </w:tc>
        <w:tc>
          <w:tcPr>
            <w:tcW w:w="2880" w:type="dxa"/>
            <w:vAlign w:val="bottom"/>
            <w:gridSpan w:val="2"/>
          </w:tcPr>
          <w:p>
            <w:pPr>
              <w:jc w:val="center"/>
              <w:ind w:right="40"/>
              <w:spacing w:after="0"/>
              <w:rPr>
                <w:sz w:val="20"/>
                <w:szCs w:val="20"/>
                <w:color w:val="auto"/>
              </w:rPr>
            </w:pPr>
            <w:r>
              <w:rPr>
                <w:rFonts w:ascii="Arial" w:cs="Arial" w:eastAsia="Arial" w:hAnsi="Arial"/>
                <w:sz w:val="16"/>
                <w:szCs w:val="16"/>
                <w:color w:val="auto"/>
              </w:rPr>
              <w:t>VICI</w:t>
            </w:r>
          </w:p>
        </w:tc>
        <w:tc>
          <w:tcPr>
            <w:tcW w:w="3880" w:type="dxa"/>
            <w:vAlign w:val="bottom"/>
          </w:tcPr>
          <w:p>
            <w:pPr>
              <w:jc w:val="center"/>
              <w:ind w:left="279"/>
              <w:spacing w:after="0"/>
              <w:rPr>
                <w:sz w:val="20"/>
                <w:szCs w:val="20"/>
                <w:color w:val="auto"/>
              </w:rPr>
            </w:pPr>
            <w:r>
              <w:rPr>
                <w:rFonts w:ascii="Arial" w:cs="Arial" w:eastAsia="Arial" w:hAnsi="Arial"/>
                <w:sz w:val="16"/>
                <w:szCs w:val="16"/>
                <w:color w:val="auto"/>
                <w:w w:val="92"/>
              </w:rPr>
              <w:t>New York Stock Exchange</w:t>
            </w:r>
          </w:p>
        </w:tc>
      </w:tr>
    </w:tbl>
    <w:p>
      <w:pPr>
        <w:spacing w:after="0" w:line="200" w:lineRule="exact"/>
        <w:rPr>
          <w:sz w:val="24"/>
          <w:szCs w:val="24"/>
          <w:color w:val="auto"/>
        </w:rPr>
      </w:pPr>
    </w:p>
    <w:p>
      <w:pPr>
        <w:spacing w:after="0" w:line="267" w:lineRule="exact"/>
        <w:rPr>
          <w:sz w:val="24"/>
          <w:szCs w:val="24"/>
          <w:color w:val="auto"/>
        </w:rPr>
      </w:pPr>
    </w:p>
    <w:p>
      <w:pPr>
        <w:jc w:val="both"/>
        <w:ind w:right="100" w:firstLine="323"/>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right="100" w:firstLine="323"/>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6" w:lineRule="exact"/>
        <w:rPr>
          <w:sz w:val="24"/>
          <w:szCs w:val="24"/>
          <w:color w:val="auto"/>
        </w:rPr>
      </w:pPr>
    </w:p>
    <w:p>
      <w:pPr>
        <w:jc w:val="both"/>
        <w:ind w:right="100" w:firstLine="323"/>
        <w:spacing w:after="0" w:line="27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900" w:type="dxa"/>
            <w:vAlign w:val="bottom"/>
          </w:tcPr>
          <w:p>
            <w:pPr>
              <w:ind w:left="2180"/>
              <w:spacing w:after="0"/>
              <w:rPr>
                <w:sz w:val="20"/>
                <w:szCs w:val="20"/>
                <w:color w:val="auto"/>
              </w:rPr>
            </w:pPr>
            <w:r>
              <w:rPr>
                <w:rFonts w:ascii="Arial" w:cs="Arial" w:eastAsia="Arial" w:hAnsi="Arial"/>
                <w:sz w:val="16"/>
                <w:szCs w:val="16"/>
                <w:color w:val="auto"/>
              </w:rPr>
              <w:t>Large Accelerated Filer</w:t>
            </w:r>
          </w:p>
        </w:tc>
        <w:tc>
          <w:tcPr>
            <w:tcW w:w="12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86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900" w:type="dxa"/>
            <w:vAlign w:val="bottom"/>
          </w:tcPr>
          <w:p>
            <w:pPr>
              <w:ind w:left="2180"/>
              <w:spacing w:after="0"/>
              <w:rPr>
                <w:sz w:val="20"/>
                <w:szCs w:val="20"/>
                <w:color w:val="auto"/>
              </w:rPr>
            </w:pPr>
            <w:r>
              <w:rPr>
                <w:rFonts w:ascii="Arial" w:cs="Arial" w:eastAsia="Arial" w:hAnsi="Arial"/>
                <w:sz w:val="16"/>
                <w:szCs w:val="16"/>
                <w:color w:val="auto"/>
              </w:rPr>
              <w:t>Non-accelerated filer</w:t>
            </w:r>
          </w:p>
        </w:tc>
        <w:tc>
          <w:tcPr>
            <w:tcW w:w="12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86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3900" w:type="dxa"/>
            <w:vAlign w:val="bottom"/>
            <w:vMerge w:val="restart"/>
          </w:tcPr>
          <w:p>
            <w:pPr>
              <w:spacing w:after="0"/>
              <w:rPr>
                <w:sz w:val="20"/>
                <w:szCs w:val="20"/>
                <w:color w:val="auto"/>
              </w:rPr>
            </w:pPr>
            <w:r>
              <w:rPr>
                <w:rFonts w:ascii="Arial" w:cs="Arial" w:eastAsia="Arial" w:hAnsi="Arial"/>
                <w:sz w:val="16"/>
                <w:szCs w:val="16"/>
                <w:color w:val="auto"/>
              </w:rPr>
              <w:t>Exchange Act. (Check one):</w:t>
            </w:r>
          </w:p>
        </w:tc>
        <w:tc>
          <w:tcPr>
            <w:tcW w:w="1200" w:type="dxa"/>
            <w:vAlign w:val="bottom"/>
          </w:tcPr>
          <w:p>
            <w:pPr>
              <w:spacing w:after="0"/>
              <w:rPr>
                <w:sz w:val="22"/>
                <w:szCs w:val="22"/>
                <w:color w:val="auto"/>
              </w:rPr>
            </w:pPr>
          </w:p>
        </w:tc>
        <w:tc>
          <w:tcPr>
            <w:tcW w:w="3100" w:type="dxa"/>
            <w:vAlign w:val="bottom"/>
          </w:tcPr>
          <w:p>
            <w:pPr>
              <w:ind w:left="86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90"/>
        </w:trPr>
        <w:tc>
          <w:tcPr>
            <w:tcW w:w="39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3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100" w:firstLine="323"/>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6" w:lineRule="exact"/>
        <w:rPr>
          <w:sz w:val="24"/>
          <w:szCs w:val="24"/>
          <w:color w:val="auto"/>
        </w:rPr>
      </w:pPr>
    </w:p>
    <w:p>
      <w:pPr>
        <w:ind w:left="340" w:right="250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27, 2021, the registrant had 537,044,887 shares of its $0.01 par value common stock outstanding.</w:t>
      </w:r>
    </w:p>
    <w:p>
      <w:pPr>
        <w:spacing w:after="0" w:line="200" w:lineRule="exact"/>
        <w:rPr>
          <w:sz w:val="24"/>
          <w:szCs w:val="24"/>
          <w:color w:val="auto"/>
        </w:rPr>
      </w:pPr>
    </w:p>
    <w:p>
      <w:pPr>
        <w:spacing w:after="0" w:line="331"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055" w:right="2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JUNE 30, 2021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gridSpan w:val="3"/>
            <w:vMerge w:val="restart"/>
          </w:tcPr>
          <w:p>
            <w:pPr>
              <w:ind w:left="20"/>
              <w:spacing w:after="0"/>
              <w:rPr>
                <w:rFonts w:ascii="Arial" w:cs="Arial" w:eastAsia="Arial" w:hAnsi="Arial"/>
                <w:sz w:val="18"/>
                <w:szCs w:val="18"/>
                <w:b w:val="1"/>
                <w:bCs w:val="1"/>
                <w:color w:val="0000FF"/>
                <w:w w:val="96"/>
              </w:rPr>
            </w:pPr>
            <w:hyperlink w:anchor="page2">
              <w:r>
                <w:rPr>
                  <w:rFonts w:ascii="Arial" w:cs="Arial" w:eastAsia="Arial" w:hAnsi="Arial"/>
                  <w:sz w:val="18"/>
                  <w:szCs w:val="18"/>
                  <w:b w:val="1"/>
                  <w:bCs w:val="1"/>
                  <w:color w:val="0000FF"/>
                  <w:w w:val="96"/>
                </w:rPr>
                <w:t>PART I.</w:t>
              </w:r>
            </w:hyperlink>
          </w:p>
        </w:tc>
        <w:tc>
          <w:tcPr>
            <w:tcW w:w="10000" w:type="dxa"/>
            <w:vAlign w:val="bottom"/>
            <w:gridSpan w:val="14"/>
            <w:vMerge w:val="restart"/>
          </w:tcPr>
          <w:p>
            <w:pPr>
              <w:ind w:left="36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5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660" w:type="dxa"/>
            <w:vAlign w:val="bottom"/>
            <w:gridSpan w:val="3"/>
            <w:vMerge w:val="continue"/>
          </w:tcPr>
          <w:p>
            <w:pPr>
              <w:spacing w:after="0"/>
              <w:rPr>
                <w:sz w:val="14"/>
                <w:szCs w:val="14"/>
                <w:color w:val="auto"/>
              </w:rPr>
            </w:pPr>
          </w:p>
        </w:tc>
        <w:tc>
          <w:tcPr>
            <w:tcW w:w="10000" w:type="dxa"/>
            <w:vAlign w:val="bottom"/>
            <w:gridSpan w:val="14"/>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0"/>
              </w:rPr>
            </w:pPr>
            <w:hyperlink w:anchor="page2">
              <w:r>
                <w:rPr>
                  <w:rFonts w:ascii="Arial" w:cs="Arial" w:eastAsia="Arial" w:hAnsi="Arial"/>
                  <w:sz w:val="18"/>
                  <w:szCs w:val="18"/>
                  <w:color w:val="0000FF"/>
                  <w:w w:val="90"/>
                </w:rPr>
                <w:t>Item 1.</w:t>
              </w:r>
            </w:hyperlink>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12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91"/>
              </w:rPr>
            </w:pPr>
            <w:hyperlink w:anchor="page2">
              <w:r>
                <w:rPr>
                  <w:rFonts w:ascii="Arial" w:cs="Arial" w:eastAsia="Arial" w:hAnsi="Arial"/>
                  <w:sz w:val="18"/>
                  <w:szCs w:val="18"/>
                  <w:color w:val="0000FF"/>
                  <w:w w:val="91"/>
                </w:rPr>
                <w:t>Financial Statements of VICI Properties Inc. (Unaudited)</w:t>
              </w:r>
            </w:hyperlink>
          </w:p>
        </w:tc>
        <w:tc>
          <w:tcPr>
            <w:tcW w:w="5520" w:type="dxa"/>
            <w:vAlign w:val="bottom"/>
            <w:tcBorders>
              <w:bottom w:val="single" w:sz="8" w:color="CCEEFF"/>
            </w:tcBorders>
            <w:gridSpan w:val="7"/>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80" w:type="dxa"/>
            <w:vAlign w:val="bottom"/>
            <w:gridSpan w:val="12"/>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as of June 30, 2021 and December 31, 2020</w:t>
              </w:r>
            </w:hyperlink>
          </w:p>
        </w:tc>
        <w:tc>
          <w:tcPr>
            <w:tcW w:w="380" w:type="dxa"/>
            <w:vAlign w:val="bottom"/>
            <w:gridSpan w:val="4"/>
          </w:tcPr>
          <w:p>
            <w:pPr>
              <w:jc w:val="center"/>
              <w:ind w:left="11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80" w:type="dxa"/>
            <w:vAlign w:val="bottom"/>
            <w:gridSpan w:val="12"/>
            <w:shd w:val="clear" w:color="auto" w:fill="CCEEFF"/>
          </w:tcPr>
          <w:p>
            <w:pPr>
              <w:spacing w:after="0" w:line="189" w:lineRule="exact"/>
              <w:rPr>
                <w:rFonts w:ascii="Arial" w:cs="Arial" w:eastAsia="Arial" w:hAnsi="Arial"/>
                <w:sz w:val="18"/>
                <w:szCs w:val="18"/>
                <w:color w:val="0000FF"/>
                <w:w w:val="93"/>
              </w:rPr>
            </w:pPr>
            <w:hyperlink w:anchor="page3">
              <w:r>
                <w:rPr>
                  <w:rFonts w:ascii="Arial" w:cs="Arial" w:eastAsia="Arial" w:hAnsi="Arial"/>
                  <w:sz w:val="18"/>
                  <w:szCs w:val="18"/>
                  <w:color w:val="0000FF"/>
                  <w:w w:val="93"/>
                </w:rPr>
                <w:t>Consolidated Statements of Operations and Comprehensive Income for the Three and Six Months Ended June 30, 2021 and</w:t>
              </w:r>
            </w:hyperlink>
          </w:p>
        </w:tc>
        <w:tc>
          <w:tcPr>
            <w:tcW w:w="240" w:type="dxa"/>
            <w:vAlign w:val="bottom"/>
            <w:gridSpan w:val="2"/>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0" w:type="dxa"/>
            <w:vAlign w:val="bottom"/>
            <w:vMerge w:val="restart"/>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60" w:type="dxa"/>
            <w:vAlign w:val="bottom"/>
            <w:tcBorders>
              <w:top w:val="single" w:sz="8" w:color="0000FF"/>
              <w:bottom w:val="single" w:sz="8" w:color="0000FF"/>
            </w:tcBorders>
            <w:shd w:val="clear" w:color="auto" w:fill="CCEEFF"/>
          </w:tcPr>
          <w:p>
            <w:pPr>
              <w:spacing w:after="0" w:line="155" w:lineRule="exact"/>
              <w:rPr>
                <w:rFonts w:ascii="Arial" w:cs="Arial" w:eastAsia="Arial" w:hAnsi="Arial"/>
                <w:sz w:val="17"/>
                <w:szCs w:val="17"/>
                <w:color w:val="0000FF"/>
                <w:w w:val="89"/>
              </w:rPr>
            </w:pPr>
            <w:hyperlink w:anchor="page3">
              <w:r>
                <w:rPr>
                  <w:rFonts w:ascii="Arial" w:cs="Arial" w:eastAsia="Arial" w:hAnsi="Arial"/>
                  <w:sz w:val="17"/>
                  <w:szCs w:val="17"/>
                  <w:color w:val="0000FF"/>
                  <w:w w:val="89"/>
                </w:rPr>
                <w:t>2020</w:t>
              </w:r>
            </w:hyperlink>
          </w:p>
        </w:tc>
        <w:tc>
          <w:tcPr>
            <w:tcW w:w="1040" w:type="dxa"/>
            <w:vAlign w:val="bottom"/>
            <w:tcBorders>
              <w:top w:val="single" w:sz="8" w:color="0000FF"/>
              <w:bottom w:val="single" w:sz="8" w:color="CCEEFF"/>
            </w:tcBorders>
            <w:shd w:val="clear" w:color="auto" w:fill="CCEEFF"/>
          </w:tcPr>
          <w:p>
            <w:pPr>
              <w:spacing w:after="0"/>
              <w:rPr>
                <w:sz w:val="15"/>
                <w:szCs w:val="15"/>
                <w:color w:val="auto"/>
              </w:rPr>
            </w:pPr>
          </w:p>
        </w:tc>
        <w:tc>
          <w:tcPr>
            <w:tcW w:w="620" w:type="dxa"/>
            <w:vAlign w:val="bottom"/>
            <w:tcBorders>
              <w:top w:val="single" w:sz="8" w:color="0000FF"/>
              <w:bottom w:val="single" w:sz="8" w:color="CCEEFF"/>
            </w:tcBorders>
            <w:shd w:val="clear" w:color="auto" w:fill="CCEEFF"/>
          </w:tcPr>
          <w:p>
            <w:pPr>
              <w:spacing w:after="0"/>
              <w:rPr>
                <w:sz w:val="15"/>
                <w:szCs w:val="15"/>
                <w:color w:val="auto"/>
              </w:rPr>
            </w:pPr>
          </w:p>
        </w:tc>
        <w:tc>
          <w:tcPr>
            <w:tcW w:w="1120" w:type="dxa"/>
            <w:vAlign w:val="bottom"/>
            <w:tcBorders>
              <w:top w:val="single" w:sz="8" w:color="0000FF"/>
              <w:bottom w:val="single" w:sz="8" w:color="CCEEFF"/>
            </w:tcBorders>
            <w:shd w:val="clear" w:color="auto" w:fill="CCEEFF"/>
          </w:tcPr>
          <w:p>
            <w:pPr>
              <w:spacing w:after="0"/>
              <w:rPr>
                <w:sz w:val="15"/>
                <w:szCs w:val="15"/>
                <w:color w:val="auto"/>
              </w:rPr>
            </w:pPr>
          </w:p>
        </w:tc>
        <w:tc>
          <w:tcPr>
            <w:tcW w:w="62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1300" w:type="dxa"/>
            <w:vAlign w:val="bottom"/>
            <w:tcBorders>
              <w:top w:val="single" w:sz="8" w:color="0000FF"/>
              <w:bottom w:val="single" w:sz="8" w:color="CCEEFF"/>
            </w:tcBorders>
            <w:shd w:val="clear" w:color="auto" w:fill="CCEEFF"/>
          </w:tcPr>
          <w:p>
            <w:pPr>
              <w:spacing w:after="0"/>
              <w:rPr>
                <w:sz w:val="15"/>
                <w:szCs w:val="15"/>
                <w:color w:val="auto"/>
              </w:rPr>
            </w:pPr>
          </w:p>
        </w:tc>
        <w:tc>
          <w:tcPr>
            <w:tcW w:w="800" w:type="dxa"/>
            <w:vAlign w:val="bottom"/>
            <w:tcBorders>
              <w:top w:val="single" w:sz="8" w:color="0000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CCEEFF"/>
            </w:tcBorders>
            <w:shd w:val="clear" w:color="auto" w:fill="CCEEFF"/>
          </w:tcPr>
          <w:p>
            <w:pPr>
              <w:spacing w:after="0"/>
              <w:rPr>
                <w:sz w:val="15"/>
                <w:szCs w:val="15"/>
                <w:color w:val="auto"/>
              </w:rPr>
            </w:pPr>
          </w:p>
        </w:tc>
        <w:tc>
          <w:tcPr>
            <w:tcW w:w="1460" w:type="dxa"/>
            <w:vAlign w:val="bottom"/>
            <w:tcBorders>
              <w:top w:val="single" w:sz="8" w:color="0000FF"/>
              <w:bottom w:val="single" w:sz="8" w:color="CCEEFF"/>
            </w:tcBorders>
            <w:shd w:val="clear" w:color="auto" w:fill="CCEEFF"/>
          </w:tcPr>
          <w:p>
            <w:pPr>
              <w:spacing w:after="0"/>
              <w:rPr>
                <w:sz w:val="15"/>
                <w:szCs w:val="15"/>
                <w:color w:val="auto"/>
              </w:rPr>
            </w:pPr>
          </w:p>
        </w:tc>
        <w:tc>
          <w:tcPr>
            <w:tcW w:w="920" w:type="dxa"/>
            <w:vAlign w:val="bottom"/>
            <w:tcBorders>
              <w:top w:val="single" w:sz="8" w:color="0000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100" w:type="dxa"/>
            <w:vAlign w:val="bottom"/>
            <w:tcBorders>
              <w:top w:val="single" w:sz="8" w:color="CCEEFF"/>
              <w:bottom w:val="single" w:sz="8" w:color="0000FF"/>
            </w:tcBorders>
            <w:vMerge w:val="continue"/>
            <w:shd w:val="clear" w:color="auto" w:fill="CCEEFF"/>
          </w:tcPr>
          <w:p>
            <w:pPr>
              <w:spacing w:after="0"/>
              <w:rPr>
                <w:sz w:val="15"/>
                <w:szCs w:val="15"/>
                <w:color w:val="auto"/>
              </w:rPr>
            </w:pPr>
          </w:p>
        </w:tc>
        <w:tc>
          <w:tcPr>
            <w:tcW w:w="4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80" w:type="dxa"/>
            <w:vAlign w:val="bottom"/>
            <w:gridSpan w:val="12"/>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Consolidated Statements of Stockholders’ Equity for the Three and Six Months Ended June 30, 2021 and 2020</w:t>
              </w:r>
            </w:hyperlink>
          </w:p>
        </w:tc>
        <w:tc>
          <w:tcPr>
            <w:tcW w:w="380" w:type="dxa"/>
            <w:vAlign w:val="bottom"/>
            <w:gridSpan w:val="4"/>
          </w:tcPr>
          <w:p>
            <w:pPr>
              <w:jc w:val="center"/>
              <w:ind w:left="11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80" w:type="dxa"/>
            <w:vAlign w:val="bottom"/>
            <w:gridSpan w:val="12"/>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 for the Six Months Ended June 30, 2021 and 2020</w:t>
              </w:r>
            </w:hyperlink>
          </w:p>
        </w:tc>
        <w:tc>
          <w:tcPr>
            <w:tcW w:w="380" w:type="dxa"/>
            <w:vAlign w:val="bottom"/>
            <w:gridSpan w:val="4"/>
            <w:shd w:val="clear" w:color="auto" w:fill="CCEEFF"/>
          </w:tcPr>
          <w:p>
            <w:pPr>
              <w:jc w:val="center"/>
              <w:ind w:left="110"/>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500" w:type="dxa"/>
            <w:vAlign w:val="bottom"/>
            <w:tcBorders>
              <w:top w:val="single" w:sz="8" w:color="0000FF"/>
            </w:tcBorders>
            <w:gridSpan w:val="9"/>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w:t>
              </w:r>
            </w:hyperlink>
          </w:p>
        </w:tc>
        <w:tc>
          <w:tcPr>
            <w:tcW w:w="278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Item 2.</w:t>
              </w:r>
            </w:hyperlink>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40" w:type="dxa"/>
            <w:vAlign w:val="bottom"/>
            <w:gridSpan w:val="13"/>
            <w:shd w:val="clear" w:color="auto" w:fill="CCEEFF"/>
          </w:tcPr>
          <w:p>
            <w:pPr>
              <w:spacing w:after="0" w:line="189" w:lineRule="exact"/>
              <w:rPr>
                <w:rFonts w:ascii="Arial" w:cs="Arial" w:eastAsia="Arial" w:hAnsi="Arial"/>
                <w:sz w:val="18"/>
                <w:szCs w:val="18"/>
                <w:color w:val="0000FF"/>
              </w:rPr>
            </w:pPr>
            <w:hyperlink w:anchor="page47">
              <w:r>
                <w:rPr>
                  <w:rFonts w:ascii="Arial" w:cs="Arial" w:eastAsia="Arial" w:hAnsi="Arial"/>
                  <w:sz w:val="18"/>
                  <w:szCs w:val="18"/>
                  <w:color w:val="0000FF"/>
                </w:rPr>
                <w:t>Management’s Discussion and Analysis of Financial Condition and Results of Operations</w:t>
              </w:r>
            </w:hyperlink>
          </w:p>
        </w:tc>
        <w:tc>
          <w:tcPr>
            <w:tcW w:w="58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Item 3.</w:t>
              </w:r>
            </w:hyperlink>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40" w:type="dxa"/>
            <w:vAlign w:val="bottom"/>
            <w:gridSpan w:val="9"/>
          </w:tcPr>
          <w:p>
            <w:pPr>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Quantitative and Qualitative Disclosures About Market Risk</w:t>
              </w:r>
            </w:hyperlink>
          </w:p>
        </w:tc>
        <w:tc>
          <w:tcPr>
            <w:tcW w:w="320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4"/>
          </w:tcPr>
          <w:p>
            <w:pPr>
              <w:jc w:val="center"/>
              <w:ind w:right="200"/>
              <w:spacing w:after="0" w:line="189"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65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Item 4.</w:t>
              </w:r>
            </w:hyperlink>
          </w:p>
        </w:tc>
        <w:tc>
          <w:tcPr>
            <w:tcW w:w="10000" w:type="dxa"/>
            <w:vAlign w:val="bottom"/>
            <w:gridSpan w:val="14"/>
            <w:shd w:val="clear" w:color="auto" w:fill="CCEEFF"/>
          </w:tcPr>
          <w:p>
            <w:pPr>
              <w:ind w:left="360"/>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Controls and Procedures</w:t>
              </w:r>
            </w:hyperlink>
          </w:p>
        </w:tc>
        <w:tc>
          <w:tcPr>
            <w:tcW w:w="580" w:type="dxa"/>
            <w:vAlign w:val="bottom"/>
            <w:gridSpan w:val="5"/>
            <w:shd w:val="clear" w:color="auto" w:fill="CCEEFF"/>
          </w:tcPr>
          <w:p>
            <w:pPr>
              <w:jc w:val="center"/>
              <w:spacing w:after="0" w:line="189"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65</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920" w:type="dxa"/>
            <w:vAlign w:val="bottom"/>
            <w:gridSpan w:val="6"/>
            <w:shd w:val="clear" w:color="auto" w:fill="CCEEFF"/>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PART II.</w:t>
              </w:r>
            </w:hyperlink>
          </w:p>
        </w:tc>
        <w:tc>
          <w:tcPr>
            <w:tcW w:w="4520" w:type="dxa"/>
            <w:vAlign w:val="bottom"/>
            <w:gridSpan w:val="10"/>
            <w:shd w:val="clear" w:color="auto" w:fill="CCEEFF"/>
          </w:tcPr>
          <w:p>
            <w:pPr>
              <w:ind w:left="80"/>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OTHER INFORMATION</w:t>
              </w:r>
            </w:hyperlink>
          </w:p>
        </w:tc>
        <w:tc>
          <w:tcPr>
            <w:tcW w:w="5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700" w:type="dxa"/>
            <w:vAlign w:val="bottom"/>
            <w:tcBorders>
              <w:top w:val="single" w:sz="8" w:color="0000FF"/>
            </w:tcBorders>
            <w:gridSpan w:val="4"/>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Item 1.</w:t>
              </w:r>
            </w:hyperlink>
          </w:p>
        </w:tc>
        <w:tc>
          <w:tcPr>
            <w:tcW w:w="220" w:type="dxa"/>
            <w:vAlign w:val="bottom"/>
            <w:tcBorders>
              <w:top w:val="single" w:sz="8" w:color="CCEEFF"/>
            </w:tcBorders>
            <w:gridSpan w:val="2"/>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20" w:type="dxa"/>
            <w:vAlign w:val="bottom"/>
            <w:tcBorders>
              <w:top w:val="single" w:sz="8" w:color="0000FF"/>
            </w:tcBorders>
            <w:gridSpan w:val="6"/>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Legal Proceedings</w:t>
              </w:r>
            </w:hyperlink>
          </w:p>
        </w:tc>
        <w:tc>
          <w:tcPr>
            <w:tcW w:w="2420" w:type="dxa"/>
            <w:vAlign w:val="bottom"/>
            <w:tcBorders>
              <w:top w:val="single" w:sz="8" w:color="CCEEFF"/>
            </w:tcBorders>
            <w:gridSpan w:val="3"/>
          </w:tcPr>
          <w:p>
            <w:pPr>
              <w:spacing w:after="0"/>
              <w:rPr>
                <w:sz w:val="16"/>
                <w:szCs w:val="16"/>
                <w:color w:val="auto"/>
              </w:rPr>
            </w:pPr>
          </w:p>
        </w:tc>
        <w:tc>
          <w:tcPr>
            <w:tcW w:w="5780" w:type="dxa"/>
            <w:vAlign w:val="bottom"/>
            <w:tcBorders>
              <w:top w:val="single" w:sz="8" w:color="CCEEFF"/>
            </w:tcBorders>
            <w:gridSpan w:val="3"/>
          </w:tcPr>
          <w:p>
            <w:pPr>
              <w:jc w:val="right"/>
              <w:ind w:right="20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6"/>
            <w:shd w:val="clear" w:color="auto" w:fill="CCEEFF"/>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Item 1A.</w:t>
              </w:r>
            </w:hyperlink>
          </w:p>
        </w:tc>
        <w:tc>
          <w:tcPr>
            <w:tcW w:w="4520" w:type="dxa"/>
            <w:vAlign w:val="bottom"/>
            <w:gridSpan w:val="10"/>
            <w:shd w:val="clear" w:color="auto" w:fill="CCEEFF"/>
          </w:tcPr>
          <w:p>
            <w:pPr>
              <w:ind w:left="8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Risk Factors</w:t>
              </w:r>
            </w:hyperlink>
          </w:p>
        </w:tc>
        <w:tc>
          <w:tcPr>
            <w:tcW w:w="5780" w:type="dxa"/>
            <w:vAlign w:val="bottom"/>
            <w:gridSpan w:val="3"/>
            <w:shd w:val="clear" w:color="auto" w:fill="CCEEFF"/>
          </w:tcPr>
          <w:p>
            <w:pPr>
              <w:jc w:val="right"/>
              <w:ind w:right="20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Item 2.</w:t>
              </w:r>
            </w:hyperlink>
          </w:p>
        </w:tc>
        <w:tc>
          <w:tcPr>
            <w:tcW w:w="28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gridSpan w:val="9"/>
          </w:tcPr>
          <w:p>
            <w:pPr>
              <w:spacing w:after="0" w:line="189" w:lineRule="exact"/>
              <w:rPr>
                <w:rFonts w:ascii="Arial" w:cs="Arial" w:eastAsia="Arial" w:hAnsi="Arial"/>
                <w:sz w:val="18"/>
                <w:szCs w:val="18"/>
                <w:color w:val="0000FF"/>
                <w:w w:val="91"/>
              </w:rPr>
            </w:pPr>
            <w:hyperlink w:anchor="page66">
              <w:r>
                <w:rPr>
                  <w:rFonts w:ascii="Arial" w:cs="Arial" w:eastAsia="Arial" w:hAnsi="Arial"/>
                  <w:sz w:val="18"/>
                  <w:szCs w:val="18"/>
                  <w:color w:val="0000FF"/>
                  <w:w w:val="91"/>
                </w:rPr>
                <w:t>Unregistered Sales of Equity Securities and Use of Proceeds</w:t>
              </w:r>
            </w:hyperlink>
          </w:p>
        </w:tc>
        <w:tc>
          <w:tcPr>
            <w:tcW w:w="5780" w:type="dxa"/>
            <w:vAlign w:val="bottom"/>
            <w:gridSpan w:val="3"/>
          </w:tcPr>
          <w:p>
            <w:pPr>
              <w:jc w:val="right"/>
              <w:ind w:right="20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Item 3.</w:t>
              </w:r>
            </w:hyperlink>
          </w:p>
        </w:tc>
        <w:tc>
          <w:tcPr>
            <w:tcW w:w="400" w:type="dxa"/>
            <w:vAlign w:val="bottom"/>
            <w:gridSpan w:val="4"/>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40" w:type="dxa"/>
            <w:vAlign w:val="bottom"/>
            <w:gridSpan w:val="9"/>
            <w:shd w:val="clear" w:color="auto" w:fill="CCEEFF"/>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Defaults Upon Senior Securities</w:t>
              </w:r>
            </w:hyperlink>
          </w:p>
        </w:tc>
        <w:tc>
          <w:tcPr>
            <w:tcW w:w="5780" w:type="dxa"/>
            <w:vAlign w:val="bottom"/>
            <w:gridSpan w:val="3"/>
            <w:shd w:val="clear" w:color="auto" w:fill="CCEEFF"/>
          </w:tcPr>
          <w:p>
            <w:pPr>
              <w:jc w:val="right"/>
              <w:ind w:right="20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gridSpan w:val="2"/>
          </w:tcPr>
          <w:p>
            <w:pPr>
              <w:spacing w:after="0" w:line="189"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Item 4.</w:t>
              </w:r>
            </w:hyperlink>
          </w:p>
        </w:tc>
        <w:tc>
          <w:tcPr>
            <w:tcW w:w="40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7"/>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Mine Safety Disclosures</w:t>
              </w:r>
            </w:hyperlink>
          </w:p>
        </w:tc>
        <w:tc>
          <w:tcPr>
            <w:tcW w:w="2120" w:type="dxa"/>
            <w:vAlign w:val="bottom"/>
            <w:gridSpan w:val="2"/>
          </w:tcPr>
          <w:p>
            <w:pPr>
              <w:spacing w:after="0"/>
              <w:rPr>
                <w:sz w:val="16"/>
                <w:szCs w:val="16"/>
                <w:color w:val="auto"/>
              </w:rPr>
            </w:pPr>
          </w:p>
        </w:tc>
        <w:tc>
          <w:tcPr>
            <w:tcW w:w="5400" w:type="dxa"/>
            <w:vAlign w:val="bottom"/>
          </w:tcPr>
          <w:p>
            <w:pPr>
              <w:spacing w:after="0"/>
              <w:rPr>
                <w:sz w:val="16"/>
                <w:szCs w:val="16"/>
                <w:color w:val="auto"/>
              </w:rPr>
            </w:pPr>
          </w:p>
        </w:tc>
        <w:tc>
          <w:tcPr>
            <w:tcW w:w="380" w:type="dxa"/>
            <w:vAlign w:val="bottom"/>
            <w:gridSpan w:val="2"/>
          </w:tcPr>
          <w:p>
            <w:pPr>
              <w:jc w:val="right"/>
              <w:ind w:right="200"/>
              <w:spacing w:after="0" w:line="189" w:lineRule="exact"/>
              <w:rPr>
                <w:rFonts w:ascii="Arial" w:cs="Arial" w:eastAsia="Arial" w:hAnsi="Arial"/>
                <w:sz w:val="18"/>
                <w:szCs w:val="18"/>
                <w:color w:val="0000FF"/>
                <w:w w:val="79"/>
              </w:rPr>
            </w:pPr>
            <w:hyperlink w:anchor="page66">
              <w:r>
                <w:rPr>
                  <w:rFonts w:ascii="Arial" w:cs="Arial" w:eastAsia="Arial" w:hAnsi="Arial"/>
                  <w:sz w:val="18"/>
                  <w:szCs w:val="18"/>
                  <w:color w:val="0000FF"/>
                  <w:w w:val="79"/>
                </w:rPr>
                <w:t>66</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6"/>
            <w:shd w:val="clear" w:color="auto" w:fill="CCEEFF"/>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Item 5</w:t>
              </w:r>
            </w:hyperlink>
            <w:r>
              <w:rPr>
                <w:rFonts w:ascii="Arial" w:cs="Arial" w:eastAsia="Arial" w:hAnsi="Arial"/>
                <w:sz w:val="18"/>
                <w:szCs w:val="18"/>
                <w:color w:val="000000"/>
              </w:rPr>
              <w:t>.</w:t>
            </w:r>
          </w:p>
        </w:tc>
        <w:tc>
          <w:tcPr>
            <w:tcW w:w="4520" w:type="dxa"/>
            <w:vAlign w:val="bottom"/>
            <w:gridSpan w:val="10"/>
            <w:shd w:val="clear" w:color="auto" w:fill="CCEEFF"/>
          </w:tcPr>
          <w:p>
            <w:pPr>
              <w:ind w:left="8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5780" w:type="dxa"/>
            <w:vAlign w:val="bottom"/>
            <w:gridSpan w:val="3"/>
            <w:shd w:val="clear" w:color="auto" w:fill="CCEEFF"/>
          </w:tcPr>
          <w:p>
            <w:pPr>
              <w:jc w:val="right"/>
              <w:ind w:right="20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gridSpan w:val="6"/>
          </w:tcPr>
          <w:p>
            <w:pPr>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Item 6.</w:t>
              </w:r>
            </w:hyperlink>
          </w:p>
        </w:tc>
        <w:tc>
          <w:tcPr>
            <w:tcW w:w="4520" w:type="dxa"/>
            <w:vAlign w:val="bottom"/>
            <w:gridSpan w:val="10"/>
          </w:tcPr>
          <w:p>
            <w:pPr>
              <w:ind w:left="8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Exhibits</w:t>
              </w:r>
            </w:hyperlink>
          </w:p>
        </w:tc>
        <w:tc>
          <w:tcPr>
            <w:tcW w:w="5780" w:type="dxa"/>
            <w:vAlign w:val="bottom"/>
            <w:gridSpan w:val="3"/>
          </w:tcPr>
          <w:p>
            <w:pPr>
              <w:jc w:val="right"/>
              <w:ind w:right="200"/>
              <w:spacing w:after="0" w:line="189" w:lineRule="exact"/>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89"/>
        </w:trPr>
        <w:tc>
          <w:tcPr>
            <w:tcW w:w="940" w:type="dxa"/>
            <w:vAlign w:val="bottom"/>
            <w:gridSpan w:val="7"/>
          </w:tcPr>
          <w:p>
            <w:pPr>
              <w:ind w:left="20"/>
              <w:spacing w:after="0" w:line="189" w:lineRule="exact"/>
              <w:rPr>
                <w:rFonts w:ascii="Arial" w:cs="Arial" w:eastAsia="Arial" w:hAnsi="Arial"/>
                <w:sz w:val="18"/>
                <w:szCs w:val="18"/>
                <w:b w:val="1"/>
                <w:bCs w:val="1"/>
                <w:color w:val="0000FF"/>
                <w:w w:val="96"/>
              </w:rPr>
            </w:pPr>
            <w:hyperlink w:anchor="page67">
              <w:r>
                <w:rPr>
                  <w:rFonts w:ascii="Arial" w:cs="Arial" w:eastAsia="Arial" w:hAnsi="Arial"/>
                  <w:sz w:val="18"/>
                  <w:szCs w:val="18"/>
                  <w:b w:val="1"/>
                  <w:bCs w:val="1"/>
                  <w:color w:val="0000FF"/>
                  <w:w w:val="96"/>
                </w:rPr>
                <w:t>Signatures</w:t>
              </w:r>
            </w:hyperlink>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gridSpan w:val="3"/>
          </w:tcPr>
          <w:p>
            <w:pPr>
              <w:jc w:val="right"/>
              <w:ind w:right="200"/>
              <w:spacing w:after="0" w:line="189" w:lineRule="exact"/>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r>
      <w:tr>
        <w:trPr>
          <w:trHeight w:val="923"/>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tcPr>
          <w:p>
            <w:pPr>
              <w:jc w:val="right"/>
              <w:ind w:right="511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1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line="238" w:lineRule="auto"/>
        <w:rPr>
          <w:sz w:val="20"/>
          <w:szCs w:val="20"/>
          <w:color w:val="auto"/>
        </w:rPr>
      </w:pPr>
      <w:r>
        <w:rPr>
          <w:rFonts w:ascii="Arial" w:cs="Arial" w:eastAsia="Arial" w:hAnsi="Arial"/>
          <w:sz w:val="20"/>
          <w:szCs w:val="20"/>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December 31, 2020</w:t>
            </w:r>
          </w:p>
        </w:tc>
        <w:tc>
          <w:tcPr>
            <w:tcW w:w="0" w:type="dxa"/>
            <w:vAlign w:val="bottom"/>
          </w:tcPr>
          <w:p>
            <w:pPr>
              <w:spacing w:after="0"/>
              <w:rPr>
                <w:sz w:val="1"/>
                <w:szCs w:val="1"/>
                <w:color w:val="auto"/>
              </w:rPr>
            </w:pP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13,098,853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0" w:type="dxa"/>
            <w:vAlign w:val="bottom"/>
          </w:tcPr>
          <w:p>
            <w:pPr>
              <w:spacing w:after="0"/>
              <w:rPr>
                <w:sz w:val="1"/>
                <w:szCs w:val="1"/>
                <w:color w:val="auto"/>
              </w:rPr>
            </w:pPr>
          </w:p>
        </w:tc>
      </w:tr>
      <w:tr>
        <w:trPr>
          <w:trHeight w:val="229"/>
        </w:trPr>
        <w:tc>
          <w:tcPr>
            <w:tcW w:w="716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2,643,648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2,618,562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0" w:type="dxa"/>
            <w:vAlign w:val="bottom"/>
          </w:tcPr>
          <w:p>
            <w:pPr>
              <w:spacing w:after="0"/>
              <w:rPr>
                <w:sz w:val="1"/>
                <w:szCs w:val="1"/>
                <w:color w:val="auto"/>
              </w:rPr>
            </w:pPr>
          </w:p>
        </w:tc>
      </w:tr>
      <w:tr>
        <w:trPr>
          <w:trHeight w:val="229"/>
        </w:trPr>
        <w:tc>
          <w:tcPr>
            <w:tcW w:w="7160" w:type="dxa"/>
            <w:vAlign w:val="bottom"/>
          </w:tcPr>
          <w:p>
            <w:pPr>
              <w:ind w:left="460"/>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157,365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158,190</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315,993</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19,973</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406,898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386,530</w:t>
            </w:r>
          </w:p>
        </w:tc>
        <w:tc>
          <w:tcPr>
            <w:tcW w:w="0" w:type="dxa"/>
            <w:vAlign w:val="bottom"/>
          </w:tcPr>
          <w:p>
            <w:pPr>
              <w:spacing w:after="0"/>
              <w:rPr>
                <w:sz w:val="1"/>
                <w:szCs w:val="1"/>
                <w:color w:val="auto"/>
              </w:rPr>
            </w:pPr>
          </w:p>
        </w:tc>
      </w:tr>
      <w:tr>
        <w:trPr>
          <w:trHeight w:val="222"/>
        </w:trPr>
        <w:tc>
          <w:tcPr>
            <w:tcW w:w="716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17,219,548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17,063,613</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Debt,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6,772,903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6,765,532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46,422</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Deferred financing liability</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73,600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93,659</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177,114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176,992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413,663</w:t>
            </w:r>
          </w:p>
        </w:tc>
        <w:tc>
          <w:tcPr>
            <w:tcW w:w="0" w:type="dxa"/>
            <w:vAlign w:val="bottom"/>
          </w:tcPr>
          <w:p>
            <w:pPr>
              <w:spacing w:after="0"/>
              <w:rPr>
                <w:sz w:val="1"/>
                <w:szCs w:val="1"/>
                <w:color w:val="auto"/>
              </w:rPr>
            </w:pPr>
          </w:p>
        </w:tc>
      </w:tr>
      <w:tr>
        <w:trPr>
          <w:trHeight w:val="222"/>
        </w:trPr>
        <w:tc>
          <w:tcPr>
            <w:tcW w:w="7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7,484,479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7,569,868</w:t>
            </w:r>
          </w:p>
        </w:tc>
        <w:tc>
          <w:tcPr>
            <w:tcW w:w="0" w:type="dxa"/>
            <w:vAlign w:val="bottom"/>
          </w:tcPr>
          <w:p>
            <w:pPr>
              <w:spacing w:after="0"/>
              <w:rPr>
                <w:sz w:val="1"/>
                <w:szCs w:val="1"/>
                <w:color w:val="auto"/>
              </w:rPr>
            </w:pPr>
          </w:p>
        </w:tc>
      </w:tr>
      <w:tr>
        <w:trPr>
          <w:trHeight w:val="195"/>
        </w:trPr>
        <w:tc>
          <w:tcPr>
            <w:tcW w:w="7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Common stock, $0.01 par value, 950,000,000 and 700,000,000 shares authorized and</w:t>
            </w: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88"/>
              </w:rPr>
              <w:t>537,043,817 and 536,669,722 shares issued and outstanding at June 30, 2021 and December 31,</w:t>
            </w:r>
          </w:p>
        </w:tc>
        <w:tc>
          <w:tcPr>
            <w:tcW w:w="32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 respectively</w:t>
            </w:r>
          </w:p>
        </w:tc>
        <w:tc>
          <w:tcPr>
            <w:tcW w:w="32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60" w:type="dxa"/>
            <w:vAlign w:val="bottom"/>
          </w:tcPr>
          <w:p>
            <w:pPr>
              <w:ind w:left="220"/>
              <w:spacing w:after="0" w:line="176" w:lineRule="exact"/>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320" w:type="dxa"/>
            <w:vAlign w:val="bottom"/>
          </w:tcPr>
          <w:p>
            <w:pPr>
              <w:spacing w:after="0"/>
              <w:rPr>
                <w:sz w:val="15"/>
                <w:szCs w:val="15"/>
                <w:color w:val="auto"/>
              </w:rPr>
            </w:pPr>
          </w:p>
        </w:tc>
        <w:tc>
          <w:tcPr>
            <w:tcW w:w="1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June 30, 2021 and December 31, 2020</w:t>
            </w:r>
          </w:p>
        </w:tc>
        <w:tc>
          <w:tcPr>
            <w:tcW w:w="32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9,366,561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9,363,539</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(92,521)</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139,454</w:t>
            </w:r>
          </w:p>
        </w:tc>
        <w:tc>
          <w:tcPr>
            <w:tcW w:w="0" w:type="dxa"/>
            <w:vAlign w:val="bottom"/>
          </w:tcPr>
          <w:p>
            <w:pPr>
              <w:spacing w:after="0"/>
              <w:rPr>
                <w:sz w:val="1"/>
                <w:szCs w:val="1"/>
                <w:color w:val="auto"/>
              </w:rPr>
            </w:pPr>
          </w:p>
        </w:tc>
      </w:tr>
      <w:tr>
        <w:trPr>
          <w:trHeight w:val="222"/>
        </w:trPr>
        <w:tc>
          <w:tcPr>
            <w:tcW w:w="7160" w:type="dxa"/>
            <w:vAlign w:val="bottom"/>
          </w:tcPr>
          <w:p>
            <w:pPr>
              <w:ind w:left="520"/>
              <w:spacing w:after="0"/>
              <w:rPr>
                <w:sz w:val="20"/>
                <w:szCs w:val="20"/>
                <w:color w:val="auto"/>
              </w:rPr>
            </w:pPr>
            <w:r>
              <w:rPr>
                <w:rFonts w:ascii="Arial" w:cs="Arial" w:eastAsia="Arial" w:hAnsi="Arial"/>
                <w:sz w:val="18"/>
                <w:szCs w:val="18"/>
                <w:color w:val="auto"/>
              </w:rPr>
              <w:t>Total VICI stockholders’ equity</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9,656,640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9,415,839</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77,906</w:t>
            </w:r>
          </w:p>
        </w:tc>
        <w:tc>
          <w:tcPr>
            <w:tcW w:w="0" w:type="dxa"/>
            <w:vAlign w:val="bottom"/>
          </w:tcPr>
          <w:p>
            <w:pPr>
              <w:spacing w:after="0"/>
              <w:rPr>
                <w:sz w:val="1"/>
                <w:szCs w:val="1"/>
                <w:color w:val="auto"/>
              </w:rPr>
            </w:pPr>
          </w:p>
        </w:tc>
      </w:tr>
      <w:tr>
        <w:trPr>
          <w:trHeight w:val="222"/>
        </w:trPr>
        <w:tc>
          <w:tcPr>
            <w:tcW w:w="7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9,735,069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9,493,745</w:t>
            </w:r>
          </w:p>
        </w:tc>
        <w:tc>
          <w:tcPr>
            <w:tcW w:w="0" w:type="dxa"/>
            <w:vAlign w:val="bottom"/>
          </w:tcPr>
          <w:p>
            <w:pPr>
              <w:spacing w:after="0"/>
              <w:rPr>
                <w:sz w:val="1"/>
                <w:szCs w:val="1"/>
                <w:color w:val="auto"/>
              </w:rPr>
            </w:pPr>
          </w:p>
        </w:tc>
      </w:tr>
      <w:tr>
        <w:trPr>
          <w:trHeight w:val="247"/>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17,219,548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17,063,613</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6"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June 30, 2021 and December 31, 2020, our Investments in leases - sales-type, Investments in leases - financing receivables, Investments in loans and Other assets (sales-type sub-leases) are net of $431.4 million, $80.7 million, $0.1 million and $6.5 million, respectively, and $454.2 million, $91.0 million, $1.8 million and $6.9 million of Allowance for credit losses, respectively. Refer to </w:t>
      </w:r>
      <w:hyperlink w:anchor="page30">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6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5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12"/>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sales-type and direct financing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291,132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223,895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581,278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448,147</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operating leases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21,826</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29,869</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2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Golf revenues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11,635</w:t>
            </w:r>
          </w:p>
        </w:tc>
      </w:tr>
      <w:tr>
        <w:trPr>
          <w:trHeight w:val="222"/>
        </w:trPr>
        <w:tc>
          <w:tcPr>
            <w:tcW w:w="5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512,903</w:t>
            </w:r>
          </w:p>
        </w:tc>
      </w:tr>
      <w:tr>
        <w:trPr>
          <w:trHeight w:val="236"/>
        </w:trPr>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14,513</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84,028</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r>
      <w:tr>
        <w:trPr>
          <w:trHeight w:val="222"/>
        </w:trPr>
        <w:tc>
          <w:tcPr>
            <w:tcW w:w="53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116,246</w:t>
            </w:r>
          </w:p>
        </w:tc>
      </w:tr>
      <w:tr>
        <w:trPr>
          <w:trHeight w:val="236"/>
        </w:trPr>
        <w:tc>
          <w:tcPr>
            <w:tcW w:w="5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(156,854)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(153,786)</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(39,059)</w:t>
            </w:r>
          </w:p>
        </w:tc>
      </w:tr>
      <w:tr>
        <w:trPr>
          <w:trHeight w:val="222"/>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304,333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231,952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210,341</w:t>
            </w:r>
          </w:p>
        </w:tc>
      </w:tr>
      <w:tr>
        <w:trPr>
          <w:trHeight w:val="22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r>
      <w:tr>
        <w:trPr>
          <w:trHeight w:val="222"/>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209,578</w:t>
            </w:r>
          </w:p>
        </w:tc>
      </w:tr>
      <w:tr>
        <w:trPr>
          <w:trHeight w:val="229"/>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r>
      <w:tr>
        <w:trPr>
          <w:trHeight w:val="24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300,709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205,390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56"/>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2"/>
              </w:rPr>
              <w:t>Weighted average number of shares of common stock outstanding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536,692,167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489,012,165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536,586,921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477,094,795</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554,438,981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489,213,427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549,620,976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481,652,482</w:t>
            </w:r>
          </w:p>
        </w:tc>
      </w:tr>
      <w:tr>
        <w:trPr>
          <w:trHeight w:val="256"/>
        </w:trPr>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300,709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229,402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570,510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205,390</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(52,187)</w:t>
            </w: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310,037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230,353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153,203</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 Other</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06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7,817,582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7,965,183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8,048,989</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Cumulative effect of adoption of ASC 326</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(307,114)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(309,362)</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199,877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199,877</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line="165" w:lineRule="exact"/>
              <w:rPr>
                <w:sz w:val="20"/>
                <w:szCs w:val="20"/>
                <w:color w:val="auto"/>
              </w:rPr>
            </w:pPr>
            <w:r>
              <w:rPr>
                <w:rFonts w:ascii="Arial" w:cs="Arial" w:eastAsia="Arial" w:hAnsi="Arial"/>
                <w:sz w:val="16"/>
                <w:szCs w:val="16"/>
                <w:color w:val="auto"/>
                <w:w w:val="98"/>
              </w:rPr>
              <w:t>Dividends declared ($0.2975 per common</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(139,413)</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Unrealized loss on cash flow hedges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(53,138)</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8,018,568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7,642,568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7,724,031</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229,402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229,402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231,643</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1,275,974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1,276,624</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Distribution to non-controlling interest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8"/>
              </w:rPr>
              <w:t>Dividends declared ($0.2975 per common</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(158,767)</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182"/>
        </w:trPr>
        <w:tc>
          <w:tcPr>
            <w:tcW w:w="29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Balance as of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5,337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9,296,511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(117,265)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(191,835)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8,992,748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81,663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9,074,411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9,363,539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9,415,839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9,493,745</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269,801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272,099</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line="165" w:lineRule="exact"/>
              <w:rPr>
                <w:sz w:val="20"/>
                <w:szCs w:val="20"/>
                <w:color w:val="auto"/>
              </w:rPr>
            </w:pPr>
            <w:r>
              <w:rPr>
                <w:rFonts w:ascii="Arial" w:cs="Arial" w:eastAsia="Arial" w:hAnsi="Arial"/>
                <w:sz w:val="16"/>
                <w:szCs w:val="16"/>
                <w:color w:val="auto"/>
                <w:w w:val="98"/>
              </w:rPr>
              <w:t>Dividends declared ($0.3300 per common</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(177,217)</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9,364,294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9,521,559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9,599,692</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300,709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300,709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303,077</w:t>
            </w:r>
          </w:p>
        </w:tc>
        <w:tc>
          <w:tcPr>
            <w:tcW w:w="0" w:type="dxa"/>
            <w:vAlign w:val="bottom"/>
          </w:tcPr>
          <w:p>
            <w:pPr>
              <w:spacing w:after="0"/>
              <w:rPr>
                <w:sz w:val="1"/>
                <w:szCs w:val="1"/>
                <w:color w:val="auto"/>
              </w:rPr>
            </w:pPr>
          </w:p>
        </w:tc>
      </w:tr>
      <w:tr>
        <w:trPr>
          <w:trHeight w:val="218"/>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8"/>
              </w:rPr>
              <w:t>Dividends declared ($0.3300 per common</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(177,223)</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w w:val="92"/>
              </w:rPr>
              <w:t>Stock-based compensation, net of forfeitures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15"/>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9,366,561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(70,815)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355,524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9,656,640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78,429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9,735,069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6"/>
                <w:szCs w:val="16"/>
                <w:b w:val="1"/>
                <w:bCs w:val="1"/>
                <w:color w:val="auto"/>
              </w:rPr>
              <w:t>Six Months Ended June 30,</w:t>
            </w: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0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575,176</w:t>
            </w:r>
          </w:p>
        </w:tc>
        <w:tc>
          <w:tcPr>
            <w:tcW w:w="8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209,578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Non-cash leasing and financing adjustments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(58,289)</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6,226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1,549</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debt issuance costs and original issue discount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Change in allowance for credit losses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(33,484)</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84,028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Accrued interest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28,675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410,470</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318,497</w:t>
            </w:r>
          </w:p>
        </w:tc>
        <w:tc>
          <w:tcPr>
            <w:tcW w:w="20" w:type="dxa"/>
            <w:vAlign w:val="bottom"/>
          </w:tcPr>
          <w:p>
            <w:pPr>
              <w:spacing w:after="0"/>
              <w:rPr>
                <w:sz w:val="19"/>
                <w:szCs w:val="19"/>
                <w:color w:val="auto"/>
              </w:rPr>
            </w:pPr>
          </w:p>
        </w:tc>
      </w:tr>
      <w:tr>
        <w:trPr>
          <w:trHeight w:val="249"/>
        </w:trPr>
        <w:tc>
          <w:tcPr>
            <w:tcW w:w="4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(847,159)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loans</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loans and receipts of deferred fees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Capitalized transaction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(1,884)</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of short-term investments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of property and equipment</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42,105</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(840,431)</w:t>
            </w:r>
          </w:p>
        </w:tc>
        <w:tc>
          <w:tcPr>
            <w:tcW w:w="20" w:type="dxa"/>
            <w:vAlign w:val="bottom"/>
          </w:tcPr>
          <w:p>
            <w:pPr>
              <w:spacing w:after="0"/>
              <w:rPr>
                <w:sz w:val="19"/>
                <w:szCs w:val="19"/>
                <w:color w:val="auto"/>
              </w:rPr>
            </w:pPr>
          </w:p>
        </w:tc>
      </w:tr>
      <w:tr>
        <w:trPr>
          <w:trHeight w:val="249"/>
        </w:trPr>
        <w:tc>
          <w:tcPr>
            <w:tcW w:w="4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offering of common stock, net</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1,476,717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February 2020 Senior Unsecured Notes</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Redemption of Second Lien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(537,538)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stock for tax withholding</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(57,784)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paid</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(355,256)</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(276,529)</w:t>
            </w:r>
          </w:p>
        </w:tc>
        <w:tc>
          <w:tcPr>
            <w:tcW w:w="20" w:type="dxa"/>
            <w:vAlign w:val="bottom"/>
          </w:tcPr>
          <w:p>
            <w:pPr>
              <w:spacing w:after="0"/>
              <w:rPr>
                <w:sz w:val="19"/>
                <w:szCs w:val="19"/>
                <w:color w:val="auto"/>
              </w:rPr>
            </w:pPr>
          </w:p>
        </w:tc>
      </w:tr>
      <w:tr>
        <w:trPr>
          <w:trHeight w:val="222"/>
        </w:trPr>
        <w:tc>
          <w:tcPr>
            <w:tcW w:w="40" w:type="dxa"/>
            <w:vAlign w:val="bottom"/>
          </w:tcPr>
          <w:p>
            <w:pPr>
              <w:spacing w:after="0"/>
              <w:rPr>
                <w:sz w:val="19"/>
                <w:szCs w:val="19"/>
                <w:color w:val="auto"/>
              </w:rPr>
            </w:pPr>
          </w:p>
        </w:tc>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provided by financing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(361,046)</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3,100,577</w:t>
            </w:r>
          </w:p>
        </w:tc>
        <w:tc>
          <w:tcPr>
            <w:tcW w:w="20" w:type="dxa"/>
            <w:vAlign w:val="bottom"/>
          </w:tcPr>
          <w:p>
            <w:pPr>
              <w:spacing w:after="0"/>
              <w:rPr>
                <w:sz w:val="19"/>
                <w:szCs w:val="19"/>
                <w:color w:val="auto"/>
              </w:rPr>
            </w:pPr>
          </w:p>
        </w:tc>
      </w:tr>
      <w:tr>
        <w:trPr>
          <w:trHeight w:val="936"/>
        </w:trPr>
        <w:tc>
          <w:tcPr>
            <w:tcW w:w="7100" w:type="dxa"/>
            <w:vAlign w:val="bottom"/>
            <w:gridSpan w:val="2"/>
          </w:tcPr>
          <w:p>
            <w:pPr>
              <w:jc w:val="right"/>
              <w:ind w:right="1350"/>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70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line="238" w:lineRule="auto"/>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2,578,643</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r>
      <w:tr>
        <w:trPr>
          <w:trHeight w:val="24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407,522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3,680,536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140,738</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113,974</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 not paid</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158,767</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10,050</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Equity issuance costs payable</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 payable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“Caesars” refers to Caesars Entertainment, Inc., a Delaware corporation, formerly Eldorado, following the consummation of the Eldorado/Caesars Merger on July 20, 2020 and Eldorado’s conversion to a Delaware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Forum Convention Center” refers to the Caesars Forum Convention Center in Las Vegas, Nevada, and the approximately 28 acres of land upon which the Caesars Forum Convention Center is built and/or otherwise used in connection with or necessary for the operation of the Caesars Forum Convention Center.</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“Caesars Lease Agreements” refer collectively to (i) prior to the consummation of the Eldorado Transaction, the CPLV Lease Agreement, the Non-CPLV Lease Agreement, the Joliet Lease Agreement and the HLV Lease Agreement, and (ii) from and after the consummation of the Eldorado Transaction, the Las Vegas Master Lease Agreement, the Regional Master Lease Agreement and the Joliet Lease Agreement, in each case, unless the context otherwise requires.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 and co-issuer of the Senior Unsecured Notes.</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was combined with the HLV Lease Agreement into the Las Vegas Master Lease Agreement upon the consummation of the Eldorado Transaction.</w:t>
      </w:r>
    </w:p>
    <w:p>
      <w:pPr>
        <w:spacing w:after="0" w:line="117"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i w:val="1"/>
          <w:iCs w:val="1"/>
          <w:color w:val="auto"/>
        </w:rPr>
        <w:t>“Eldorado” refers to Eldorado Resorts, Inc., a Nevada corporation, and, as the context requires, its subsidiaries. Following the consummation of the Eldorado/Caesars Merger on July 20, 2020, Eldorado converted to a Delaware corporation and changed its name to Caesars Entertainment, Inc.</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New Orleans, Harrah’s Atlantic City and Harrah’s Laughlin properties, modifications to the Caesars Lease Agreements, and rights of first refusal.</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i w:val="1"/>
          <w:iCs w:val="1"/>
          <w:color w:val="auto"/>
        </w:rPr>
        <w:t>“Eldorado/Caesars Merger” refers to the merger consummated on July 20, 2020 under an Agreement and Plan of Merger pursuant to which a subsidiary of Eldorado merged with and into Pre-Merger Caesars, with Pre-Merger Caesars surviving as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wholly owned subsidiary of Caesars (which changed its name from Eldorado in connection with the closing of the Eldorado/Caesars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i w:val="1"/>
          <w:iCs w:val="1"/>
          <w:color w:val="auto"/>
        </w:rPr>
        <w:t>“HLV Lease Agreement” refers to the lease agreement for the Harrah’s Las Vegas facilities, as amended from time to time, which was combined with the CPLV Lease Agreement into the Las Vegas Master Lease Agreement upon the consummation of the Eldorado Transaction.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facility in Joliet, Illinois, as amended from time to time.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“Las Vegas Master Lease Agreement” refers to the lease agreement for Caesars Palace Las Vegas and the Harrah’s Las Vegas facilities, as amended from time to time, from and after the consummation of the Eldorado Transaction.</w:t>
      </w:r>
    </w:p>
    <w:p>
      <w:pPr>
        <w:spacing w:after="0" w:line="11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i w:val="1"/>
          <w:iCs w:val="1"/>
          <w:color w:val="auto"/>
        </w:rPr>
        <w:t>“Lease Agreements” refer collectively to the Caesars Lease Agreements, the Penn National Lease Agreements, the Hard Rock Cincinnati Lease Agreement, the Century Portfolio Lease Agreement and the JACK Cleveland/Thistledown Lease Agreement, unless the context otherwise requires.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Transaction Agreement” or “MTA” refers to the master transaction agreement with Eldorado relating to the Eldorado Transaction.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“Non-CPLV Lease Agreement” refers to the lease agreement for regional properties (other than the facility in Joliet, Illinois) leased to Pre-Merger Caesars prior to the consummation of the Eldorado Transaction, as amended from time to time, which was replaced by the Regional Master Lease Agreement upon the consummation of the Eldorado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17" w:lineRule="exact"/>
        <w:rPr>
          <w:sz w:val="20"/>
          <w:szCs w:val="20"/>
          <w:color w:val="auto"/>
        </w:rPr>
      </w:pPr>
    </w:p>
    <w:p>
      <w:pPr>
        <w:spacing w:after="0" w:line="306" w:lineRule="auto"/>
        <w:rPr>
          <w:sz w:val="20"/>
          <w:szCs w:val="20"/>
          <w:color w:val="auto"/>
        </w:rPr>
      </w:pPr>
      <w:r>
        <w:rPr>
          <w:rFonts w:ascii="Arial" w:cs="Arial" w:eastAsia="Arial" w:hAnsi="Arial"/>
          <w:sz w:val="17"/>
          <w:szCs w:val="17"/>
          <w:i w:val="1"/>
          <w:iCs w:val="1"/>
          <w:color w:val="auto"/>
        </w:rPr>
        <w:t>“Pre-Merger Caesars” refers to Caesars Entertainment Corporation, a Delaware corporation, and, as the context requires, its subsidiaries. Following the consummation of the Eldorado/Caesars Merger on July 20, 2020, Pre-Merger Caesars became a wholly owned subsidiary of Caesars.</w:t>
      </w:r>
    </w:p>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i w:val="1"/>
          <w:iCs w:val="1"/>
          <w:color w:val="auto"/>
        </w:rPr>
        <w:t>“Regional Master Lease Agreement” refers to the lease agreement for the regional properties (other than the facility in Joliet, Illinois) leased to Caesars, as amended from time to time, from and after the consummation of the Eldorado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Maryland corporation that is primarily engaged in the business of owning and acquiring gaming, hospitality and entertainment destinations, subject to long-term triple net leases. As of June 30, 2021, our national, geographically diverse real estate portfolio consisted of 28 market-leading properties, including Caesars Palace Las Vegas and Harrah’s Las Vegas. Our properties are leased to, and our tenants are, subsidiaries of Caesars, Penn National, Hard Rock, Century Casinos and JACK Entertainment. We also own and operate four championship golf courses located near certain of our properties.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state governments and/or regulatory authorities issuing various directives, mandates, orders or similar actions, which resulted in temporary closures of our tenants’ operations at all of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state and local governments and/or regulatory authorities. While our tenants’ recent performance at many of our leased properties has been at or above pre-pandemic levels, they may continue to face additional challenges and uncertainty due to the impact of the COVID-19 pandemic, such as complying with operational and capacity restrictions and ensuring sufficient employee staffing and service levels, and the sustainability of maintaining improved operating margins and financial performance. Due to prior closures, operating restrictions and other factors, our tenants’ operations, liquidity and financial performance have been adversely affected, and the ongoing nature of the pandemic, including emerging variants, may further impact our tenants’ businesses and, accordingly, our business and financial performance.</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our tenants have fulfilled their rent obligations through July 2021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 one or more approved vaccines, new or mutated variants of COVID-19 (including vaccine-resistant variants) or a similar virus, the direct and indirect economic effects of the pandemic and containment measures on our tenants, our tenants’ financial performance and any future operating limitations.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w:t>
      </w:r>
    </w:p>
    <w:p>
      <w:pPr>
        <w:spacing w:after="0" w:line="118"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w:t>
      </w:r>
      <w:hyperlink r:id="rId20">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updated from time to time in our other filings with the SEC.</w:t>
      </w:r>
    </w:p>
    <w:p>
      <w:pPr>
        <w:spacing w:after="0" w:line="128" w:lineRule="exact"/>
        <w:rPr>
          <w:sz w:val="20"/>
          <w:szCs w:val="20"/>
          <w:color w:val="auto"/>
        </w:rPr>
      </w:pPr>
    </w:p>
    <w:p>
      <w:pPr>
        <w:ind w:right="380"/>
        <w:spacing w:after="0" w:line="437" w:lineRule="auto"/>
        <w:rPr>
          <w:sz w:val="20"/>
          <w:szCs w:val="20"/>
          <w:color w:val="auto"/>
        </w:rPr>
      </w:pPr>
      <w:r>
        <w:rPr>
          <w:rFonts w:ascii="Arial" w:cs="Arial" w:eastAsia="Arial" w:hAnsi="Arial"/>
          <w:sz w:val="18"/>
          <w:szCs w:val="18"/>
          <w:color w:val="auto"/>
        </w:rPr>
        <w:t xml:space="preserve">All adjustments (consisting of normal recurring accruals) considered necessary for a fair statement of results for the interim period have been included. </w:t>
      </w:r>
      <w:r>
        <w:rPr>
          <w:rFonts w:ascii="Arial" w:cs="Arial" w:eastAsia="Arial" w:hAnsi="Arial"/>
          <w:sz w:val="18"/>
          <w:szCs w:val="18"/>
          <w:b w:val="1"/>
          <w:bCs w:val="1"/>
          <w:i w:val="1"/>
          <w:iCs w:val="1"/>
          <w:color w:val="auto"/>
        </w:rPr>
        <w:t>Use of Estimates</w:t>
      </w:r>
    </w:p>
    <w:p>
      <w:pPr>
        <w:jc w:val="both"/>
        <w:spacing w:after="0" w:line="285"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Operating results for the three and six months ended June 30, 2021 are not necessarily indicative of the results that may be expected for the year ending December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 balances and transactions have been eliminated in consolidation. We consolidate all subsidiaries in which we have a controlling financial interest and VIEs for which we or one of our consolidated subsidiaries is the primary beneficiary.</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carried at cost, which approximates fair value.</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June 30, 2020, restricted cash was solely related to funds held in escrow from the February 2020 Senior Unsecured Notes offering, which were subsequently used to consummate the Eldorado Transaction. The following table provides a reconciliation of cash, cash equivalents and restricted cash reported on the Balance Sheet to the total of the same such amounts presented in the Statement of Cash 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6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5"/>
                <w:szCs w:val="15"/>
                <w:b w:val="1"/>
                <w:bCs w:val="1"/>
                <w:color w:val="auto"/>
              </w:rPr>
              <w:t>June 30, 2021</w:t>
            </w:r>
          </w:p>
        </w:tc>
        <w:tc>
          <w:tcPr>
            <w:tcW w:w="280" w:type="dxa"/>
            <w:vAlign w:val="bottom"/>
          </w:tcPr>
          <w:p>
            <w:pPr>
              <w:spacing w:after="0"/>
              <w:rPr>
                <w:sz w:val="16"/>
                <w:szCs w:val="16"/>
                <w:color w:val="auto"/>
              </w:rPr>
            </w:pPr>
          </w:p>
        </w:tc>
        <w:tc>
          <w:tcPr>
            <w:tcW w:w="1460" w:type="dxa"/>
            <w:vAlign w:val="bottom"/>
          </w:tcPr>
          <w:p>
            <w:pPr>
              <w:jc w:val="right"/>
              <w:ind w:right="334"/>
              <w:spacing w:after="0"/>
              <w:rPr>
                <w:sz w:val="20"/>
                <w:szCs w:val="20"/>
                <w:color w:val="auto"/>
              </w:rPr>
            </w:pPr>
            <w:r>
              <w:rPr>
                <w:rFonts w:ascii="Arial" w:cs="Arial" w:eastAsia="Arial" w:hAnsi="Arial"/>
                <w:sz w:val="15"/>
                <w:szCs w:val="15"/>
                <w:b w:val="1"/>
                <w:bCs w:val="1"/>
                <w:color w:val="auto"/>
              </w:rPr>
              <w:t>June 30,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2"/>
        </w:trPr>
        <w:tc>
          <w:tcPr>
            <w:tcW w:w="7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1,680,536</w:t>
            </w:r>
          </w:p>
        </w:tc>
      </w:tr>
      <w:tr>
        <w:trPr>
          <w:trHeight w:val="229"/>
        </w:trPr>
        <w:tc>
          <w:tcPr>
            <w:tcW w:w="766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47"/>
        </w:trPr>
        <w:tc>
          <w:tcPr>
            <w:tcW w:w="76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3,680,536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Investments with an original maturity of greater than three months and less than one year from the date of purchase are considered short-term investments and are stated at fair value.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available-for-sale securities. The related income is recognized as interest income in our Statement of Operations. We had $20.0 million of short-term investments as of December 31, 2020. We did not have any short-term investments as of June 30,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Net</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75" w:lineRule="exact"/>
        <w:rPr>
          <w:sz w:val="20"/>
          <w:szCs w:val="20"/>
          <w:color w:val="auto"/>
        </w:rPr>
      </w:pPr>
    </w:p>
    <w:p>
      <w:pPr>
        <w:jc w:val="both"/>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We have determined that the land and building components of the Las Vegas Master Lease Agreement, the Regional Master Lease Agreement (excluding the MTA Properties (as defined in </w:t>
      </w:r>
      <w:hyperlink w:anchor="page15">
        <w:r>
          <w:rPr>
            <w:rFonts w:ascii="Arial" w:cs="Arial" w:eastAsia="Arial" w:hAnsi="Arial"/>
            <w:sz w:val="18"/>
            <w:szCs w:val="18"/>
            <w:u w:val="single" w:color="auto"/>
            <w:color w:val="0000FF"/>
          </w:rPr>
          <w:t>Note 3 - Property Transactions</w:t>
        </w:r>
      </w:hyperlink>
      <w:r>
        <w:rPr>
          <w:rFonts w:ascii="Arial" w:cs="Arial" w:eastAsia="Arial" w:hAnsi="Arial"/>
          <w:sz w:val="18"/>
          <w:szCs w:val="18"/>
          <w:color w:val="auto"/>
        </w:rPr>
        <w:t>)), the Joliet Lease Agreement, the Margaritaville Lease Agreement, the Greektown Lease Agreement, the Hard Rock Cincinnati Lease Agreement and the Century Portfolio Lease Agreement meet the definition of a sales-type lease under ASC 842.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ASC 842, for transactions in which we enter into a contract to acquire an asset and lease it back to the seller under a sales-type lease (i.e., a sale leaseback transaction), control of the asset is not considered to have transferred to us. As a result, we do not recognize the underlying asset but instead recognize a financial asset in accordance with ASC 310 “Receivables” (“ASC 310”). The accounting for the financing receivable under ASC 310 is materially consistent with the accounting for our investments in leases - sales-type under ASC 842.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40"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Upon the consummation of the Eldorado Transaction on July 20, 2020, we reassessed the classification of the Caesars Lease Agreements and determined that the MTA Properties Acquisitions (as defined in </w:t>
      </w:r>
      <w:hyperlink w:anchor="page15">
        <w:r>
          <w:rPr>
            <w:rFonts w:ascii="Arial" w:cs="Arial" w:eastAsia="Arial" w:hAnsi="Arial"/>
            <w:sz w:val="16"/>
            <w:szCs w:val="16"/>
            <w:u w:val="single" w:color="auto"/>
            <w:color w:val="0000FF"/>
          </w:rPr>
          <w:t>Note 3 - Property Transactions</w:t>
        </w:r>
      </w:hyperlink>
      <w:r>
        <w:rPr>
          <w:rFonts w:ascii="Arial" w:cs="Arial" w:eastAsia="Arial" w:hAnsi="Arial"/>
          <w:sz w:val="16"/>
          <w:szCs w:val="16"/>
          <w:color w:val="auto"/>
        </w:rPr>
        <w:t>) meet the definition of a separate contract under ASC 842. In accordance with this guidance, we are required to separately assess the lease classification apart from the other assets in the Regional Master Lease Agreement. We determined that the land and building components of the MTA Properties meet the definition of a sales-type lease and, since we purchased and leased the assets back to Caesars, control is not considered to have transferred to us under GAAP. Accordingly, the MTA Properties are accounted for as Investments in leases - financing receivables on our Balance Sheet, net of allowance for credit losses, in accordance with ASC 310.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the related income from our sales-type leases, direct financing leases and lease financing receivables on an effective interest basis at a constant rate of return over the terms of the applicable leases. As a result, the cash payments accounted for under sales-type leases, direct financing leases and lease financing receivables will not equal income from our Lease Agreements. Rather, a portion of the cash rent we receive is recorded as Income from sales-type and direct financing leases or Income from lease financing receivables and loans, as applicable, in our Statement of Operations and a portion is recorded as a change to Investments in leases - sales-type, net or Investments in leases - financing receivables, net, as applicable.</w:t>
      </w:r>
    </w:p>
    <w:p>
      <w:pPr>
        <w:spacing w:after="0" w:line="1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ASC 840, we determined that the land component of Caesars Palace Las Vegas was greater than 25% of the overall fair value of the combined land and building components. At lease inception, the land was determined to be an operating lease and we recorded the related income on a straight-line basis over the lease term. The amount of annual minimum lease payments attributable to the land element after deducting executory costs, including any profit thereon, was determined by applying the lessee’s incremental borrowing rate to the value of the land. Revenue from this lease was recorded as Income from operating leases in our Statement of Operations. Further, upon adoption of ASC 842 on January 1, 2019, we made an accounting policy election to use a package of practical expedients that, among other things, allow us to not reassess prior lease classifications or initial direct costs for leases that existed as of the balance sheet date. Upon the consummation of the Eldorado Transaction on July 20, 2020, the land component of Caesars Palace Las Vegas was reassessed for lease classification and determined to be a sales-type lease. Accordingly, subsequent to July 20, 2020, the income is recognized as Income from sales-type leases and we no longer have any leases classified as operating or direct financing and, as such, there is no longer any income recorded through Income from operating leases.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or direct financing leases are included in the balance of the net investment in lease. Such amounts will be recognized as a reduction to Income from investments in leases over the life of the lease using the effective interest method. Costs that would have been incurred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regardless of whether the lease was signed, such as legal fees and certain other third-party fees, are expensed as incurred to Transaction and acquisition expenses in our Statement of Operations.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we adopted ASC 326 “Credit Losses” (“ASC 326”), which requires that we measure and record current expected credit losses (“CECL”) for the majority of our investments, the scope of which includes our Investments in leases - sales-type, Investments in leases - financing receivables and Investments in loans.</w:t>
      </w:r>
    </w:p>
    <w:p>
      <w:pPr>
        <w:spacing w:after="0" w:line="1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and their parent guarantors. We are unable to use our historical data to estimate losses as we have no loss history to date.</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CECL allowance is recorded as a reduction to our net Investments in leases - sales-type,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required to estimate a CECL allowance related to contractual commitments to extend credit, such as future funding commitments under a revolving credit facility, delayed draw term loan or construction loan. We estimate the amount that we will fund for each contractual commitment based on (i) discussions with our borrowers, (ii) our borrowers'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three and six months ended June 30, 2021.</w:t>
      </w:r>
    </w:p>
    <w:p>
      <w:pPr>
        <w:spacing w:after="0" w:line="11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0">
        <w:r>
          <w:rPr>
            <w:rFonts w:ascii="Arial" w:cs="Arial" w:eastAsia="Arial" w:hAnsi="Arial"/>
            <w:sz w:val="18"/>
            <w:szCs w:val="18"/>
            <w:u w:val="single" w:color="auto"/>
            <w:color w:val="0000FF"/>
          </w:rPr>
          <w:t>Note 5 -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 ground and use leases.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5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9">
        <w:r>
          <w:rPr>
            <w:rFonts w:ascii="Arial" w:cs="Arial" w:eastAsia="Arial" w:hAnsi="Arial"/>
            <w:sz w:val="18"/>
            <w:szCs w:val="18"/>
            <w:u w:val="single" w:color="auto"/>
            <w:color w:val="0000FF"/>
          </w:rPr>
          <w:t>Note 9 -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loss on our balance sheet with a corresponding change in Unrealized gain (loss) on cash flows hedges within Other comprehensive income on our Statement of Operations.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Caesars is the guarantor of all the lease payment obligations of the tenants under the respective leases of the properties that it leases from us. Revenue from the Caesars Lease Agreements represented 86% of our lease revenues for the three and six months ended June 30, 2021, respectively, and 80% and 81% of our lease revenues for the three and six months ended June 30, 2020, respectively. Additionally, our properties on the Las Vegas Strip generated approximately 32% of our lease revenues for the three and six months ended June 30, 2021, respectively, and 28% and 29% of our lease revenue for the three and six months ended June 30, 2020, respectively. Other than having a single tenant from which we derive and will continue to derive a substantial portion of our revenue and our concentration in the Las Vegas market, we do not believe there are any other significant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Property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2021, in reverse chronological order,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 Wolf Mezzanine Loan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16, 2021, we entered into a mezzanine loan agreement (the “Great Wolf Mezzanine Loan”) with an affiliate of Great Wolf Resorts, Inc. (“Great Wolf”) to provide up to $79.5 million in financing to partially fund the development of the Great Wolf Lodge Maryland, an expansive 48-acre indoor water park resort located in Perryville, MD. The Great Wolf Mezzanine Loan bears interest at a rate of 8.0% per annum and has an initial term of 3 years with two successive 12-month extension options subject to certain conditions. Our commitment will be funded subject to customary terms and conditions in disbursements to the borrower based upon construction of the development and, as of June 30, 2021, no funds have been disbursed. We expect to fund our entire $79.5 million commitment by mid-2022.</w:t>
      </w:r>
    </w:p>
    <w:p>
      <w:pPr>
        <w:spacing w:after="0" w:line="1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pursuant to a non-binding letter agreement, we will have the opportunity for a period of up to five years to provide up to a total of $300.0 million of mezzanine financing, inclusive of the $79.5 million related to the Great Wolf Lodge Maryland, for the development and construction of Great Wolf’s extensive domestic and international indoor water park resort pipeline.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Venetian Acquisition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 2021, we entered into definitive agreements to acquire from Las Vegas Sands Corp. (“LVS”) all of the land and real estate assets associated with the Venetian Resort Las Vegas and the Sands Expo and Convention Center, located in Las Vegas, Nevada (collectively, the “Venetian Resort”), for $4.0 billion in cash (the “Venetian PropCo Acquisition”), and an affiliate of certain funds managed by affiliates of Apollo Global Management, Inc. (the “OpCo Buyer”), agreed to acquire the operating assets of the Venetian Resort for $2.25 billion, subject to certain post-closing adjustments, of which $1.2 billion is in the form of a secured term loan from LVS and the remainder is payable in cash (together with the Venetian PropCo Acquisition, the “Venetian Acquisition”). Simultaneous with the closing of the Venetian Acquisition, we will enter into a triple-net lease agreement for the Venetian Resort (the “Venetian Lease”) with OpCo Buyer (in such capacity, the “Venetian Tenant”). The Venetian Lease will have an initial total annual rent of $250.0 million and an initial term of 30 years, with two ten-year tenant renewal options. The annual rent will be subject to escalation equal to the greater of 2.0% and the increase in the consumer price index,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The closing of the Venetian Acquisition is subject to customary closing conditions, including regulatory approvals. We expect the Venetian Acquisition to close during the fourth quarter of 2021. However, we can provide no assurances that the Venetian Acquisition will close in the anticipated timeframe, on the contemplated terms or at all.</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LVS has agreed with the Venetian Tenant pursuant to an agreement (the “Contingent Lease Support Agreement”) to be entered into simultaneous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will be a third-party beneficiary of the Contingent Lease Support Agreement and will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will not be guaranteed by Apollo Global Management, Inc.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Southern Indiana Lease Agreement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24, 2020, in connection with the Eastern Band of Cherokee Indians’ (“EBCI”) agreement to acquire the operations of Caesars Southern Indiana from Caesars, we agreed to enter into a triple-net lease agreement with EBCI with respect to the real property associated with Caesars Southern Indiana at the closing of EBCI’s acquisition. In addition, as part of the transaction, the parties have agreed to negotiate a right of first refusal for us on the real property associated with the development of a new casino resort in Danville, Virginia. Initial total annual rent under the lease with EBCI will be $32.5 million. The lease will have an initial term of 15 years, with four 5-year tenant renewal options. The tenant’s obligations under the lease will be guaranteed by EBCI. Annual base rent payments under the Regional Master Lease Agreement will be reduced by $32.5 million upon completion of EBCI’s acquisition of the operations of Caesars Southern Indiana and the execution of the lease between us and the tenant. The property is expected to retain the Caesars brand name and to continue to be a part of the Caesars Rewards loyalty program in accordance with the terms of a licensing agreement negotiated between EBCI and Caesars. The transaction is subject to customary regulatory and other approvals (and, with respect to the right of first refusal, negotiation of definitive documentation and applicable regulatory and other governmental approvals) and is expected to be completed in the third quarter of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Bally’s Atlantic City</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November 18, 2020, we and Caesars closed on the previously announced transaction to sell Bally’s Atlantic City Hotel &amp; Casino for $25.0 million to Bally’s Corporation. Pursuant to the agreement, we received $19.0 million of the proceeds from the sale and Caesars received $6.0 million of the proceeds. We did not recognize any gain or loss on the sale of Bally’s Atlantic City as the asset was sold at its carrying amount. The annual rent payments under the Regional Master Lease Agreement remain unchanged following completion of the disposition.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September 30, 2020, we and Caesars closed on the previously announced transaction to sell Harrah’s Reno to a third party at a purchase price of $41.5 million. Pursuant to the agreement, we received $31.1 million of the proceeds of the sale and Caesars received $10.4 million of the proceeds. We did not recognize any gain or loss on the sale of Harrah’s Reno as the asset was sold at its carrying amount. The annual rent payments under the Regional Master Lease Agreement remain unchanged following completion of the disposition.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Mortgage Loan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September 18, 2020, we entered into a mortgage loan agreement with a subsidiary of Caesars (the “Forum Convention Center Borrower”) pursuant to which we loaned $400.0 million to the Forum Convention Center Borrower for a term of five years, with such loan secured by, among other things, a first priority fee mortgage on the Caesars Forum Convention Center (the “Forum Convention Center Mortgage Loan”).</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interest rate on the Forum Convention Center Mortgage Loan is initially 7.7% per annum, with annual interest payments subject to 2.0% annual escalation (resulting in year two annual interest of $31.4 million based on a year two interest rate of 7.854%), with interest paid monthly in cash in arrears. Except as provided below, no prepayments are permitted during the first two years of the term of the Forum Convention Center Mortgage Loan. During the third and fourth years of the term of the Forum Convention Center Mortgage Loan, the Forum Convention Center Borrower may prepay the Forum Convention Center Mortgage Loan, in each case in full but not in part, at 102% of par in year three and 101% of par in year four. During the fifth year of the term of the Forum Convention Center Mortgage Loan, the Forum Convention Center Borrower may prepay the Forum Convention Center Mortgage Loan in full but not in part at par. However, the Forum Convention Center Mortgage Loan may be prepaid at any time at par, without penalty or make-whole, in connection with our acquisition of the Caesars Forum Convention Center and an OpCo sale and conversion to an OpCo/PropCo structure, subject to our consent, which may be withheld in our sole discretion.</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Forum Convention Center Mortgage Loan is secured by a first priority mortgage on the Caesars Forum Convention Center, as well as a first priority lien on the equity interests in the Forum Convention Center Borrower, a first priority security interest in all of the Forum Convention Center Borrower’s interest in furniture, fixtures and equipment used, owned or related to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operation of the Caesars Forum Convention Center, and a first priority assignment of the Forum Convention Center Borrower’s interest in leases and rents, including a collateral assignment of the Forum Convention Center Borrower’s interest in the lease on the Caesars Forum Convention Center pursuant to which the Forum Convention Center Borrower leases the Caesars Forum Convention Center to another subsidiary of Caesars (the “Caesars Tenant”), which lease is fully subordinate to the Forum Convention Center Mortgage Loan. In addition, if the Forum Convention Center Borrower defaults on the Forum Convention Center Mortgage Loan and we take title to the Caesars Forum Convention Center, we may, at our option under certain circumstances, keep the lease with the Caesars Tenant in effect (which lease is guaranteed by Caesars and has an initial annual rent of $33.9 million, subject to annual increases equal to the greater of 2% and the annual consumer price index increase).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Convention Center Put-Call Agreement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18, 2020, concurrent with the entry into the Forum Convention Center Mortgage Loan, we and a subsidiary of Caesars amended and restated the Amended and Restated Put-Call Right Agreement entered into on July 20, 2020 in connection with the consummation of the Eldorado Transaction (as further amended, the “A&amp;R Convention Center Put-Call Agreement”) related to the Caesars Forum Convention Center. The A&amp;R Convention Center Put-Call Agreement provides for (i) 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 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Louisiana Downs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September 3, 2020, we and Caesars entered into definitive agreements to sell Harrah’s Louisiana Downs Casino for $22.0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remains subject to regulatory approval and customary closing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Chelsea Piers Mortgage Loan</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31, 2020, we entered into an $80.0 million mortgage loan agreement (the “Chelsea Piers Mortgage Loan”) with Chelsea Piers New York (“Chelsea Piers”) secured by the Chelsea Piers complex in New York City, pursuant to which we provided (i) an initial term loan of $65.0 million and (ii) a $15.0 million delayed draw term loan at the borrowers’ election (which remained undrawn as of June 30, 2021), subject to certain conditions. The Chelsea Piers Mortgage Loan bears interest at a rate of 7.0% per annum, with a term of 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Consummation of the Eldorado Transaction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20, 2020, concurrent with the consummation of the Eldorado/Caesars Merger, we consummated the Eldorado Transaction contemplated by the MTA and the MTA Property Purchase Agreements (as defined below). We funded the Eldorado Transaction with a combination of cash on hand, the proceeds from the physical settlement, on June 2, 2020, of the forward sale agreements entered into in June 2019 and the proceeds from our February 2020 Senior Unsecured Notes offering. Any references to Caesars in the subsequent transaction discussion refer to the combined Eldorado/Caesars subsequent to the consummation of the Eldorado/Caesars Merger.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Eldorado Transaction includes the consummation of the transactions contemplated by the following agreements:</w:t>
      </w:r>
    </w:p>
    <w:p>
      <w:pPr>
        <w:spacing w:after="0" w:line="170" w:lineRule="exact"/>
        <w:rPr>
          <w:sz w:val="20"/>
          <w:szCs w:val="20"/>
          <w:color w:val="auto"/>
        </w:rPr>
      </w:pPr>
    </w:p>
    <w:p>
      <w:pPr>
        <w:jc w:val="both"/>
        <w:ind w:left="740" w:hanging="369"/>
        <w:spacing w:after="0" w:line="284" w:lineRule="auto"/>
        <w:tabs>
          <w:tab w:leader="none" w:pos="735"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the MTA Properties. </w:t>
      </w:r>
      <w:r>
        <w:rPr>
          <w:rFonts w:ascii="Arial" w:cs="Arial" w:eastAsia="Arial" w:hAnsi="Arial"/>
          <w:sz w:val="16"/>
          <w:szCs w:val="16"/>
          <w:color w:val="auto"/>
        </w:rPr>
        <w:t>We acquired all of the land and real estate assets associated with Harrah’s New Orleans, Harrah’s Laughlin</w:t>
      </w:r>
      <w:r>
        <w:rPr>
          <w:rFonts w:ascii="Arial" w:cs="Arial" w:eastAsia="Arial" w:hAnsi="Arial"/>
          <w:sz w:val="16"/>
          <w:szCs w:val="16"/>
          <w:i w:val="1"/>
          <w:iCs w:val="1"/>
          <w:color w:val="auto"/>
        </w:rPr>
        <w:t xml:space="preserve"> </w:t>
      </w:r>
      <w:r>
        <w:rPr>
          <w:rFonts w:ascii="Arial" w:cs="Arial" w:eastAsia="Arial" w:hAnsi="Arial"/>
          <w:sz w:val="16"/>
          <w:szCs w:val="16"/>
          <w:color w:val="auto"/>
        </w:rPr>
        <w:t>and Harrah’s Atlantic City (collectively, the “MTA Properties”) for an aggregate purchase price of $1,823.5 million (the “MTA Properties Acquisitions”). The Regional Master Lease Agreement was amended to, among other things, include each such property, with initial aggregate total annual rent payable to us increased by $154.0 million to $621.7 million, and to extend the initial term to July 2035 and to adjust certain minimum capital expenditure requirements and other related terms and conditions as a result of the MTA Properties being included in the Regional Master Lease Agreement as further described in “—Lease Amendments and Terminations” below. We completed the MTA Properties Acquisitions pursuant to the following agreements: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(“Harrah’s New Orleans”) for a cash purchase price of $789.5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$599.3 million; and (iii) a Purchase and Sale Agreement (the “Harrah’s Laughlin Purchase Agreement” and, collectively with the Harrah’s New Orleans Purchase Agreement and the Harrah’s Atlantic City Purchase Agreement, the “MTA Property Purchase Agreements”) pursuant to which we agreed to acquire, and Eldorado agreed to cause to be sold, all of the equity interests in a newly formed entity that acquired the land and real property improvements associated with Harrah’s Laughlin Hotel &amp; Casino in Laughlin, Nevada for a cash purchase price of $434.8 million. Each of our call options on the MTA Properties terminated upon the closing of the MTA Properties Acquisitions.</w:t>
      </w:r>
    </w:p>
    <w:p>
      <w:pPr>
        <w:spacing w:after="0" w:line="123" w:lineRule="exact"/>
        <w:rPr>
          <w:rFonts w:ascii="Arial" w:cs="Arial" w:eastAsia="Arial" w:hAnsi="Arial"/>
          <w:sz w:val="16"/>
          <w:szCs w:val="16"/>
          <w:color w:val="auto"/>
        </w:rPr>
      </w:pPr>
    </w:p>
    <w:p>
      <w:pPr>
        <w:jc w:val="both"/>
        <w:ind w:left="740"/>
        <w:spacing w:after="0" w:line="293" w:lineRule="auto"/>
        <w:rPr>
          <w:rFonts w:ascii="Arial" w:cs="Arial" w:eastAsia="Arial" w:hAnsi="Arial"/>
          <w:sz w:val="16"/>
          <w:szCs w:val="16"/>
          <w:color w:val="auto"/>
        </w:rPr>
      </w:pPr>
      <w:r>
        <w:rPr>
          <w:rFonts w:ascii="Arial" w:cs="Arial" w:eastAsia="Arial" w:hAnsi="Arial"/>
          <w:sz w:val="16"/>
          <w:szCs w:val="16"/>
          <w:color w:val="auto"/>
        </w:rPr>
        <w:t>On July 20, 2020, in connection with the completion of the purchase of Harrah’s New Orleans, the tenant’s leasehold interest in that certain Second Amended and Restated Lease Agreement (the “HNO Ground Lease”) dated as of April 3, 2020, by and among Jazz Casino Company, L.L.C., a Louisiana limited liability company (“JCC”), New Orleans Building Corporation (“NOBC”) and the City of New Orleans, was assigned by JCC to us. The HNO Ground Lease sets forth the terms and conditions pursuant to which we lease from NOBC a portion of the land upon which Harrah’s New Orleans is located. Simultaneous with entering into the assignment of the HNO Ground Lease, we subleased our interest in the HNO Ground Lease to Caesars in accordance with the terms and conditions of the Regional Master Lease Agreement.</w:t>
      </w:r>
    </w:p>
    <w:p>
      <w:pPr>
        <w:spacing w:after="0" w:line="106" w:lineRule="exact"/>
        <w:rPr>
          <w:rFonts w:ascii="Arial" w:cs="Arial" w:eastAsia="Arial" w:hAnsi="Arial"/>
          <w:sz w:val="16"/>
          <w:szCs w:val="16"/>
          <w:color w:val="auto"/>
        </w:rPr>
      </w:pPr>
    </w:p>
    <w:p>
      <w:pPr>
        <w:jc w:val="both"/>
        <w:ind w:left="740"/>
        <w:spacing w:after="0" w:line="269" w:lineRule="auto"/>
        <w:rPr>
          <w:rFonts w:ascii="Arial" w:cs="Arial" w:eastAsia="Arial" w:hAnsi="Arial"/>
          <w:sz w:val="16"/>
          <w:szCs w:val="16"/>
          <w:color w:val="auto"/>
        </w:rPr>
      </w:pPr>
      <w:r>
        <w:rPr>
          <w:rFonts w:ascii="Arial" w:cs="Arial" w:eastAsia="Arial" w:hAnsi="Arial"/>
          <w:sz w:val="17"/>
          <w:szCs w:val="17"/>
          <w:color w:val="auto"/>
        </w:rPr>
        <w:t>Pursuant to the Regional Master Lease Agreement, Caesars is required to perform our obligations as tenant under the HNO Ground Lease, which include the obligation to construct a new hotel intended to be located on the ground-leased premises and to expend at least $325.0 million in connection with the construction of such hotel. The HNO Ground Lease contains certain rights in our favor should Caesars fail to perform our obligations thereunder, including providing us with additional cure periods to cure defaults. If we are unable to cure a Caesars default during any such additional cure period, then, subject to certain conditions more particularly set forth in the HNO Ground Lease, we will have a further additional period (up to 12-24 months) to seek to terminate Caesars as tenant and to enter into a replacement sublease with a new operator with respect to the leased premises. If we fail to cure such default at the end of such additional cure period, NOBC would have the right to exercise remedies, including termination of the HNO Ground Lease, in which case we would no longer have any right, title or interest to the leased premises or the improvements located thereon.</w:t>
      </w:r>
    </w:p>
    <w:p>
      <w:pPr>
        <w:spacing w:after="0" w:line="129" w:lineRule="exact"/>
        <w:rPr>
          <w:rFonts w:ascii="Arial" w:cs="Arial" w:eastAsia="Arial" w:hAnsi="Arial"/>
          <w:sz w:val="16"/>
          <w:szCs w:val="16"/>
          <w:color w:val="auto"/>
        </w:rPr>
      </w:pPr>
    </w:p>
    <w:p>
      <w:pPr>
        <w:ind w:left="740" w:hanging="369"/>
        <w:spacing w:after="0" w:line="276"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Creation of Las Vegas Master Lease. </w:t>
      </w:r>
      <w:r>
        <w:rPr>
          <w:rFonts w:ascii="Arial" w:cs="Arial" w:eastAsia="Arial" w:hAnsi="Arial"/>
          <w:sz w:val="18"/>
          <w:szCs w:val="18"/>
          <w:color w:val="auto"/>
        </w:rPr>
        <w:t>In consideration of a payment by us to (i) the tenant under the CPLV Lease Agreement of $1,189.9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“CPLV Lease Amendment Payment”) and (ii) the tenant under the HLV Lease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740"/>
        <w:spacing w:after="0" w:line="291" w:lineRule="auto"/>
        <w:rPr>
          <w:sz w:val="20"/>
          <w:szCs w:val="20"/>
          <w:color w:val="auto"/>
        </w:rPr>
      </w:pPr>
      <w:r>
        <w:rPr>
          <w:rFonts w:ascii="Arial" w:cs="Arial" w:eastAsia="Arial" w:hAnsi="Arial"/>
          <w:sz w:val="16"/>
          <w:szCs w:val="16"/>
          <w:color w:val="auto"/>
        </w:rPr>
        <w:t>Agreement of $213.8 million (the “HLV Lease Amendment Payment”), upon the consummation of the Eldorado Transaction, (a) the CPLV Lease Agreement was amended to (A) combine the CPLV Lease Agreement and the HLV Lease Agreement into a single Las Vegas Master Lease Agreement, (B) increase the annual rent payable to us thereunder associated with Caesars Palace Las Vegas by $83.5 million (the “CPLV Additional Rent Acquisition”), (C) increase the annual rent previously payable to us with respect to the Harrah’s Las Vegas property by $15.0 million (the “HLV Additional Rent Acquisition”) under the Las Vegas Master Lease Agreement and (D) to provide for the amended terms described below, and (b) the HLV Lease Agreement and the related lease guaranty were terminated. As a result of such amendments, the Harrah’s Las Vegas property is also now subject to the higher rent escalator under the Las Vegas Master Lease Agreement.</w:t>
      </w:r>
    </w:p>
    <w:p>
      <w:pPr>
        <w:spacing w:after="0" w:line="108" w:lineRule="exact"/>
        <w:rPr>
          <w:sz w:val="20"/>
          <w:szCs w:val="20"/>
          <w:color w:val="auto"/>
        </w:rPr>
      </w:pPr>
    </w:p>
    <w:p>
      <w:pPr>
        <w:jc w:val="both"/>
        <w:ind w:left="740" w:hanging="369"/>
        <w:spacing w:after="0" w:line="284"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Lease Amendments and Terminations. </w:t>
      </w:r>
      <w:r>
        <w:rPr>
          <w:rFonts w:ascii="Arial" w:cs="Arial" w:eastAsia="Arial" w:hAnsi="Arial"/>
          <w:sz w:val="16"/>
          <w:szCs w:val="16"/>
          <w:color w:val="auto"/>
        </w:rPr>
        <w:t>Each of the Caesars Lease Agreements was amended to, among other things, (i) remove the rent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floors, which coverage floors served to reduce the rent escalators under such leases in the event that the “EBITDAR to Rent Ratio” (as defined in the applicable Caesars Lease Agreements) coverage was below the stated floor and (ii) extend the term of each such lease by such additional period of time as necessary to ensure that each lease will have a full 15-year initial lease term following the consummation of the Eldorado Transaction. The Regional Master Lease Agreement was also amended to, among other things: (a) permit the tenant under the Regional Master Lease Agreement to cause facilities subject to the Regional Master Lease Agreement that in the aggregate represent up to five percent of the aggregate EBITDAR of (A) all of the facilities under such Regional Master Lease Agreement and (B) the Harrah’s Joliet facility, for the 2018 fiscal year (defined as the “2018 EBITDAR Pool” in the Regional Master Lease Agreement, without giving effect to any increase in the 2018 EBITDAR Pool as a result of a facility being added to the Regional Master Lease Agreement) to be sold (whereby the tenant and landlord under the Regional Master Lease Agreement would sell the operations and real estate, respectively, with respect to such facility), provided, among other things, that (1) we and Caesars mutually agree to the split of proceeds from such sales, (2) such sales do not result in any impairment(s)/asset write down(s) by us, (3) rent under the Regional Master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Regional Master Lease Agreement may only sell such properties if certain terms and conditions are met, including that replacement tenants meet certain criteria provided in the Regional Master Lease Agreement; and (c) require that the tenant under the Regional Master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17" w:lineRule="exact"/>
        <w:rPr>
          <w:rFonts w:ascii="Arial" w:cs="Arial" w:eastAsia="Arial" w:hAnsi="Arial"/>
          <w:sz w:val="16"/>
          <w:szCs w:val="16"/>
          <w:color w:val="auto"/>
        </w:rPr>
      </w:pPr>
    </w:p>
    <w:p>
      <w:pPr>
        <w:jc w:val="both"/>
        <w:ind w:left="740"/>
        <w:spacing w:after="0" w:line="291" w:lineRule="auto"/>
        <w:rPr>
          <w:rFonts w:ascii="Arial" w:cs="Arial" w:eastAsia="Arial" w:hAnsi="Arial"/>
          <w:sz w:val="16"/>
          <w:szCs w:val="16"/>
          <w:color w:val="auto"/>
        </w:rPr>
      </w:pPr>
      <w:r>
        <w:rPr>
          <w:rFonts w:ascii="Arial" w:cs="Arial" w:eastAsia="Arial" w:hAnsi="Arial"/>
          <w:sz w:val="16"/>
          <w:szCs w:val="16"/>
          <w:color w:val="auto"/>
        </w:rPr>
        <w:t>Caesars has executed new guaranties with respect to the Las Vegas Master Lease Agreement (the “Las Vegas Lease Guaranty”), the 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and (ii) the performance when due of all other covenants, agreements and requirements to be performed and satisfied by the tenants under the Caesars Lease Agreements.</w:t>
      </w:r>
    </w:p>
    <w:p>
      <w:pPr>
        <w:spacing w:after="0" w:line="108" w:lineRule="exact"/>
        <w:rPr>
          <w:rFonts w:ascii="Arial" w:cs="Arial" w:eastAsia="Arial" w:hAnsi="Arial"/>
          <w:sz w:val="16"/>
          <w:szCs w:val="16"/>
          <w:color w:val="auto"/>
        </w:rPr>
      </w:pPr>
    </w:p>
    <w:p>
      <w:pPr>
        <w:jc w:val="both"/>
        <w:ind w:left="740"/>
        <w:spacing w:after="0" w:line="275" w:lineRule="auto"/>
        <w:rPr>
          <w:rFonts w:ascii="Arial" w:cs="Arial" w:eastAsia="Arial" w:hAnsi="Arial"/>
          <w:sz w:val="16"/>
          <w:szCs w:val="16"/>
          <w:color w:val="auto"/>
        </w:rPr>
      </w:pPr>
      <w:r>
        <w:rPr>
          <w:rFonts w:ascii="Arial" w:cs="Arial" w:eastAsia="Arial" w:hAnsi="Arial"/>
          <w:sz w:val="17"/>
          <w:szCs w:val="17"/>
          <w:color w:val="auto"/>
        </w:rPr>
        <w:t>In connection with entering into the amendments to the Caesars Lease Agreements and the Caesars Guaranties described above, we and Caesars terminated the Management and Lease Support Agreements, dated as of October 6, 2017, with respect to each of the Caesars Lease Agreements, pursuant to which, among other things, Pre-Merger Caesars previously guaranteed the tenants’ monetary obligations under the Caesars Lease Agreements and the Guaranty of Lease dated as of December 22, 2017 pursuant to which, among other things, a subsidiary of Pre-Merger Caesars guaranteed the tenant’s obligations under the HLV Lease Agreement.</w:t>
      </w:r>
    </w:p>
    <w:p>
      <w:pPr>
        <w:spacing w:after="0" w:line="119" w:lineRule="exact"/>
        <w:rPr>
          <w:rFonts w:ascii="Arial" w:cs="Arial" w:eastAsia="Arial" w:hAnsi="Arial"/>
          <w:sz w:val="16"/>
          <w:szCs w:val="16"/>
          <w:color w:val="auto"/>
        </w:rPr>
      </w:pPr>
    </w:p>
    <w:p>
      <w:pPr>
        <w:ind w:left="740" w:right="20" w:hanging="369"/>
        <w:spacing w:after="0" w:line="276" w:lineRule="auto"/>
        <w:tabs>
          <w:tab w:leader="none" w:pos="7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Centaur Properties Put-Call Agreement</w:t>
      </w:r>
      <w:r>
        <w:rPr>
          <w:rFonts w:ascii="Arial" w:cs="Arial" w:eastAsia="Arial" w:hAnsi="Arial"/>
          <w:sz w:val="18"/>
          <w:szCs w:val="18"/>
          <w:color w:val="auto"/>
        </w:rPr>
        <w:t>. Prior to the consummation of the Eldorado Transaction, we were party to a right of first refusal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affiliates of Pre-Merger Caesars with respect to two gaming facilities in Indiana -</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740"/>
        <w:spacing w:after="0" w:line="286" w:lineRule="auto"/>
        <w:rPr>
          <w:sz w:val="20"/>
          <w:szCs w:val="20"/>
          <w:color w:val="auto"/>
        </w:rPr>
      </w:pPr>
      <w:r>
        <w:rPr>
          <w:rFonts w:ascii="Arial" w:cs="Arial" w:eastAsia="Arial" w:hAnsi="Arial"/>
          <w:sz w:val="16"/>
          <w:szCs w:val="16"/>
          <w:color w:val="auto"/>
        </w:rPr>
        <w:t>Harrah’s Hoosier Park and Indiana Grand (together, the “Centaur Properties”). Upon the consummation of the Eldorado Transaction, the Second Amended and Restated Right of First Refusal Agreement between us and Pre-Merger Caesars terminated in accordance with its terms, which included the right of first refusal that we had with respect to the Centaur Properties, and we entered into a Put-Call Right Agreement with Caesars (the “Centaur Put-Call Agreement”), whereby (i) we have the right to acquire all of the land and real estate assets associated with the Centaur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Centaur Properties at a price equal to 12.5x the initial annual rent of each facility, and to simultaneously lease back each such Centaur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Centaur Put-Call Agreement provides that the leaseback of the Centaur Properties will be implemented through the addition of the Centaur Properties to the Regional Master Lease Agreement.</w:t>
      </w:r>
    </w:p>
    <w:p>
      <w:pPr>
        <w:spacing w:after="0" w:line="117" w:lineRule="exact"/>
        <w:rPr>
          <w:sz w:val="20"/>
          <w:szCs w:val="20"/>
          <w:color w:val="auto"/>
        </w:rPr>
      </w:pPr>
    </w:p>
    <w:p>
      <w:pPr>
        <w:jc w:val="both"/>
        <w:ind w:left="740" w:hanging="369"/>
        <w:spacing w:after="0" w:line="278"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Amended and Restated Caesars Forum Convention Center Put-Call Agreement. </w:t>
      </w:r>
      <w:r>
        <w:rPr>
          <w:rFonts w:ascii="Arial" w:cs="Arial" w:eastAsia="Arial" w:hAnsi="Arial"/>
          <w:sz w:val="17"/>
          <w:szCs w:val="17"/>
          <w:color w:val="auto"/>
        </w:rPr>
        <w:t>Upon the consummation of the Eldorado Transaction, we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A&amp;R Put-Call Right Agreement with Caesars amending and restating that certain put-call agreement related to the Caesars Forum Convention Center. In connection with the consummation of the Forum Convention Center Mortgage Loan on September 18, 2020, we further amended the agreement as described above in “—Amended and Restated Convention Center Put-Call Agreement”.</w:t>
      </w:r>
    </w:p>
    <w:p>
      <w:pPr>
        <w:spacing w:after="0" w:line="117" w:lineRule="exact"/>
        <w:rPr>
          <w:rFonts w:ascii="Arial" w:cs="Arial" w:eastAsia="Arial" w:hAnsi="Arial"/>
          <w:sz w:val="17"/>
          <w:szCs w:val="17"/>
          <w:color w:val="auto"/>
        </w:rPr>
      </w:pPr>
    </w:p>
    <w:p>
      <w:pPr>
        <w:jc w:val="both"/>
        <w:ind w:left="740" w:hanging="369"/>
        <w:spacing w:after="0" w:line="269"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Las Vegas Strip Assets ROFR</w:t>
      </w:r>
      <w:r>
        <w:rPr>
          <w:rFonts w:ascii="Arial" w:cs="Arial" w:eastAsia="Arial" w:hAnsi="Arial"/>
          <w:sz w:val="17"/>
          <w:szCs w:val="17"/>
          <w:color w:val="auto"/>
        </w:rPr>
        <w:t>. Upon the consummation of the Eldorado Transaction, we entered into a right of first refusal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Caesars (the “Las Vegas Strip ROFR Agreement”) pursuant to which we have the first right, with respect to the first two Las Vegas Strip assets described below that Caesars proposes to sell, whether pursuant to a sale leaseback or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asset subject to the Las Vegas Strip ROFR Agreement, the foregoing assets plus The LINQ gaming facility. If we enter into a sale leaseback transaction with Caesars on any of these facilities, the leaseback may be implemented through the addition of such properties to the Las Vegas Master Lease Agreement.</w:t>
      </w:r>
    </w:p>
    <w:p>
      <w:pPr>
        <w:spacing w:after="0" w:line="129" w:lineRule="exact"/>
        <w:rPr>
          <w:rFonts w:ascii="Arial" w:cs="Arial" w:eastAsia="Arial" w:hAnsi="Arial"/>
          <w:sz w:val="17"/>
          <w:szCs w:val="17"/>
          <w:color w:val="auto"/>
        </w:rPr>
      </w:pPr>
    </w:p>
    <w:p>
      <w:pPr>
        <w:jc w:val="both"/>
        <w:ind w:left="740" w:hanging="369"/>
        <w:spacing w:after="0" w:line="311"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Upon the consummation of the Eldorado Transaction, we entered into a right of first refusal agreement with Caesars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Lease Agreement Amendment and Amended and Restated ROV Loan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16, 2020, we and JACK Entertainment entered into an amendment to the JACK Cleveland/Thistledown Lease Agreement (the “JACK Lease Agreement Amendment”), pursuant to which, among other things, we agreed to fund $18.0 million for the construction of a new gaming patio amenity at JACK Thistledown Racino, which will be leased by JACK Entertainment pursuant to the JACK Lease Agreement Amendment. In connection with the construction of the gaming patio, commencing on April 1, 2022, rent under the JACK Cleveland/Thistledown Lease Agreement (as amended by the JACK Lease Agreement Amendment) will be increased by an incremental $1.8 million. The JACK Lease Agreement Amendment also provides for relief with respect to certain existing covenants through March 31, 2022, adds an additional five years to the initial lease term, with the tenant under the JACK Cleveland/Thistledown Lease Agreement having three (rather than four) five-year renewal options as a result of such extension of the initial lease term, and provides for rent escalation to begin in 2022 rather than 2021. The JACK Lease Agreement Amendment does not provide for a reduction or deferral of the tenant’s rent obligations. The tenant’s obligations under the JACK Lease Agreement Amendment are guaranteed by Rock Ohio Ventures LLC (“Rock Ohio Ventures”). Pursuant to the Jack Lease Agreement Amendment, the relief provided thereunder is conditioned upon (i) the tenant’s timely payment of rent obligations under the JACK Cleveland/Thistledown Lease Agreement and (ii) no tenant event of default occurring under the JACK Cleveland/Thistledown Lease Agreement during the compliance period set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forth in the JACK Lease Agreement Amendment.</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Simultaneously with entry into the JACK Lease Agreement Amendment, we and affiliates of Rock Ohio Ventures entered into an amendment and restatement of our existing $50.0 million term loan agreement with such affiliates of Rock Ohio Ventures (the “Amended and Restated ROV Loan”), pursuant to which, among other things, we increased our existing term loan to $70.0 million (the “ROV Term Loan”) which bears interest at a rate of 9.0% per annum (which interest, at the option of JACK Entertainment, may be paid-in-kind through April 30, 2021 with any paid-in-kind interest required to be paid in cash in eleven equal monthly installments ending March 31, 2022), and added a $25.0 million revolving credit facility (the “ROV Credit Facility”), which bears interest at a rate of LIBOR plus 2.75% per annum. A commitment fee of 0.50% per annum calculated on the unused portion of the ROV Credit Facility is payable quarterly. The Amended and Restated ROV Loan, which includes the ROV Term Loan and ROV Credit Facility, matures in January 2025 which maturity date may be extended at the borrower’s election for up to two additional years if certain conditions are satisfied. In connection with the amendment and restatement, we received additional collateral, including an additional land parcel in proximity to JACK Cleveland so that the loan is now secured by a first priority lien on substantially all gaming and non-gaming real and personal property of JACK Entertainment, including the furniture, fixtures and equipment associated with the properties. The amendment and restatement also provides the obligors with relief with respect to certain existing financial covenants through March 31, 2022. During the six months ended June 30, 2021, the borrower under the ROV Term Loan elected to make prepayments in an aggregate amount of $30.0 million, plus accrued and unpaid interest in the amount of $3.7 million, reducing the outstanding aggregate principal amount of the ROV Term Loan to $40.0 million as of June 30,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Capex Amendment to Caesars Leases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 2020, we entered into an Omnibus Amendment to Leases (the “Omnibus Amendment”) with Pre-Merger Caesars. Pursuant to the Omnibus Amendment, Caesars has been granted certain relief with respect to a portion of their capital expenditure obligations under the Caesars Lease Agreements conditioned upon (i) funding by Caesars of certain minimum capital expenditures in fiscal year 2020 (which represent a reduction of the minimum capital expenditure amounts currently set forth in the Caesars Lease Agreements), (ii) timely payment of Caesars’ rent obligations under the Caesars Lease Agreements during the compliance period set forth in the Omnibus Amendment, and (iii) no tenant event of default occurring under any of the Caesars Lease Agreements during the compliance period set forth in the Omnibus Amendment. Caesars will receive credit for certain deemed capital expenditure amounts, which credit may be used to satisfy certain of their capital expenditure obligations in the 2020, 2021 and 2022 fiscal years, provided that the foregoing conditions are satisfied. If Caesars fails to satisfy any of the foregoing conditions, Caesars will be required to satisfy the capital expenditure obligations set forth in the Caesars Lease Agreements or, in certain cases, to deposit amounts in respect thereof into a capital expenditure reserve in accordance with the Omnibus Amendment.</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27, 2020, we and Caesars entered into an Amended and Restated Omnibus Amendment to Leases, which provides for a proportionate adjustment to certain relief previously granted under the Omnibus Amendment with respect to a portion of the capital expenditure obligations of Caesars under the Caesars Lease Agreements in order to account for the addition of the MTA Properties to the Regional Master Lease Agreement pursuant to the MTA Properties Acquisitions on July 20,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Cleveland/Thistledown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24, 2020, we completed the previously announced transaction to acquire the casino-entitled land and real estate and related assets of the JACK Cleveland Casino (“JACK Cleveland”), located in Cleveland, Ohio and the JACK Thistledown Racino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has an initial total annual rent of $65.9 million and an initial term of 15 years, with four five-year tenant renewal options. The tenant’s obligations under the lease are guaranteed by Rock Ohio Ventures. Additionally, we made a $50.0 million loan (the “ROV Loan”) to affiliates of Rock Ohio Ventures secured by, among other things, certain non-gaming real estate assets owned by such affiliates and guaranteed by Rock Ohio Ventures. The terms of the JACK Cleveland/Thistledown Lease Agreement and the ROV Loan were subsequently amended on July 16, 2020 as described above under “— JACK Lease Agreement Amendment and Amended and Restated ROV Loan.”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Real Estate Portfolio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our real estate portfolio consisted of the following:</w:t>
      </w:r>
    </w:p>
    <w:p>
      <w:pPr>
        <w:spacing w:after="0" w:line="170" w:lineRule="exact"/>
        <w:rPr>
          <w:sz w:val="20"/>
          <w:szCs w:val="20"/>
          <w:color w:val="auto"/>
        </w:rPr>
      </w:pPr>
    </w:p>
    <w:p>
      <w:pPr>
        <w:ind w:left="660" w:hanging="329"/>
        <w:spacing w:after="0" w:line="27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23 casino assets leased on a triple net basis to our tenants, Caesars, Penn National, Hard Rock and Century Casinos, under seven separate lease agreements;</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five casino assets leased on a triple net basis to our tenants, Caesars and JACK Entertainment, under two separate lease agreements;</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Amended and Restated ROV Loan, Chelsea Piers Mortgage Loan, Forum Convention Center Mortgage Loan and Great Wolf Mezzanine Loan; and</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June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6"/>
                <w:szCs w:val="16"/>
                <w:color w:val="auto"/>
              </w:rPr>
            </w:pPr>
          </w:p>
        </w:tc>
        <w:tc>
          <w:tcPr>
            <w:tcW w:w="178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2"/>
        </w:trPr>
        <w:tc>
          <w:tcPr>
            <w:tcW w:w="7100" w:type="dxa"/>
            <w:vAlign w:val="bottom"/>
            <w:gridSpan w:val="3"/>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Minimum lease payments receivable under sales-type leases </w:t>
            </w:r>
            <w:r>
              <w:rPr>
                <w:rFonts w:ascii="Arial" w:cs="Arial" w:eastAsia="Arial" w:hAnsi="Arial"/>
                <w:sz w:val="23"/>
                <w:szCs w:val="23"/>
                <w:i w:val="1"/>
                <w:iCs w:val="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44,968,959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45,500,260</w:t>
            </w:r>
          </w:p>
        </w:tc>
      </w:tr>
      <w:tr>
        <w:trPr>
          <w:trHeight w:val="229"/>
        </w:trPr>
        <w:tc>
          <w:tcPr>
            <w:tcW w:w="7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Estimated residual values of leased property (not guaranteed)</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3,342,508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3,348,174</w:t>
            </w:r>
          </w:p>
        </w:tc>
      </w:tr>
      <w:tr>
        <w:trPr>
          <w:trHeight w:val="222"/>
        </w:trPr>
        <w:tc>
          <w:tcPr>
            <w:tcW w:w="7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investment in sales-type leases</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48,311,467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48,848,434</w:t>
            </w:r>
          </w:p>
        </w:tc>
      </w:tr>
      <w:tr>
        <w:trPr>
          <w:trHeight w:val="229"/>
        </w:trPr>
        <w:tc>
          <w:tcPr>
            <w:tcW w:w="7100" w:type="dxa"/>
            <w:vAlign w:val="bottom"/>
            <w:gridSpan w:val="3"/>
          </w:tcPr>
          <w:p>
            <w:pPr>
              <w:ind w:left="20"/>
              <w:spacing w:after="0"/>
              <w:rPr>
                <w:sz w:val="20"/>
                <w:szCs w:val="20"/>
                <w:color w:val="auto"/>
              </w:rPr>
            </w:pPr>
            <w:r>
              <w:rPr>
                <w:rFonts w:ascii="Arial" w:cs="Arial" w:eastAsia="Arial" w:hAnsi="Arial"/>
                <w:sz w:val="18"/>
                <w:szCs w:val="18"/>
                <w:color w:val="auto"/>
              </w:rPr>
              <w:t>Unamortized initial direct costs</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23,764</w:t>
            </w:r>
          </w:p>
        </w:tc>
      </w:tr>
      <w:tr>
        <w:trPr>
          <w:trHeight w:val="229"/>
        </w:trPr>
        <w:tc>
          <w:tcPr>
            <w:tcW w:w="7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Unearned income</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(34,804,781)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(35,390,353)</w:t>
            </w:r>
          </w:p>
        </w:tc>
      </w:tr>
      <w:tr>
        <w:trPr>
          <w:trHeight w:val="229"/>
        </w:trPr>
        <w:tc>
          <w:tcPr>
            <w:tcW w:w="7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Allowance for credit losses</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(454,201)</w:t>
            </w:r>
          </w:p>
        </w:tc>
      </w:tr>
      <w:tr>
        <w:trPr>
          <w:trHeight w:val="222"/>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leases - sales-type, net</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r>
      <w:tr>
        <w:trPr>
          <w:trHeight w:val="229"/>
        </w:trPr>
        <w:tc>
          <w:tcPr>
            <w:tcW w:w="7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Investments in leases - financing receivables, net</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2,643,648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2,618,562</w:t>
            </w:r>
          </w:p>
        </w:tc>
      </w:tr>
      <w:tr>
        <w:trPr>
          <w:trHeight w:val="222"/>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investments in leases, net</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15,646,206</w:t>
            </w:r>
          </w:p>
        </w:tc>
      </w:tr>
      <w:tr>
        <w:trPr>
          <w:trHeight w:val="229"/>
        </w:trPr>
        <w:tc>
          <w:tcPr>
            <w:tcW w:w="7100" w:type="dxa"/>
            <w:vAlign w:val="bottom"/>
            <w:gridSpan w:val="3"/>
          </w:tcPr>
          <w:p>
            <w:pPr>
              <w:ind w:left="20"/>
              <w:spacing w:after="0"/>
              <w:rPr>
                <w:sz w:val="20"/>
                <w:szCs w:val="20"/>
                <w:color w:val="auto"/>
              </w:rPr>
            </w:pPr>
            <w:r>
              <w:rPr>
                <w:rFonts w:ascii="Arial" w:cs="Arial" w:eastAsia="Arial" w:hAnsi="Arial"/>
                <w:sz w:val="18"/>
                <w:szCs w:val="18"/>
                <w:color w:val="auto"/>
              </w:rPr>
              <w:t>Investments in loans, net</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505,262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536,721</w:t>
            </w:r>
          </w:p>
        </w:tc>
      </w:tr>
      <w:tr>
        <w:trPr>
          <w:trHeight w:val="229"/>
        </w:trPr>
        <w:tc>
          <w:tcPr>
            <w:tcW w:w="7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158,190</w:t>
            </w:r>
          </w:p>
        </w:tc>
      </w:tr>
      <w:tr>
        <w:trPr>
          <w:trHeight w:val="222"/>
        </w:trPr>
        <w:tc>
          <w:tcPr>
            <w:tcW w:w="2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Arial" w:cs="Arial" w:eastAsia="Arial" w:hAnsi="Arial"/>
                <w:sz w:val="18"/>
                <w:szCs w:val="18"/>
                <w:color w:val="auto"/>
              </w:rPr>
              <w:t>Total real estate portfolio</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16,405,128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16,341,117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Portfolio</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components of our income from direct financing, sales-type and operating leases and lease financing receivables: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0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2"/>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2"/>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36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7"/>
                <w:szCs w:val="17"/>
                <w:color w:val="auto"/>
                <w:w w:val="97"/>
              </w:rPr>
              <w:t>Income from sales-type and direct financing leases, excluding contingent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290,137</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223,809</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579,711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448,004</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rent </w:t>
            </w:r>
            <w:r>
              <w:rPr>
                <w:rFonts w:ascii="Arial" w:cs="Arial" w:eastAsia="Arial" w:hAnsi="Arial"/>
                <w:sz w:val="23"/>
                <w:szCs w:val="23"/>
                <w:i w:val="1"/>
                <w:iCs w:val="1"/>
                <w:color w:val="auto"/>
                <w:vertAlign w:val="superscript"/>
              </w:rPr>
              <w:t>(1)</w:t>
            </w: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(2)</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21,826</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(3)</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Total revenue, excluding contingent rent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350,206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250,646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699,672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497,774</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Total lease revenue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351,201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250,732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497,917</w:t>
            </w:r>
          </w:p>
        </w:tc>
        <w:tc>
          <w:tcPr>
            <w:tcW w:w="0" w:type="dxa"/>
            <w:vAlign w:val="bottom"/>
          </w:tcPr>
          <w:p>
            <w:pPr>
              <w:spacing w:after="0"/>
              <w:rPr>
                <w:sz w:val="1"/>
                <w:szCs w:val="1"/>
                <w:color w:val="auto"/>
              </w:rPr>
            </w:pPr>
          </w:p>
        </w:tc>
      </w:tr>
      <w:tr>
        <w:trPr>
          <w:trHeight w:val="229"/>
        </w:trPr>
        <w:tc>
          <w:tcPr>
            <w:tcW w:w="536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Total contractual lease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321,803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254,541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tabs>
          <w:tab w:leader="none" w:pos="208"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minimum lease payments under ASC 842 (or ASC 840),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June 30, 2021, we have only recognized contingent rent on our Margaritaville Lease Agreement and Greektown Lease Agreement, in relation to the variable rent portion of the respective leases. Refer to the Lease Provisions section below for information regarding contingent rent on each lease.</w:t>
      </w:r>
    </w:p>
    <w:p>
      <w:pPr>
        <w:spacing w:after="0" w:line="3" w:lineRule="exact"/>
        <w:rPr>
          <w:rFonts w:ascii="Arial" w:cs="Arial" w:eastAsia="Arial" w:hAnsi="Arial"/>
          <w:sz w:val="14"/>
          <w:szCs w:val="14"/>
          <w:i w:val="1"/>
          <w:iCs w:val="1"/>
          <w:color w:val="auto"/>
        </w:rPr>
      </w:pPr>
    </w:p>
    <w:p>
      <w:pPr>
        <w:jc w:val="both"/>
        <w:ind w:firstLine="8"/>
        <w:spacing w:after="0"/>
        <w:tabs>
          <w:tab w:leader="none" w:pos="204"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certain operating land parcels were reassessed for lease classification and were determined to be a sales-type lease. Accordingly, subsequent to July 20, 2020, such income is recognized as Income from sales-type leases.</w:t>
      </w:r>
    </w:p>
    <w:p>
      <w:pPr>
        <w:spacing w:after="0" w:line="2" w:lineRule="exact"/>
        <w:rPr>
          <w:rFonts w:ascii="Arial" w:cs="Arial" w:eastAsia="Arial" w:hAnsi="Arial"/>
          <w:sz w:val="14"/>
          <w:szCs w:val="14"/>
          <w:i w:val="1"/>
          <w:iCs w:val="1"/>
          <w:color w:val="auto"/>
        </w:rPr>
      </w:pPr>
    </w:p>
    <w:p>
      <w:pPr>
        <w:jc w:val="both"/>
        <w:ind w:right="20" w:firstLine="8"/>
        <w:spacing w:after="0"/>
        <w:tabs>
          <w:tab w:leader="none" w:pos="228"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MTA Properties and the JACK Cleveland/Thistledown Lease Agreement, both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4" w:lineRule="auto"/>
        <w:tabs>
          <w:tab w:leader="none" w:pos="208"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direct financing leases, sales-type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At June 30, 2021, minimum lease payments owed to us for each of the five succeeding years under sales-type leases and our leases accounted for as financing receivables,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 xml:space="preserve">Minimum Lease Payments </w:t>
            </w:r>
            <w:r>
              <w:rPr>
                <w:rFonts w:ascii="Arial" w:cs="Arial" w:eastAsia="Arial" w:hAnsi="Arial"/>
                <w:sz w:val="21"/>
                <w:szCs w:val="21"/>
                <w:b w:val="1"/>
                <w:bCs w:val="1"/>
                <w:i w:val="1"/>
                <w:iCs w:val="1"/>
                <w:color w:val="auto"/>
                <w:w w:val="89"/>
                <w:vertAlign w:val="superscript"/>
              </w:rPr>
              <w:t>(1) (2)</w:t>
            </w:r>
          </w:p>
        </w:tc>
        <w:tc>
          <w:tcPr>
            <w:tcW w:w="5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4"/>
          </w:tcPr>
          <w:p>
            <w:pPr>
              <w:jc w:val="right"/>
              <w:ind w:right="1712"/>
              <w:spacing w:after="0"/>
              <w:rPr>
                <w:sz w:val="20"/>
                <w:szCs w:val="20"/>
                <w:color w:val="auto"/>
              </w:rPr>
            </w:pPr>
            <w:r>
              <w:rPr>
                <w:rFonts w:ascii="Arial" w:cs="Arial" w:eastAsia="Arial" w:hAnsi="Arial"/>
                <w:sz w:val="16"/>
                <w:szCs w:val="16"/>
                <w:b w:val="1"/>
                <w:bCs w:val="1"/>
                <w:color w:val="auto"/>
              </w:rPr>
              <w:t>Investments in Leases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2"/>
        </w:trPr>
        <w:tc>
          <w:tcPr>
            <w:tcW w:w="35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8"/>
                <w:szCs w:val="18"/>
                <w:color w:val="auto"/>
              </w:rPr>
            </w:pPr>
          </w:p>
        </w:tc>
        <w:tc>
          <w:tcPr>
            <w:tcW w:w="2100" w:type="dxa"/>
            <w:vAlign w:val="bottom"/>
            <w:gridSpan w:val="2"/>
          </w:tcPr>
          <w:p>
            <w:pPr>
              <w:ind w:left="380"/>
              <w:spacing w:after="0"/>
              <w:rPr>
                <w:sz w:val="20"/>
                <w:szCs w:val="20"/>
                <w:color w:val="auto"/>
              </w:rPr>
            </w:pPr>
            <w:r>
              <w:rPr>
                <w:rFonts w:ascii="Arial" w:cs="Arial" w:eastAsia="Arial" w:hAnsi="Arial"/>
                <w:sz w:val="16"/>
                <w:szCs w:val="16"/>
                <w:b w:val="1"/>
                <w:bCs w:val="1"/>
                <w:color w:val="auto"/>
              </w:rPr>
              <w:t>Sales-Type</w:t>
            </w:r>
          </w:p>
        </w:tc>
        <w:tc>
          <w:tcPr>
            <w:tcW w:w="1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Financing Receivables</w:t>
            </w:r>
          </w:p>
        </w:tc>
        <w:tc>
          <w:tcPr>
            <w:tcW w:w="580" w:type="dxa"/>
            <w:vAlign w:val="bottom"/>
          </w:tcPr>
          <w:p>
            <w:pPr>
              <w:spacing w:after="0"/>
              <w:rPr>
                <w:sz w:val="18"/>
                <w:szCs w:val="18"/>
                <w:color w:val="auto"/>
              </w:rPr>
            </w:pPr>
          </w:p>
        </w:tc>
        <w:tc>
          <w:tcPr>
            <w:tcW w:w="1920" w:type="dxa"/>
            <w:vAlign w:val="bottom"/>
          </w:tcPr>
          <w:p>
            <w:pPr>
              <w:jc w:val="right"/>
              <w:ind w:right="991"/>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2"/>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642,558</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1,075,944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227,017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1,302,961</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1,326,128</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1,112,711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235,421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1,348,132</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1,364,652</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1,141,221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240,191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1,381,412</w:t>
            </w:r>
          </w:p>
        </w:tc>
      </w:tr>
      <w:tr>
        <w:trPr>
          <w:trHeight w:val="229"/>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38,886,389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7,999,428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46,885,817</w:t>
            </w:r>
          </w:p>
        </w:tc>
      </w:tr>
      <w:tr>
        <w:trPr>
          <w:trHeight w:val="222"/>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44,968,959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9,282,701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54,251,660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r>
      <w:tr>
        <w:trPr>
          <w:trHeight w:val="291"/>
        </w:trPr>
        <w:tc>
          <w:tcPr>
            <w:tcW w:w="354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Weighted Average Lease Term </w:t>
            </w:r>
            <w:r>
              <w:rPr>
                <w:rFonts w:ascii="Arial" w:cs="Arial" w:eastAsia="Arial" w:hAnsi="Arial"/>
                <w:sz w:val="23"/>
                <w:szCs w:val="23"/>
                <w:b w:val="1"/>
                <w:bCs w:val="1"/>
                <w:i w:val="1"/>
                <w:iCs w:val="1"/>
                <w:color w:val="auto"/>
                <w:vertAlign w:val="superscript"/>
              </w:rPr>
              <w:t>(2)</w:t>
            </w:r>
          </w:p>
        </w:tc>
        <w:tc>
          <w:tcPr>
            <w:tcW w:w="500" w:type="dxa"/>
            <w:vAlign w:val="bottom"/>
          </w:tcPr>
          <w:p>
            <w:pPr>
              <w:spacing w:after="0"/>
              <w:rPr>
                <w:sz w:val="24"/>
                <w:szCs w:val="24"/>
                <w:color w:val="auto"/>
              </w:rPr>
            </w:pPr>
          </w:p>
        </w:tc>
        <w:tc>
          <w:tcPr>
            <w:tcW w:w="200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33.9</w:t>
            </w:r>
          </w:p>
        </w:tc>
      </w:tr>
      <w:tr>
        <w:trPr>
          <w:trHeight w:val="174"/>
        </w:trPr>
        <w:tc>
          <w:tcPr>
            <w:tcW w:w="354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ind w:left="220" w:hanging="212"/>
        <w:spacing w:after="0"/>
        <w:tabs>
          <w:tab w:leader="none" w:pos="2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Caesars Lease Agreements: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0" w:type="dxa"/>
            <w:vAlign w:val="bottom"/>
          </w:tcPr>
          <w:p>
            <w:pPr>
              <w:spacing w:after="0"/>
              <w:rPr>
                <w:sz w:val="14"/>
                <w:szCs w:val="14"/>
                <w:color w:val="auto"/>
              </w:rPr>
            </w:pPr>
          </w:p>
        </w:tc>
        <w:tc>
          <w:tcPr>
            <w:tcW w:w="38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4"/>
              </w:rPr>
              <w:t>Regional Master Lease Agreement and Joliet Lease</w:t>
            </w:r>
          </w:p>
        </w:tc>
        <w:tc>
          <w:tcPr>
            <w:tcW w:w="2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gridSpan w:val="3"/>
            <w:vMerge w:val="continu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3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1"/>
                <w:szCs w:val="21"/>
                <w:b w:val="1"/>
                <w:bCs w:val="1"/>
                <w:i w:val="1"/>
                <w:iCs w:val="1"/>
                <w:color w:val="auto"/>
                <w:vertAlign w:val="superscript"/>
              </w:rPr>
              <w:t>(1)</w:t>
            </w:r>
          </w:p>
        </w:tc>
        <w:tc>
          <w:tcPr>
            <w:tcW w:w="100" w:type="dxa"/>
            <w:vAlign w:val="bottom"/>
          </w:tcPr>
          <w:p>
            <w:pPr>
              <w:spacing w:after="0"/>
              <w:rPr>
                <w:sz w:val="5"/>
                <w:szCs w:val="5"/>
                <w:color w:val="auto"/>
              </w:rPr>
            </w:pPr>
          </w:p>
        </w:tc>
        <w:tc>
          <w:tcPr>
            <w:tcW w:w="3820" w:type="dxa"/>
            <w:vAlign w:val="bottom"/>
            <w:gridSpan w:val="3"/>
            <w:vMerge w:val="continue"/>
          </w:tcPr>
          <w:p>
            <w:pPr>
              <w:spacing w:after="0"/>
              <w:rPr>
                <w:sz w:val="5"/>
                <w:szCs w:val="5"/>
                <w:color w:val="auto"/>
              </w:rPr>
            </w:pPr>
          </w:p>
        </w:tc>
        <w:tc>
          <w:tcPr>
            <w:tcW w:w="372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Las Vegas Master Lease Agreement</w:t>
            </w: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gridSpan w:val="3"/>
          </w:tcPr>
          <w:p>
            <w:pPr>
              <w:ind w:left="1480"/>
              <w:spacing w:after="0"/>
              <w:rPr>
                <w:sz w:val="20"/>
                <w:szCs w:val="20"/>
                <w:color w:val="auto"/>
              </w:rPr>
            </w:pPr>
            <w:r>
              <w:rPr>
                <w:rFonts w:ascii="Arial" w:cs="Arial" w:eastAsia="Arial" w:hAnsi="Arial"/>
                <w:sz w:val="16"/>
                <w:szCs w:val="16"/>
                <w:b w:val="1"/>
                <w:bCs w:val="1"/>
                <w:color w:val="auto"/>
              </w:rPr>
              <w:t>Agreement</w:t>
            </w:r>
          </w:p>
        </w:tc>
        <w:tc>
          <w:tcPr>
            <w:tcW w:w="3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tcBorders>
              <w:top w:val="single" w:sz="8" w:color="auto"/>
            </w:tcBorders>
            <w:gridSpan w:val="3"/>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Initial Term </w:t>
            </w:r>
            <w:r>
              <w:rPr>
                <w:rFonts w:ascii="Arial" w:cs="Arial" w:eastAsia="Arial" w:hAnsi="Arial"/>
                <w:sz w:val="23"/>
                <w:szCs w:val="23"/>
                <w:i w:val="1"/>
                <w:iCs w:val="1"/>
                <w:color w:val="auto"/>
                <w:vertAlign w:val="superscript"/>
              </w:rPr>
              <w:t>(2)</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 years</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 years</w:t>
            </w:r>
          </w:p>
        </w:tc>
        <w:tc>
          <w:tcPr>
            <w:tcW w:w="0" w:type="dxa"/>
            <w:vAlign w:val="bottom"/>
          </w:tcPr>
          <w:p>
            <w:pPr>
              <w:spacing w:after="0"/>
              <w:rPr>
                <w:sz w:val="1"/>
                <w:szCs w:val="1"/>
                <w:color w:val="auto"/>
              </w:rPr>
            </w:pPr>
          </w:p>
        </w:tc>
      </w:tr>
      <w:tr>
        <w:trPr>
          <w:trHeight w:val="229"/>
        </w:trPr>
        <w:tc>
          <w:tcPr>
            <w:tcW w:w="360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Initial Term maturity </w:t>
            </w:r>
            <w:r>
              <w:rPr>
                <w:rFonts w:ascii="Arial" w:cs="Arial" w:eastAsia="Arial" w:hAnsi="Arial"/>
                <w:sz w:val="23"/>
                <w:szCs w:val="23"/>
                <w:i w:val="1"/>
                <w:iCs w:val="1"/>
                <w:color w:val="auto"/>
                <w:vertAlign w:val="superscript"/>
              </w:rPr>
              <w:t>(2)</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7/31/2035</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7/31/2035</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Renewal Terms</w:t>
            </w:r>
          </w:p>
        </w:tc>
        <w:tc>
          <w:tcPr>
            <w:tcW w:w="100" w:type="dxa"/>
            <w:vAlign w:val="bottom"/>
            <w:tcBorders>
              <w:right w:val="single" w:sz="8" w:color="CCEEFF"/>
            </w:tcBorders>
            <w:shd w:val="clear" w:color="auto" w:fill="CCEEFF"/>
          </w:tcPr>
          <w:p>
            <w:pPr>
              <w:spacing w:after="0"/>
              <w:rPr>
                <w:sz w:val="19"/>
                <w:szCs w:val="19"/>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Four, five-year terms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360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(3)</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$672,472</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$402,609</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(4)</w:t>
            </w: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Lease years 2-5 - 1.5%</w:t>
            </w:r>
          </w:p>
        </w:tc>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&gt; 2% / change in CPI</w:t>
            </w:r>
          </w:p>
        </w:tc>
        <w:tc>
          <w:tcPr>
            <w:tcW w:w="0" w:type="dxa"/>
            <w:vAlign w:val="bottom"/>
          </w:tcPr>
          <w:p>
            <w:pPr>
              <w:spacing w:after="0"/>
              <w:rPr>
                <w:sz w:val="1"/>
                <w:szCs w:val="1"/>
                <w:color w:val="auto"/>
              </w:rPr>
            </w:pPr>
          </w:p>
        </w:tc>
      </w:tr>
      <w:tr>
        <w:trPr>
          <w:trHeight w:val="175"/>
        </w:trPr>
        <w:tc>
          <w:tcPr>
            <w:tcW w:w="3600" w:type="dxa"/>
            <w:vAlign w:val="bottom"/>
            <w:gridSpan w:val="3"/>
            <w:vMerge w:val="continue"/>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8"/>
              </w:rPr>
              <w:t>Lease years 6-end of term - CPI subject to 2.0%</w:t>
            </w:r>
          </w:p>
        </w:tc>
        <w:tc>
          <w:tcPr>
            <w:tcW w:w="3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floor</w:t>
            </w:r>
          </w:p>
        </w:tc>
        <w:tc>
          <w:tcPr>
            <w:tcW w:w="2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gridSpan w:val="3"/>
            <w:vMerge w:val="restart"/>
          </w:tcPr>
          <w:p>
            <w:pPr>
              <w:ind w:left="20"/>
              <w:spacing w:after="0"/>
              <w:rPr>
                <w:sz w:val="20"/>
                <w:szCs w:val="20"/>
                <w:color w:val="auto"/>
              </w:rPr>
            </w:pPr>
            <w:r>
              <w:rPr>
                <w:rFonts w:ascii="Arial" w:cs="Arial" w:eastAsia="Arial" w:hAnsi="Arial"/>
                <w:sz w:val="18"/>
                <w:szCs w:val="18"/>
                <w:color w:val="auto"/>
              </w:rPr>
              <w:t>Variable Rent adjustment</w:t>
            </w:r>
          </w:p>
        </w:tc>
        <w:tc>
          <w:tcPr>
            <w:tcW w:w="100" w:type="dxa"/>
            <w:vAlign w:val="bottom"/>
          </w:tcPr>
          <w:p>
            <w:pPr>
              <w:spacing w:after="0"/>
              <w:rPr>
                <w:sz w:val="15"/>
                <w:szCs w:val="15"/>
                <w:color w:val="auto"/>
              </w:rPr>
            </w:pPr>
          </w:p>
        </w:tc>
        <w:tc>
          <w:tcPr>
            <w:tcW w:w="38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 30% variable rent</w:t>
            </w:r>
          </w:p>
        </w:tc>
        <w:tc>
          <w:tcPr>
            <w:tcW w:w="3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96"/>
              </w:rPr>
              <w:t>Years 8, 11 &amp; 16</w:t>
            </w:r>
            <w:r>
              <w:rPr>
                <w:rFonts w:ascii="Arial" w:cs="Arial" w:eastAsia="Arial" w:hAnsi="Arial"/>
                <w:sz w:val="18"/>
                <w:szCs w:val="18"/>
                <w:color w:val="auto"/>
                <w:w w:val="96"/>
              </w:rPr>
              <w:t>: 80% base rent / 20% variable</w:t>
            </w:r>
          </w:p>
        </w:tc>
        <w:tc>
          <w:tcPr>
            <w:tcW w:w="0" w:type="dxa"/>
            <w:vAlign w:val="bottom"/>
          </w:tcPr>
          <w:p>
            <w:pPr>
              <w:spacing w:after="0"/>
              <w:rPr>
                <w:sz w:val="1"/>
                <w:szCs w:val="1"/>
                <w:color w:val="auto"/>
              </w:rPr>
            </w:pPr>
          </w:p>
        </w:tc>
      </w:tr>
      <w:tr>
        <w:trPr>
          <w:trHeight w:val="135"/>
        </w:trPr>
        <w:tc>
          <w:tcPr>
            <w:tcW w:w="36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Years 11 &amp; 16</w:t>
            </w:r>
            <w:r>
              <w:rPr>
                <w:rFonts w:ascii="Arial" w:cs="Arial" w:eastAsia="Arial" w:hAnsi="Arial"/>
                <w:sz w:val="18"/>
                <w:szCs w:val="18"/>
                <w:color w:val="auto"/>
                <w:w w:val="94"/>
              </w:rPr>
              <w:t>: 80% base rent / 20% variable rent</w:t>
            </w:r>
          </w:p>
        </w:tc>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rent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7"/>
              </w:rPr>
              <w:t>4% of revenue increase/decrease:</w:t>
            </w:r>
          </w:p>
        </w:tc>
        <w:tc>
          <w:tcPr>
            <w:tcW w:w="1420" w:type="dxa"/>
            <w:vAlign w:val="bottom"/>
            <w:tcBorders>
              <w:right w:val="single" w:sz="8" w:color="CCEEFF"/>
            </w:tcBorders>
            <w:gridSpan w:val="2"/>
            <w:shd w:val="clear" w:color="auto" w:fill="CCEEFF"/>
          </w:tcPr>
          <w:p>
            <w:pPr>
              <w:spacing w:after="0"/>
              <w:rPr>
                <w:sz w:val="16"/>
                <w:szCs w:val="16"/>
                <w:color w:val="auto"/>
              </w:rPr>
            </w:pPr>
          </w:p>
        </w:tc>
        <w:tc>
          <w:tcPr>
            <w:tcW w:w="3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4% of revenue increase/decrease:</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gridSpan w:val="2"/>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Variable Rent adjustment calculation </w:t>
            </w:r>
            <w:r>
              <w:rPr>
                <w:rFonts w:ascii="Arial" w:cs="Arial" w:eastAsia="Arial" w:hAnsi="Arial"/>
                <w:sz w:val="23"/>
                <w:szCs w:val="23"/>
                <w:i w:val="1"/>
                <w:iCs w:val="1"/>
                <w:color w:val="auto"/>
                <w:vertAlign w:val="superscript"/>
              </w:rPr>
              <w:t>(5)</w:t>
            </w:r>
          </w:p>
        </w:tc>
        <w:tc>
          <w:tcPr>
            <w:tcW w:w="100" w:type="dxa"/>
            <w:vAlign w:val="bottom"/>
            <w:tcBorders>
              <w:right w:val="single" w:sz="8" w:color="CCEEFF"/>
            </w:tcBorders>
            <w:shd w:val="clear" w:color="auto" w:fill="CCEEFF"/>
          </w:tcPr>
          <w:p>
            <w:pPr>
              <w:spacing w:after="0"/>
              <w:rPr>
                <w:sz w:val="12"/>
                <w:szCs w:val="12"/>
                <w:color w:val="auto"/>
              </w:rPr>
            </w:pPr>
          </w:p>
        </w:tc>
        <w:tc>
          <w:tcPr>
            <w:tcW w:w="3820" w:type="dxa"/>
            <w:vAlign w:val="bottom"/>
            <w:tcBorders>
              <w:right w:val="single" w:sz="8" w:color="CCEEFF"/>
            </w:tcBorders>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 less avg. of years 0-2</w:t>
            </w:r>
          </w:p>
        </w:tc>
        <w:tc>
          <w:tcPr>
            <w:tcW w:w="372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 less avg. of years 0-2</w:t>
            </w:r>
          </w:p>
        </w:tc>
        <w:tc>
          <w:tcPr>
            <w:tcW w:w="0" w:type="dxa"/>
            <w:vAlign w:val="bottom"/>
          </w:tcPr>
          <w:p>
            <w:pPr>
              <w:spacing w:after="0"/>
              <w:rPr>
                <w:sz w:val="1"/>
                <w:szCs w:val="1"/>
                <w:color w:val="auto"/>
              </w:rPr>
            </w:pPr>
          </w:p>
        </w:tc>
      </w:tr>
      <w:tr>
        <w:trPr>
          <w:trHeight w:val="175"/>
        </w:trPr>
        <w:tc>
          <w:tcPr>
            <w:tcW w:w="3600" w:type="dxa"/>
            <w:vAlign w:val="bottom"/>
            <w:gridSpan w:val="3"/>
            <w:vMerge w:val="continue"/>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Year 11</w:t>
            </w:r>
            <w:r>
              <w:rPr>
                <w:rFonts w:ascii="Arial" w:cs="Arial" w:eastAsia="Arial" w:hAnsi="Arial"/>
                <w:sz w:val="18"/>
                <w:szCs w:val="18"/>
                <w:color w:val="auto"/>
                <w:w w:val="95"/>
              </w:rPr>
              <w:t>: Avg. of years 8-10 less avg. of years 5-7</w:t>
            </w: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Year 11</w:t>
            </w:r>
            <w:r>
              <w:rPr>
                <w:rFonts w:ascii="Arial" w:cs="Arial" w:eastAsia="Arial" w:hAnsi="Arial"/>
                <w:sz w:val="18"/>
                <w:szCs w:val="18"/>
                <w:color w:val="auto"/>
                <w:w w:val="93"/>
              </w:rPr>
              <w:t>: Avg. of years 8-10 less avg. of years 5-7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Year 16</w:t>
            </w:r>
            <w:r>
              <w:rPr>
                <w:rFonts w:ascii="Arial" w:cs="Arial" w:eastAsia="Arial" w:hAnsi="Arial"/>
                <w:sz w:val="18"/>
                <w:szCs w:val="18"/>
                <w:color w:val="auto"/>
                <w:w w:val="95"/>
              </w:rPr>
              <w:t>: Avg. of years 13-15 less avg. of years 8-</w:t>
            </w: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Year 16</w:t>
            </w:r>
            <w:r>
              <w:rPr>
                <w:rFonts w:ascii="Arial" w:cs="Arial" w:eastAsia="Arial" w:hAnsi="Arial"/>
                <w:sz w:val="18"/>
                <w:szCs w:val="18"/>
                <w:color w:val="auto"/>
                <w:w w:val="93"/>
              </w:rPr>
              <w:t>: Avg. of years 13-15 less avg. of years 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0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Upon the consummation of the Eldorado Transaction, the Caesars Lease Agreements were extended such that each lease has a full 15-year initial term.</w:t>
      </w: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represent the current annual base rent payable for the current lease year, which is the period from November 1, 2020 through October 31, 2021.</w:t>
      </w:r>
    </w:p>
    <w:p>
      <w:pPr>
        <w:ind w:right="20" w:firstLine="8"/>
        <w:spacing w:after="0"/>
        <w:tabs>
          <w:tab w:leader="none" w:pos="211"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six months ended June 30, 2021 and 2020.</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Penn National Lease Agreements: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2" w:lineRule="exact"/>
        <w:rPr>
          <w:sz w:val="20"/>
          <w:szCs w:val="20"/>
          <w:color w:val="auto"/>
        </w:rPr>
      </w:pPr>
    </w:p>
    <w:p>
      <w:pPr>
        <w:ind w:left="20"/>
        <w:spacing w:after="0"/>
        <w:tabs>
          <w:tab w:leader="none" w:pos="4380" w:val="left"/>
          <w:tab w:leader="none" w:pos="83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6"/>
          <w:szCs w:val="16"/>
          <w:b w:val="1"/>
          <w:bCs w:val="1"/>
          <w:color w:val="auto"/>
        </w:rPr>
        <w:t>Margaritaville Lease Agreement</w:t>
      </w:r>
      <w:r>
        <w:rPr>
          <w:sz w:val="20"/>
          <w:szCs w:val="20"/>
          <w:color w:val="auto"/>
        </w:rPr>
        <w:tab/>
      </w:r>
      <w:r>
        <w:rPr>
          <w:rFonts w:ascii="Arial" w:cs="Arial" w:eastAsia="Arial" w:hAnsi="Arial"/>
          <w:sz w:val="14"/>
          <w:szCs w:val="14"/>
          <w:b w:val="1"/>
          <w:bCs w:val="1"/>
          <w:color w:val="auto"/>
        </w:rPr>
        <w:t>Greektown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955" cy="153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ind w:left="20"/>
        <w:spacing w:after="0" w:line="231" w:lineRule="auto"/>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140"/>
        <w:spacing w:after="0"/>
        <w:rPr>
          <w:sz w:val="20"/>
          <w:szCs w:val="20"/>
          <w:color w:val="auto"/>
        </w:rPr>
      </w:pPr>
      <w:r>
        <w:rPr>
          <w:rFonts w:ascii="Arial" w:cs="Arial" w:eastAsia="Arial" w:hAnsi="Arial"/>
          <w:sz w:val="17"/>
          <w:szCs w:val="17"/>
          <w:color w:val="auto"/>
        </w:rPr>
        <w:t xml:space="preserve">Escalation commencement </w:t>
      </w:r>
      <w:r>
        <w:rPr>
          <w:rFonts w:ascii="Arial" w:cs="Arial" w:eastAsia="Arial" w:hAnsi="Arial"/>
          <w:sz w:val="22"/>
          <w:szCs w:val="22"/>
          <w:i w:val="1"/>
          <w:iCs w:val="1"/>
          <w:color w:val="auto"/>
          <w:vertAlign w:val="superscript"/>
        </w:rPr>
        <w:t>(2)</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Escalation</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Performance to rent ratio floor </w:t>
      </w:r>
      <w:r>
        <w:rPr>
          <w:rFonts w:ascii="Arial" w:cs="Arial" w:eastAsia="Arial" w:hAnsi="Arial"/>
          <w:sz w:val="21"/>
          <w:szCs w:val="21"/>
          <w:i w:val="1"/>
          <w:iCs w:val="1"/>
          <w:color w:val="auto"/>
          <w:vertAlign w:val="superscript"/>
        </w:rPr>
        <w:t>(2)</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3"/>
          <w:szCs w:val="23"/>
          <w:i w:val="1"/>
          <w:iCs w:val="1"/>
          <w:color w:val="auto"/>
          <w:vertAlign w:val="superscript"/>
        </w:rPr>
        <w:t>(3)</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Percentage rent multiplier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12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1/31/2034</w:t>
            </w:r>
          </w:p>
        </w:tc>
        <w:tc>
          <w:tcPr>
            <w:tcW w:w="1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5/23/2034</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3740" w:type="dxa"/>
            <w:vAlign w:val="bottom"/>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$23,462</w:t>
            </w:r>
          </w:p>
        </w:tc>
        <w:tc>
          <w:tcPr>
            <w:tcW w:w="12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$51,312</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3740" w:type="dxa"/>
            <w:vAlign w:val="bottom"/>
          </w:tcPr>
          <w:p>
            <w:pPr>
              <w:ind w:left="20"/>
              <w:spacing w:after="0"/>
              <w:rPr>
                <w:sz w:val="20"/>
                <w:szCs w:val="20"/>
                <w:color w:val="auto"/>
              </w:rPr>
            </w:pPr>
            <w:r>
              <w:rPr>
                <w:rFonts w:ascii="Arial" w:cs="Arial" w:eastAsia="Arial" w:hAnsi="Arial"/>
                <w:sz w:val="18"/>
                <w:szCs w:val="18"/>
                <w:color w:val="auto"/>
              </w:rPr>
              <w:t>Lease year four</w:t>
            </w:r>
          </w:p>
        </w:tc>
        <w:tc>
          <w:tcPr>
            <w:tcW w:w="0" w:type="dxa"/>
            <w:vAlign w:val="bottom"/>
          </w:tcPr>
          <w:p>
            <w:pPr>
              <w:spacing w:after="0"/>
              <w:rPr>
                <w:sz w:val="1"/>
                <w:szCs w:val="1"/>
                <w:color w:val="auto"/>
              </w:rPr>
            </w:pPr>
          </w:p>
        </w:tc>
      </w:tr>
      <w:tr>
        <w:trPr>
          <w:trHeight w:val="176"/>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0" w:type="dxa"/>
            <w:vAlign w:val="bottom"/>
          </w:tcPr>
          <w:p>
            <w:pPr>
              <w:spacing w:after="0"/>
              <w:rPr>
                <w:sz w:val="1"/>
                <w:szCs w:val="1"/>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revenue to rent ratio floor</w:t>
            </w:r>
          </w:p>
        </w:tc>
        <w:tc>
          <w:tcPr>
            <w:tcW w:w="3740" w:type="dxa"/>
            <w:vAlign w:val="bottom"/>
          </w:tcPr>
          <w:p>
            <w:pPr>
              <w:ind w:left="20"/>
              <w:spacing w:after="0"/>
              <w:rPr>
                <w:sz w:val="20"/>
                <w:szCs w:val="20"/>
                <w:color w:val="auto"/>
              </w:rPr>
            </w:pPr>
            <w:r>
              <w:rPr>
                <w:rFonts w:ascii="Arial" w:cs="Arial" w:eastAsia="Arial" w:hAnsi="Arial"/>
                <w:sz w:val="18"/>
                <w:szCs w:val="18"/>
                <w:color w:val="auto"/>
              </w:rPr>
              <w:t>revenue to rent ratio floor</w:t>
            </w:r>
          </w:p>
        </w:tc>
        <w:tc>
          <w:tcPr>
            <w:tcW w:w="0" w:type="dxa"/>
            <w:vAlign w:val="bottom"/>
          </w:tcPr>
          <w:p>
            <w:pPr>
              <w:spacing w:after="0"/>
              <w:rPr>
                <w:sz w:val="1"/>
                <w:szCs w:val="1"/>
                <w:color w:val="auto"/>
              </w:rPr>
            </w:pPr>
          </w:p>
        </w:tc>
      </w:tr>
      <w:tr>
        <w:trPr>
          <w:trHeight w:val="176"/>
        </w:trPr>
        <w:tc>
          <w:tcPr>
            <w:tcW w:w="3860" w:type="dxa"/>
            <w:vAlign w:val="bottom"/>
            <w:gridSpan w:val="2"/>
            <w:vMerge w:val="restart"/>
          </w:tcPr>
          <w:p>
            <w:pPr>
              <w:ind w:left="20"/>
              <w:spacing w:after="0"/>
              <w:rPr>
                <w:sz w:val="20"/>
                <w:szCs w:val="20"/>
                <w:color w:val="auto"/>
              </w:rPr>
            </w:pPr>
            <w:r>
              <w:rPr>
                <w:rFonts w:ascii="Arial" w:cs="Arial" w:eastAsia="Arial" w:hAnsi="Arial"/>
                <w:sz w:val="18"/>
                <w:szCs w:val="18"/>
                <w:color w:val="auto"/>
              </w:rPr>
              <w:t>6.1x net revenue commencing lease year two</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1"/>
              </w:rPr>
              <w:t>Net revenue ratio to be mutually agreed upon prior</w:t>
            </w:r>
          </w:p>
        </w:tc>
        <w:tc>
          <w:tcPr>
            <w:tcW w:w="0" w:type="dxa"/>
            <w:vAlign w:val="bottom"/>
          </w:tcPr>
          <w:p>
            <w:pPr>
              <w:spacing w:after="0"/>
              <w:rPr>
                <w:sz w:val="1"/>
                <w:szCs w:val="1"/>
                <w:color w:val="auto"/>
              </w:rPr>
            </w:pPr>
          </w:p>
        </w:tc>
      </w:tr>
      <w:tr>
        <w:trPr>
          <w:trHeight w:val="135"/>
        </w:trPr>
        <w:tc>
          <w:tcPr>
            <w:tcW w:w="3860" w:type="dxa"/>
            <w:vAlign w:val="bottom"/>
            <w:gridSpan w:val="2"/>
            <w:vMerge w:val="continue"/>
          </w:tcPr>
          <w:p>
            <w:pPr>
              <w:spacing w:after="0"/>
              <w:rPr>
                <w:sz w:val="11"/>
                <w:szCs w:val="11"/>
                <w:color w:val="auto"/>
              </w:rPr>
            </w:pPr>
          </w:p>
        </w:tc>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to the commencement of lease year four</w:t>
            </w:r>
          </w:p>
        </w:tc>
        <w:tc>
          <w:tcPr>
            <w:tcW w:w="0" w:type="dxa"/>
            <w:vAlign w:val="bottom"/>
          </w:tcPr>
          <w:p>
            <w:pPr>
              <w:spacing w:after="0"/>
              <w:rPr>
                <w:sz w:val="1"/>
                <w:szCs w:val="1"/>
                <w:color w:val="auto"/>
              </w:rPr>
            </w:pPr>
          </w:p>
        </w:tc>
      </w:tr>
      <w:tr>
        <w:trPr>
          <w:trHeight w:val="93"/>
        </w:trPr>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$3,000 (fixed for lease year one and two)</w:t>
            </w:r>
          </w:p>
        </w:tc>
        <w:tc>
          <w:tcPr>
            <w:tcW w:w="3740" w:type="dxa"/>
            <w:vAlign w:val="bottom"/>
          </w:tcPr>
          <w:p>
            <w:pPr>
              <w:ind w:left="20"/>
              <w:spacing w:after="0"/>
              <w:rPr>
                <w:sz w:val="20"/>
                <w:szCs w:val="20"/>
                <w:color w:val="auto"/>
              </w:rPr>
            </w:pPr>
            <w:r>
              <w:rPr>
                <w:rFonts w:ascii="Arial" w:cs="Arial" w:eastAsia="Arial" w:hAnsi="Arial"/>
                <w:sz w:val="18"/>
                <w:szCs w:val="18"/>
                <w:color w:val="auto"/>
              </w:rPr>
              <w:t>$6,384 (fixed for lease year one and two)</w:t>
            </w:r>
          </w:p>
        </w:tc>
        <w:tc>
          <w:tcPr>
            <w:tcW w:w="0" w:type="dxa"/>
            <w:vAlign w:val="bottom"/>
          </w:tcPr>
          <w:p>
            <w:pPr>
              <w:spacing w:after="0"/>
              <w:rPr>
                <w:sz w:val="1"/>
                <w:szCs w:val="1"/>
                <w:color w:val="auto"/>
              </w:rPr>
            </w:pPr>
          </w:p>
        </w:tc>
      </w:tr>
      <w:tr>
        <w:trPr>
          <w:trHeight w:val="176"/>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Lease year three and each and every other lease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4"/>
              </w:rPr>
              <w:t>Lease year three and each and every other lease</w:t>
            </w:r>
          </w:p>
        </w:tc>
        <w:tc>
          <w:tcPr>
            <w:tcW w:w="0" w:type="dxa"/>
            <w:vAlign w:val="bottom"/>
          </w:tcPr>
          <w:p>
            <w:pPr>
              <w:spacing w:after="0"/>
              <w:rPr>
                <w:sz w:val="1"/>
                <w:szCs w:val="1"/>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year thereafter</w:t>
            </w:r>
          </w:p>
        </w:tc>
        <w:tc>
          <w:tcPr>
            <w:tcW w:w="3740" w:type="dxa"/>
            <w:vAlign w:val="bottom"/>
          </w:tcPr>
          <w:p>
            <w:pPr>
              <w:ind w:left="20"/>
              <w:spacing w:after="0"/>
              <w:rPr>
                <w:sz w:val="20"/>
                <w:szCs w:val="20"/>
                <w:color w:val="auto"/>
              </w:rPr>
            </w:pPr>
            <w:r>
              <w:rPr>
                <w:rFonts w:ascii="Arial" w:cs="Arial" w:eastAsia="Arial" w:hAnsi="Arial"/>
                <w:sz w:val="18"/>
                <w:szCs w:val="18"/>
                <w:color w:val="auto"/>
              </w:rPr>
              <w:t>year thereafter</w:t>
            </w:r>
          </w:p>
        </w:tc>
        <w:tc>
          <w:tcPr>
            <w:tcW w:w="0" w:type="dxa"/>
            <w:vAlign w:val="bottom"/>
          </w:tcPr>
          <w:p>
            <w:pPr>
              <w:spacing w:after="0"/>
              <w:rPr>
                <w:sz w:val="1"/>
                <w:szCs w:val="1"/>
                <w:color w:val="auto"/>
              </w:rPr>
            </w:pPr>
          </w:p>
        </w:tc>
      </w:tr>
      <w:tr>
        <w:trPr>
          <w:trHeight w:val="176"/>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The product of (i) 4% and (ii) the excess (if any) of</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2"/>
              </w:rPr>
              <w:t>The product of (i) 4% and (ii) the excess (if any) of</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 the average annual net revenue of a trailing</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8"/>
              </w:rPr>
              <w:t>(a) the average annual net revenue of a trailing</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two-year period preceding such reset year over (b)</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1"/>
              </w:rPr>
              <w:t>two-year period preceding such reset year over (b)</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 threshold amount (defined as 50% of LTM net</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7"/>
              </w:rPr>
              <w:t>a threshold amount (defined as 50% of LTM net</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revenues prior to acquisition)</w:t>
            </w:r>
          </w:p>
        </w:tc>
        <w:tc>
          <w:tcPr>
            <w:tcW w:w="3740" w:type="dxa"/>
            <w:vAlign w:val="bottom"/>
          </w:tcPr>
          <w:p>
            <w:pPr>
              <w:ind w:left="20"/>
              <w:spacing w:after="0"/>
              <w:rPr>
                <w:sz w:val="20"/>
                <w:szCs w:val="20"/>
                <w:color w:val="auto"/>
              </w:rPr>
            </w:pPr>
            <w:r>
              <w:rPr>
                <w:rFonts w:ascii="Arial" w:cs="Arial" w:eastAsia="Arial" w:hAnsi="Arial"/>
                <w:sz w:val="18"/>
                <w:szCs w:val="18"/>
                <w:color w:val="auto"/>
              </w:rPr>
              <w:t>revenues prior to acquisition)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-1941195</wp:posOffset>
            </wp:positionV>
            <wp:extent cx="713295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-1650365</wp:posOffset>
            </wp:positionV>
            <wp:extent cx="713295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-1248410</wp:posOffset>
            </wp:positionV>
            <wp:extent cx="7132955" cy="256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955" cy="25654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-846455</wp:posOffset>
            </wp:positionV>
            <wp:extent cx="7132955" cy="256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2920" w:space="720"/>
            <w:col w:w="7600"/>
          </w:cols>
          <w:pgMar w:left="320" w:top="28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tabs>
          <w:tab w:leader="none" w:pos="218"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2021 through January 31, 2022. In relation to the Greektown Lease Agreement, the amount represents current annual base rent payable for the current lease year, which is the period from June 1, 2021 through May 31, 2022.</w:t>
      </w:r>
    </w:p>
    <w:p>
      <w:pPr>
        <w:spacing w:after="0" w:line="1" w:lineRule="exact"/>
        <w:rPr>
          <w:rFonts w:ascii="Arial" w:cs="Arial" w:eastAsia="Arial" w:hAnsi="Arial"/>
          <w:sz w:val="14"/>
          <w:szCs w:val="14"/>
          <w:i w:val="1"/>
          <w:iCs w:val="1"/>
          <w:color w:val="auto"/>
        </w:rPr>
      </w:pPr>
    </w:p>
    <w:p>
      <w:pPr>
        <w:jc w:val="both"/>
        <w:ind w:firstLine="8"/>
        <w:spacing w:after="0"/>
        <w:tabs>
          <w:tab w:leader="none" w:pos="212"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In relation to the Greektown Lease Agreement, in May 2020, the lease was adjusted to remove the escalation for lease years 2 and 3 and to provide for a net revenue to rent ratio coverage floor to be mutually agreed upon by both parties prior to the commencement of lease year four.</w:t>
      </w:r>
    </w:p>
    <w:p>
      <w:pPr>
        <w:spacing w:after="0" w:line="2" w:lineRule="exact"/>
        <w:rPr>
          <w:rFonts w:ascii="Arial" w:cs="Arial" w:eastAsia="Arial" w:hAnsi="Arial"/>
          <w:sz w:val="14"/>
          <w:szCs w:val="14"/>
          <w:i w:val="1"/>
          <w:iCs w:val="1"/>
          <w:color w:val="auto"/>
        </w:rPr>
      </w:pPr>
    </w:p>
    <w:p>
      <w:pPr>
        <w:jc w:val="both"/>
        <w:ind w:firstLine="8"/>
        <w:spacing w:after="0" w:line="270" w:lineRule="auto"/>
        <w:tabs>
          <w:tab w:leader="none" w:pos="221"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Percentage rent is subject to the percentage rent multiplier. After the percentage rent reset in lease year three, any amounts related to percentage rent are considered contingent rent in accordance with GAAP. In relation to the Margaritaville Lease Agreement, during the three and six months ended June 30, 2021 and 2020, we recognized approximately $0.8 million, $1.4 million, $0.1 million and $0.1 million, respectively, in contingent rent. In relation to the Greektown Lease Agreement during the three and six months ended June 30, 2021 we recognized approximately $0.2 million and $0.2 million, respectively, in contingent rent. No such contingent rent was recognized for the three and six months ended June 30, 2020 for the Greektown Lease Agreement.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Hard Rock Cincinnati Lease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9/30/2034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29" w:lineRule="exact"/>
              <w:rPr>
                <w:sz w:val="20"/>
                <w:szCs w:val="20"/>
                <w:color w:val="auto"/>
              </w:rPr>
            </w:pPr>
            <w:r>
              <w:rPr>
                <w:rFonts w:ascii="Arial" w:cs="Arial" w:eastAsia="Arial" w:hAnsi="Arial"/>
                <w:sz w:val="18"/>
                <w:szCs w:val="18"/>
                <w:color w:val="auto"/>
              </w:rPr>
              <w:t xml:space="preserve">Current base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$43,391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2-4 - 1.5%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w w:val="89"/>
              </w:rPr>
              <w:t>Lease years 5-15 - The greater of 2% or the change in CPI unless the change in CPI is less than 0.5%, 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which case there is no escalation in rent for such lease year</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29"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29"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57"/>
        </w:trPr>
        <w:tc>
          <w:tcPr>
            <w:tcW w:w="352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October 1, 2020 through September 30, 2021.</w:t>
      </w:r>
    </w:p>
    <w:p>
      <w:pPr>
        <w:ind w:right="20" w:firstLine="8"/>
        <w:spacing w:after="0"/>
        <w:tabs>
          <w:tab w:leader="none" w:pos="211"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six months ended June 30, 2021 and 2020.</w:t>
      </w:r>
    </w:p>
    <w:p>
      <w:pPr>
        <w:spacing w:after="0" w:line="1" w:lineRule="exact"/>
        <w:rPr>
          <w:rFonts w:ascii="Arial" w:cs="Arial" w:eastAsia="Arial" w:hAnsi="Arial"/>
          <w:sz w:val="14"/>
          <w:szCs w:val="14"/>
          <w:i w:val="1"/>
          <w:iCs w:val="1"/>
          <w:color w:val="auto"/>
        </w:rPr>
      </w:pPr>
    </w:p>
    <w:p>
      <w:pPr>
        <w:ind w:right="20" w:firstLine="8"/>
        <w:spacing w:after="0" w:line="254" w:lineRule="auto"/>
        <w:tabs>
          <w:tab w:leader="none" w:pos="211"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Century Portfolio Lease Agreement:</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2" w:lineRule="exact"/>
        <w:rPr>
          <w:sz w:val="20"/>
          <w:szCs w:val="20"/>
          <w:color w:val="auto"/>
        </w:rPr>
      </w:pPr>
    </w:p>
    <w:p>
      <w:pPr>
        <w:ind w:left="20"/>
        <w:spacing w:after="0"/>
        <w:tabs>
          <w:tab w:leader="none" w:pos="72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955" cy="153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20"/>
        <w:spacing w:after="0"/>
        <w:rPr>
          <w:sz w:val="20"/>
          <w:szCs w:val="20"/>
          <w:color w:val="auto"/>
        </w:rPr>
      </w:pPr>
      <w:r>
        <w:rPr>
          <w:rFonts w:ascii="Arial" w:cs="Arial" w:eastAsia="Arial" w:hAnsi="Arial"/>
          <w:sz w:val="18"/>
          <w:szCs w:val="18"/>
          <w:color w:val="auto"/>
        </w:rPr>
        <w:t>Escalator commencement</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 to rent ratio floor</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Variable rent commencement/reset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24" w:hanging="224"/>
        <w:spacing w:after="0"/>
        <w:tabs>
          <w:tab w:leader="none" w:pos="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years</w:t>
      </w:r>
    </w:p>
    <w:p>
      <w:pPr>
        <w:spacing w:after="0" w:line="22"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12/31/2034</w:t>
      </w:r>
    </w:p>
    <w:p>
      <w:pPr>
        <w:spacing w:after="0" w:line="21" w:lineRule="exact"/>
        <w:rPr>
          <w:rFonts w:ascii="Arial" w:cs="Arial" w:eastAsia="Arial" w:hAnsi="Arial"/>
          <w:sz w:val="18"/>
          <w:szCs w:val="18"/>
          <w:color w:val="auto"/>
        </w:rPr>
      </w:pPr>
    </w:p>
    <w:p>
      <w:pPr>
        <w:ind w:left="4" w:right="6060"/>
        <w:spacing w:after="0" w:line="265" w:lineRule="auto"/>
        <w:rPr>
          <w:rFonts w:ascii="Arial" w:cs="Arial" w:eastAsia="Arial" w:hAnsi="Arial"/>
          <w:sz w:val="18"/>
          <w:szCs w:val="18"/>
          <w:color w:val="auto"/>
        </w:rPr>
      </w:pPr>
      <w:r>
        <w:rPr>
          <w:rFonts w:ascii="Arial" w:cs="Arial" w:eastAsia="Arial" w:hAnsi="Arial"/>
          <w:sz w:val="18"/>
          <w:szCs w:val="18"/>
          <w:color w:val="auto"/>
        </w:rPr>
        <w:t>Four, five-year terms $25,250</w:t>
      </w:r>
    </w:p>
    <w:p>
      <w:pPr>
        <w:ind w:left="4"/>
        <w:spacing w:after="0"/>
        <w:rPr>
          <w:rFonts w:ascii="Arial" w:cs="Arial" w:eastAsia="Arial" w:hAnsi="Arial"/>
          <w:sz w:val="18"/>
          <w:szCs w:val="18"/>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-421640</wp:posOffset>
            </wp:positionV>
            <wp:extent cx="713295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-130810</wp:posOffset>
            </wp:positionV>
            <wp:extent cx="713295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Lease years 2-3 - 1.0%</w:t>
      </w:r>
    </w:p>
    <w:p>
      <w:pPr>
        <w:ind w:left="4"/>
        <w:spacing w:after="0"/>
        <w:rPr>
          <w:sz w:val="20"/>
          <w:szCs w:val="20"/>
          <w:color w:val="auto"/>
        </w:rPr>
      </w:pPr>
      <w:r>
        <w:rPr>
          <w:rFonts w:ascii="Arial" w:cs="Arial" w:eastAsia="Arial" w:hAnsi="Arial"/>
          <w:sz w:val="18"/>
          <w:szCs w:val="18"/>
          <w:color w:val="auto"/>
        </w:rPr>
        <w:t>Lease years 4-15 - The greater of 1.25% or the change in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4445</wp:posOffset>
            </wp:positionV>
            <wp:extent cx="7132955" cy="256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ind w:left="4" w:right="240"/>
        <w:spacing w:after="0" w:line="234"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ind w:left="4"/>
        <w:spacing w:after="0"/>
        <w:rPr>
          <w:sz w:val="20"/>
          <w:szCs w:val="20"/>
          <w:color w:val="auto"/>
        </w:rPr>
      </w:pPr>
      <w:r>
        <w:rPr>
          <w:rFonts w:ascii="Arial" w:cs="Arial" w:eastAsia="Arial" w:hAnsi="Arial"/>
          <w:sz w:val="18"/>
          <w:szCs w:val="18"/>
          <w:color w:val="auto"/>
        </w:rPr>
        <w:t>Lease year 8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13970</wp:posOffset>
            </wp:positionV>
            <wp:extent cx="713295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80% Base Rent and 20% Variable Rent</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4%</w:t>
      </w:r>
    </w:p>
    <w:p>
      <w:pPr>
        <w:spacing w:after="0" w:line="191" w:lineRule="exact"/>
        <w:rPr>
          <w:sz w:val="20"/>
          <w:szCs w:val="20"/>
          <w:color w:val="auto"/>
        </w:rPr>
      </w:pPr>
    </w:p>
    <w:p>
      <w:pPr>
        <w:sectPr>
          <w:pgSz w:w="11900" w:h="16838" w:orient="portrait"/>
          <w:cols w:equalWidth="0" w:num="2">
            <w:col w:w="2956" w:space="720"/>
            <w:col w:w="7564"/>
          </w:cols>
          <w:pgMar w:left="320" w:top="287"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January 1, 2021 through December 31, 2021.</w:t>
      </w:r>
    </w:p>
    <w:p>
      <w:pPr>
        <w:ind w:right="20" w:firstLine="8"/>
        <w:spacing w:after="0"/>
        <w:tabs>
          <w:tab w:leader="none" w:pos="211"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six months ended June 30, 2021 and 2020.</w:t>
      </w:r>
    </w:p>
    <w:p>
      <w:pPr>
        <w:spacing w:after="0" w:line="1" w:lineRule="exact"/>
        <w:rPr>
          <w:rFonts w:ascii="Arial" w:cs="Arial" w:eastAsia="Arial" w:hAnsi="Arial"/>
          <w:sz w:val="14"/>
          <w:szCs w:val="14"/>
          <w:i w:val="1"/>
          <w:iCs w:val="1"/>
          <w:color w:val="auto"/>
        </w:rPr>
      </w:pPr>
    </w:p>
    <w:p>
      <w:pPr>
        <w:jc w:val="both"/>
        <w:ind w:firstLine="8"/>
        <w:spacing w:after="0" w:line="247" w:lineRule="auto"/>
        <w:tabs>
          <w:tab w:leader="none" w:pos="204"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in each case multiplied by the Variable rent percentage.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JACK Cleveland/Thistledown Lease Agreement: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1/31/2040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29"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$65,880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three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3-4 - 1.0%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5-7 - 1.5%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Lease years 8-15 - The greater of 1.5% or the change in CPI capped at 2.5%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Net revenue to rent ratio floor</w:t>
            </w:r>
          </w:p>
        </w:tc>
        <w:tc>
          <w:tcPr>
            <w:tcW w:w="7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4.9x in any lease year (commencing in lease year 6) - if the coverage ratio is below the stated amount,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3"/>
            <w:vMerge w:val="continue"/>
            <w:shd w:val="clear" w:color="auto" w:fill="CCEEFF"/>
          </w:tcPr>
          <w:p>
            <w:pPr>
              <w:spacing w:after="0"/>
              <w:rPr>
                <w:sz w:val="11"/>
                <w:szCs w:val="11"/>
                <w:color w:val="auto"/>
              </w:rPr>
            </w:pPr>
          </w:p>
        </w:tc>
        <w:tc>
          <w:tcPr>
            <w:tcW w:w="7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there is no escalation in rent for such lease year</w:t>
            </w: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tcPr>
          <w:p>
            <w:pPr>
              <w:ind w:left="20"/>
              <w:spacing w:after="0"/>
              <w:rPr>
                <w:sz w:val="20"/>
                <w:szCs w:val="20"/>
                <w:color w:val="auto"/>
              </w:rPr>
            </w:pPr>
            <w:r>
              <w:rPr>
                <w:rFonts w:ascii="Arial" w:cs="Arial" w:eastAsia="Arial" w:hAnsi="Arial"/>
                <w:sz w:val="18"/>
                <w:szCs w:val="18"/>
                <w:color w:val="auto"/>
              </w:rPr>
              <w:t>Lease year 8, 11 and 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29"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4"/>
        </w:trPr>
        <w:tc>
          <w:tcPr>
            <w:tcW w:w="352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4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February 1, 2021 through January 31, 2022.</w:t>
      </w:r>
    </w:p>
    <w:p>
      <w:pPr>
        <w:ind w:right="20" w:firstLine="8"/>
        <w:spacing w:after="0"/>
        <w:tabs>
          <w:tab w:leader="none" w:pos="211"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six months ended June 30, 2021 and 2020.</w:t>
      </w:r>
    </w:p>
    <w:p>
      <w:pPr>
        <w:spacing w:after="0" w:line="1" w:lineRule="exact"/>
        <w:rPr>
          <w:rFonts w:ascii="Arial" w:cs="Arial" w:eastAsia="Arial" w:hAnsi="Arial"/>
          <w:sz w:val="14"/>
          <w:szCs w:val="14"/>
          <w:i w:val="1"/>
          <w:iCs w:val="1"/>
          <w:color w:val="auto"/>
        </w:rPr>
      </w:pPr>
    </w:p>
    <w:p>
      <w:pPr>
        <w:jc w:val="both"/>
        <w:ind w:firstLine="8"/>
        <w:spacing w:after="0" w:line="245" w:lineRule="auto"/>
        <w:tabs>
          <w:tab w:leader="none" w:pos="205"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(i) for lease year 8 as an increase or decrease of the average of net revenues for lease years 5 through 7 compared to the average net revenue for lease years 1 through 3, (ii) for lease year 11 as an increase or decrease of the average of net revenues for lease years 8 through 10 compared to the average net revenue for lease years 5 through 7, and (iii) for lease year 16 as an increase or decrease of the average of net revenues for lease years 13 through 15 compared to the average net revenue for lease years 8 through 10, in each case multiplied by the Variable rent percentage.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capital expenditure requirements of the respective tenants under the Caesars Lease Agreements:</w:t>
      </w:r>
    </w:p>
    <w:p>
      <w:pPr>
        <w:sectPr>
          <w:pgSz w:w="11900" w:h="16838" w:orient="portrait"/>
          <w:cols w:equalWidth="0" w:num="1">
            <w:col w:w="11240"/>
          </w:cols>
          <w:pgMar w:left="320" w:top="287" w:right="339" w:bottom="1440" w:gutter="0" w:footer="0" w:header="0"/>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vMerge w:val="restart"/>
          </w:tcPr>
          <w:p>
            <w:pPr>
              <w:ind w:left="1260"/>
              <w:spacing w:after="0"/>
              <w:rPr>
                <w:sz w:val="20"/>
                <w:szCs w:val="20"/>
                <w:color w:val="auto"/>
              </w:rPr>
            </w:pPr>
            <w:r>
              <w:rPr>
                <w:rFonts w:ascii="Arial" w:cs="Arial" w:eastAsia="Arial" w:hAnsi="Arial"/>
                <w:sz w:val="18"/>
                <w:szCs w:val="18"/>
                <w:b w:val="1"/>
                <w:bCs w:val="1"/>
                <w:color w:val="auto"/>
              </w:rPr>
              <w:t>Provision</w:t>
            </w:r>
          </w:p>
        </w:tc>
        <w:tc>
          <w:tcPr>
            <w:tcW w:w="80" w:type="dxa"/>
            <w:vAlign w:val="bottom"/>
            <w:vMerge w:val="restart"/>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Regional Master Lease Agreement and Joliet</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Lease Agreement</w:t>
            </w:r>
          </w:p>
        </w:tc>
        <w:tc>
          <w:tcPr>
            <w:tcW w:w="0" w:type="dxa"/>
            <w:vAlign w:val="bottom"/>
          </w:tcPr>
          <w:p>
            <w:pPr>
              <w:spacing w:after="0"/>
              <w:rPr>
                <w:sz w:val="1"/>
                <w:szCs w:val="1"/>
                <w:color w:val="auto"/>
              </w:rPr>
            </w:pPr>
          </w:p>
        </w:tc>
      </w:tr>
      <w:tr>
        <w:trPr>
          <w:trHeight w:val="372"/>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Yearly minimum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0" w:type="dxa"/>
            <w:vAlign w:val="bottom"/>
          </w:tcPr>
          <w:p>
            <w:pPr>
              <w:spacing w:after="0"/>
              <w:rPr>
                <w:sz w:val="1"/>
                <w:szCs w:val="1"/>
                <w:color w:val="auto"/>
              </w:rPr>
            </w:pPr>
          </w:p>
        </w:tc>
      </w:tr>
      <w:tr>
        <w:trPr>
          <w:trHeight w:val="254"/>
        </w:trPr>
        <w:tc>
          <w:tcPr>
            <w:tcW w:w="3340" w:type="dxa"/>
            <w:vAlign w:val="bottom"/>
            <w:gridSpan w:val="2"/>
          </w:tcPr>
          <w:p>
            <w:pPr>
              <w:ind w:left="20"/>
              <w:spacing w:after="0" w:line="254"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3"/>
                <w:szCs w:val="23"/>
                <w:i w:val="1"/>
                <w:iCs w:val="1"/>
                <w:color w:val="auto"/>
                <w:vertAlign w:val="superscript"/>
              </w:rPr>
              <w:t>(2)</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$311 million</w:t>
            </w:r>
          </w:p>
        </w:tc>
        <w:tc>
          <w:tcPr>
            <w:tcW w:w="0" w:type="dxa"/>
            <w:vAlign w:val="bottom"/>
          </w:tcPr>
          <w:p>
            <w:pPr>
              <w:spacing w:after="0"/>
              <w:rPr>
                <w:sz w:val="1"/>
                <w:szCs w:val="1"/>
                <w:color w:val="auto"/>
              </w:rPr>
            </w:pP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Initial minimum capital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98"/>
        </w:trPr>
        <w:tc>
          <w:tcPr>
            <w:tcW w:w="3260" w:type="dxa"/>
            <w:vAlign w:val="bottom"/>
          </w:tcPr>
          <w:p>
            <w:pPr>
              <w:spacing w:after="0"/>
              <w:rPr>
                <w:sz w:val="20"/>
                <w:szCs w:val="20"/>
                <w:color w:val="auto"/>
              </w:rPr>
            </w:pPr>
            <w:r>
              <w:rPr>
                <w:rFonts w:ascii="Arial" w:cs="Arial" w:eastAsia="Arial" w:hAnsi="Arial"/>
                <w:sz w:val="14"/>
                <w:szCs w:val="14"/>
                <w:color w:val="auto"/>
              </w:rPr>
              <w:t>____________________</w:t>
            </w:r>
          </w:p>
        </w:tc>
        <w:tc>
          <w:tcPr>
            <w:tcW w:w="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95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-744220</wp:posOffset>
            </wp:positionV>
            <wp:extent cx="7132955"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95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Las Vegas Master Lease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 of net revenues for CPLV (commencing in 2022 with</w:t>
      </w:r>
    </w:p>
    <w:p>
      <w:pPr>
        <w:jc w:val="center"/>
        <w:ind w:right="20"/>
        <w:spacing w:after="0" w:line="218" w:lineRule="auto"/>
        <w:rPr>
          <w:sz w:val="20"/>
          <w:szCs w:val="20"/>
          <w:color w:val="auto"/>
        </w:rPr>
      </w:pPr>
      <w:r>
        <w:rPr>
          <w:rFonts w:ascii="Arial" w:cs="Arial" w:eastAsia="Arial" w:hAnsi="Arial"/>
          <w:sz w:val="18"/>
          <w:szCs w:val="18"/>
          <w:color w:val="auto"/>
        </w:rPr>
        <w:t xml:space="preserve">respect to HLV) </w:t>
      </w:r>
      <w:r>
        <w:rPr>
          <w:rFonts w:ascii="Arial" w:cs="Arial" w:eastAsia="Arial" w:hAnsi="Arial"/>
          <w:sz w:val="23"/>
          <w:szCs w:val="23"/>
          <w:i w:val="1"/>
          <w:iCs w:val="1"/>
          <w:color w:val="auto"/>
          <w:vertAlign w:val="superscript"/>
        </w:rPr>
        <w:t>(1)</w:t>
      </w:r>
    </w:p>
    <w:p>
      <w:pPr>
        <w:jc w:val="center"/>
        <w:ind w:right="20"/>
        <w:spacing w:after="0"/>
        <w:rPr>
          <w:sz w:val="20"/>
          <w:szCs w:val="20"/>
          <w:color w:val="auto"/>
        </w:rPr>
      </w:pPr>
      <w:r>
        <w:rPr>
          <w:rFonts w:ascii="Arial" w:cs="Arial" w:eastAsia="Arial" w:hAnsi="Arial"/>
          <w:sz w:val="18"/>
          <w:szCs w:val="18"/>
          <w:color w:val="auto"/>
        </w:rPr>
        <w:t>$84 million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$171 million (2017 - 2021) (with respect solely to HLV)</w:t>
      </w:r>
    </w:p>
    <w:p>
      <w:pPr>
        <w:spacing w:after="0" w:line="365" w:lineRule="exact"/>
        <w:rPr>
          <w:sz w:val="20"/>
          <w:szCs w:val="20"/>
          <w:color w:val="auto"/>
        </w:rPr>
      </w:pPr>
    </w:p>
    <w:p>
      <w:pPr>
        <w:sectPr>
          <w:pgSz w:w="11900" w:h="16838" w:orient="portrait"/>
          <w:cols w:equalWidth="0" w:num="2">
            <w:col w:w="6980" w:space="120"/>
            <w:col w:w="4140"/>
          </w:cols>
          <w:pgMar w:left="320" w:top="287" w:right="339" w:bottom="1440" w:gutter="0" w:footer="0" w:header="0"/>
          <w:type w:val="continuous"/>
        </w:sectPr>
      </w:pPr>
    </w:p>
    <w:p>
      <w:pPr>
        <w:ind w:firstLine="8"/>
        <w:spacing w:after="0" w:line="249" w:lineRule="auto"/>
        <w:tabs>
          <w:tab w:leader="none" w:pos="227"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agreements require a $114.5 million floor on annual capital expenditures for Caesars Palace Las Vegas, Joliet and the Regional Master Lease Agreement properties in the aggregate. Additionally, annual building &amp; improvement capital improvements must be equal to or greater than 1% of prior year net revenues.</w:t>
      </w:r>
    </w:p>
    <w:p>
      <w:pPr>
        <w:spacing w:after="0" w:line="1" w:lineRule="exact"/>
        <w:rPr>
          <w:rFonts w:ascii="Arial" w:cs="Arial" w:eastAsia="Arial" w:hAnsi="Arial"/>
          <w:sz w:val="14"/>
          <w:szCs w:val="14"/>
          <w:i w:val="1"/>
          <w:iCs w:val="1"/>
          <w:color w:val="auto"/>
        </w:rPr>
      </w:pPr>
    </w:p>
    <w:p>
      <w:pPr>
        <w:jc w:val="both"/>
        <w:ind w:firstLine="8"/>
        <w:spacing w:after="0" w:line="244" w:lineRule="auto"/>
        <w:tabs>
          <w:tab w:leader="none" w:pos="217"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Certain tenants under the Caesars Lease Agreements, as applicable, are required to spend $405.2 million on capital expenditures (excluding gaming equipment) over a rolling three-year period, with $311.0 million allocated to the regional assets, $84.0 million allocated to Caesars Palace Las Vegas and the remaining balance of $10.2 million to facilities (other than the Harrah’s Las Vegas Facility) covered by any Caesars Lease Agreement in such proportion as such tenants may elect. Additionally, the tenants under the Regional Master Lease Agreement and Joliet Lease Agreement are required to expend a minimum of $566.7 million on capital expenditures (including gaming equipment) across certain of its affiliates and other assets, together with the $405.2 million requirement.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ongoing COVID-19 pandemic and its impact on operations and financial performance, we agreed with Caesars, to provide limited relief with respect to a portion of their capital expenditure obligations under the Las Vegas Master Lease Agreement, the Regional Master Lease Agreement and the Joliet Lease Agreement (which relief was subsequently adjusted on October 27, 2020 to provide for a proportionate adjustment to account for the addition of the MTA Properties to the Regional Master Lease Agreement). This relief is conditioned upon (i) expenditures by Caesars of certain minimum capital expenditures, (ii) timely payment of Caesars’ rent obligations under the Caesars Lease Agreements and (iii) no event of default occurring under any of the Caesars Lease Agreements during the applicable compliance period. If Caesars fails to satisfy any of the foregoing conditions, Caesars will be required to satisfy the capital expenditure obligations currently set forth in the Las Vegas Master Lease Agreement, the Regional Master Lease Agreement and the Joliet Lease Agreement.</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summarizes the capital expenditure requirements of the respective tenants under the Penn National Lease Agreements, Hard Rock Cincinnati Lease Agreement, Century Portfolio Lease Agreement and JACK Cleveland/Thistledown Lease Agreement: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Penn National Lease</w:t>
            </w: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4"/>
              </w:rPr>
              <w:t>Hard Rock Cincinnati</w:t>
            </w: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2"/>
              </w:rPr>
              <w:t>Century Portfolio</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JACK</w:t>
            </w:r>
          </w:p>
        </w:tc>
        <w:tc>
          <w:tcPr>
            <w:tcW w:w="0" w:type="dxa"/>
            <w:vAlign w:val="bottom"/>
          </w:tcPr>
          <w:p>
            <w:pPr>
              <w:spacing w:after="0"/>
              <w:rPr>
                <w:sz w:val="1"/>
                <w:szCs w:val="1"/>
                <w:color w:val="auto"/>
              </w:rPr>
            </w:pPr>
          </w:p>
        </w:tc>
      </w:tr>
      <w:tr>
        <w:trPr>
          <w:trHeight w:val="175"/>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Cleveland/Thistledown</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Agreements</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Lease Agreement</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8"/>
              </w:rPr>
              <w:t>1% of net revenues</w:t>
            </w: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Initial minimum of $30</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1"/>
              </w:rPr>
              <w:t>1% of net gaming</w:t>
            </w:r>
          </w:p>
        </w:tc>
        <w:tc>
          <w:tcPr>
            <w:tcW w:w="1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 xml:space="preserve">million </w:t>
            </w:r>
            <w:r>
              <w:rPr>
                <w:rFonts w:ascii="Arial" w:cs="Arial" w:eastAsia="Arial" w:hAnsi="Arial"/>
                <w:sz w:val="20"/>
                <w:szCs w:val="20"/>
                <w:i w:val="1"/>
                <w:iCs w:val="1"/>
                <w:color w:val="auto"/>
                <w:vertAlign w:val="superscript"/>
              </w:rPr>
              <w:t>(2)</w:t>
            </w:r>
          </w:p>
        </w:tc>
        <w:tc>
          <w:tcPr>
            <w:tcW w:w="0" w:type="dxa"/>
            <w:vAlign w:val="bottom"/>
          </w:tcPr>
          <w:p>
            <w:pPr>
              <w:spacing w:after="0"/>
              <w:rPr>
                <w:sz w:val="1"/>
                <w:szCs w:val="1"/>
                <w:color w:val="auto"/>
              </w:rPr>
            </w:pPr>
          </w:p>
        </w:tc>
      </w:tr>
      <w:tr>
        <w:trPr>
          <w:trHeight w:val="81"/>
        </w:trPr>
        <w:tc>
          <w:tcPr>
            <w:tcW w:w="34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 expenditure</w:t>
            </w: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based on rolling four-</w:t>
            </w:r>
          </w:p>
        </w:tc>
        <w:tc>
          <w:tcPr>
            <w:tcW w:w="19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1960" w:type="dxa"/>
            <w:vAlign w:val="bottom"/>
            <w:gridSpan w:val="2"/>
            <w:vMerge w:val="continue"/>
            <w:shd w:val="clear" w:color="auto" w:fill="CCEEFF"/>
          </w:tcPr>
          <w:p>
            <w:pPr>
              <w:spacing w:after="0"/>
              <w:rPr>
                <w:sz w:val="7"/>
                <w:szCs w:val="7"/>
                <w:color w:val="auto"/>
              </w:rPr>
            </w:pP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Thereafter - 1% of net</w:t>
            </w:r>
          </w:p>
        </w:tc>
        <w:tc>
          <w:tcPr>
            <w:tcW w:w="0" w:type="dxa"/>
            <w:vAlign w:val="bottom"/>
          </w:tcPr>
          <w:p>
            <w:pPr>
              <w:spacing w:after="0"/>
              <w:rPr>
                <w:sz w:val="1"/>
                <w:szCs w:val="1"/>
                <w:color w:val="auto"/>
              </w:rPr>
            </w:pPr>
          </w:p>
        </w:tc>
      </w:tr>
      <w:tr>
        <w:trPr>
          <w:trHeight w:val="175"/>
        </w:trPr>
        <w:tc>
          <w:tcPr>
            <w:tcW w:w="3460" w:type="dxa"/>
            <w:vAlign w:val="bottom"/>
            <w:gridSpan w:val="2"/>
            <w:vMerge w:val="continue"/>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960" w:type="dxa"/>
            <w:vAlign w:val="bottom"/>
            <w:gridSpan w:val="2"/>
            <w:vMerge w:val="continue"/>
            <w:shd w:val="clear" w:color="auto" w:fill="CCEEFF"/>
          </w:tcPr>
          <w:p>
            <w:pPr>
              <w:spacing w:after="0"/>
              <w:rPr>
                <w:sz w:val="15"/>
                <w:szCs w:val="15"/>
                <w:color w:val="auto"/>
              </w:rPr>
            </w:pPr>
          </w:p>
        </w:tc>
        <w:tc>
          <w:tcPr>
            <w:tcW w:w="1960" w:type="dxa"/>
            <w:vAlign w:val="bottom"/>
            <w:gridSpan w:val="2"/>
            <w:shd w:val="clear" w:color="auto" w:fill="CCEEFF"/>
          </w:tcPr>
          <w:p>
            <w:pPr>
              <w:jc w:val="center"/>
              <w:ind w:right="100"/>
              <w:spacing w:after="0" w:line="175" w:lineRule="exact"/>
              <w:rPr>
                <w:sz w:val="20"/>
                <w:szCs w:val="20"/>
                <w:color w:val="auto"/>
              </w:rPr>
            </w:pPr>
            <w:r>
              <w:rPr>
                <w:rFonts w:ascii="Arial" w:cs="Arial" w:eastAsia="Arial" w:hAnsi="Arial"/>
                <w:sz w:val="16"/>
                <w:szCs w:val="16"/>
                <w:color w:val="auto"/>
                <w:w w:val="94"/>
              </w:rPr>
              <w:t xml:space="preserve">revenues </w:t>
            </w:r>
            <w:r>
              <w:rPr>
                <w:rFonts w:ascii="Arial" w:cs="Arial" w:eastAsia="Arial" w:hAnsi="Arial"/>
                <w:sz w:val="20"/>
                <w:szCs w:val="20"/>
                <w:i w:val="1"/>
                <w:iCs w:val="1"/>
                <w:color w:val="auto"/>
                <w:w w:val="94"/>
                <w:vertAlign w:val="superscript"/>
              </w:rPr>
              <w:t>(1)</w:t>
            </w:r>
          </w:p>
        </w:tc>
        <w:tc>
          <w:tcPr>
            <w:tcW w:w="1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940" w:type="dxa"/>
            <w:vAlign w:val="bottom"/>
            <w:gridSpan w:val="2"/>
            <w:shd w:val="clear" w:color="auto" w:fill="CCEEFF"/>
          </w:tcPr>
          <w:p>
            <w:pPr>
              <w:jc w:val="center"/>
              <w:ind w:right="100"/>
              <w:spacing w:after="0" w:line="94" w:lineRule="exact"/>
              <w:rPr>
                <w:sz w:val="20"/>
                <w:szCs w:val="20"/>
                <w:color w:val="auto"/>
              </w:rPr>
            </w:pPr>
            <w:r>
              <w:rPr>
                <w:rFonts w:ascii="Arial" w:cs="Arial" w:eastAsia="Arial" w:hAnsi="Arial"/>
                <w:sz w:val="10"/>
                <w:szCs w:val="10"/>
                <w:color w:val="auto"/>
              </w:rPr>
              <w:t>year basis</w:t>
            </w:r>
          </w:p>
        </w:tc>
        <w:tc>
          <w:tcPr>
            <w:tcW w:w="1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60" w:type="dxa"/>
            <w:vAlign w:val="bottom"/>
            <w:shd w:val="clear" w:color="auto" w:fill="CCEEFF"/>
          </w:tcPr>
          <w:p>
            <w:pPr>
              <w:jc w:val="center"/>
              <w:spacing w:after="0" w:line="94" w:lineRule="exact"/>
              <w:rPr>
                <w:sz w:val="20"/>
                <w:szCs w:val="20"/>
                <w:color w:val="auto"/>
              </w:rPr>
            </w:pPr>
            <w:r>
              <w:rPr>
                <w:rFonts w:ascii="Arial" w:cs="Arial" w:eastAsia="Arial" w:hAnsi="Arial"/>
                <w:sz w:val="10"/>
                <w:szCs w:val="10"/>
                <w:color w:val="auto"/>
              </w:rPr>
              <w:t>revenues on a rolling</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three-year basis</w:t>
            </w:r>
          </w:p>
        </w:tc>
        <w:tc>
          <w:tcPr>
            <w:tcW w:w="0" w:type="dxa"/>
            <w:vAlign w:val="bottom"/>
          </w:tcPr>
          <w:p>
            <w:pPr>
              <w:spacing w:after="0"/>
              <w:rPr>
                <w:sz w:val="1"/>
                <w:szCs w:val="1"/>
                <w:color w:val="auto"/>
              </w:rPr>
            </w:pPr>
          </w:p>
        </w:tc>
      </w:tr>
      <w:tr>
        <w:trPr>
          <w:trHeight w:val="357"/>
        </w:trPr>
        <w:tc>
          <w:tcPr>
            <w:tcW w:w="336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8"/>
        <w:spacing w:after="0"/>
        <w:tabs>
          <w:tab w:leader="none" w:pos="21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 In May 2020, in connection with the ongoing COVID-19 pandemic and its impact on operations and financial performance, we agreed to waive Century’s capital expenditure requirements for 2020 and defer to not later than December 31, 2021 certain other expenditures contemplated in connection with the underwriting of the acquired casino properties, conditioned upon (i) Century’s timely payment of rent obligations under the Century Portfolio Lease Agreement during the compliance period set forth in the amendment and (ii) no tenant event of default occurring under the Century Portfolio Lease Agreement during the compliance period set forth in the amendment. If Century fails to satisfy any of the foregoing conditions, Century will be required to satisfy the capital expenditure obligations set forth in the Century Portfolio Lease Agreement or, in certain cases, to deposit amounts in respect thereof into a capital expenditure reserve for expenditure in accordance with the amendment.</w:t>
      </w:r>
    </w:p>
    <w:p>
      <w:pPr>
        <w:spacing w:after="0" w:line="4" w:lineRule="exact"/>
        <w:rPr>
          <w:rFonts w:ascii="Arial" w:cs="Arial" w:eastAsia="Arial" w:hAnsi="Arial"/>
          <w:sz w:val="14"/>
          <w:szCs w:val="14"/>
          <w:i w:val="1"/>
          <w:iCs w:val="1"/>
          <w:color w:val="auto"/>
        </w:rPr>
      </w:pPr>
    </w:p>
    <w:p>
      <w:pPr>
        <w:ind w:firstLine="8"/>
        <w:spacing w:after="0" w:line="254" w:lineRule="auto"/>
        <w:tabs>
          <w:tab w:leader="none" w:pos="231"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 which includes $18.0 million advanced by us and expended by JACK Entertainment for the construction of the new gaming patio amenity at JACK Thistledown Racino (which construction was completed in the first quarter of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June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gridSpan w:val="4"/>
          </w:tcPr>
          <w:p>
            <w:pPr>
              <w:ind w:left="2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620"/>
              <w:spacing w:after="0"/>
              <w:rPr>
                <w:sz w:val="20"/>
                <w:szCs w:val="20"/>
                <w:color w:val="auto"/>
              </w:rPr>
            </w:pPr>
            <w:r>
              <w:rPr>
                <w:rFonts w:ascii="Arial" w:cs="Arial" w:eastAsia="Arial" w:hAnsi="Arial"/>
                <w:sz w:val="16"/>
                <w:szCs w:val="16"/>
                <w:b w:val="1"/>
                <w:bCs w:val="1"/>
                <w:color w:val="auto"/>
              </w:rPr>
              <w:t>June 30, 2021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8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rPr>
              <w:t>Principal</w:t>
            </w: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3"/>
                <w:szCs w:val="13"/>
                <w:color w:val="auto"/>
              </w:rPr>
            </w:pPr>
          </w:p>
        </w:tc>
        <w:tc>
          <w:tcPr>
            <w:tcW w:w="14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Future Funding</w:t>
            </w: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Final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Balance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3"/>
              <w:spacing w:after="0" w:line="216"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i w:val="1"/>
                <w:i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Maturity</w:t>
            </w:r>
            <w:r>
              <w:rPr>
                <w:rFonts w:ascii="Arial" w:cs="Arial" w:eastAsia="Arial" w:hAnsi="Arial"/>
                <w:sz w:val="21"/>
                <w:szCs w:val="21"/>
                <w:b w:val="1"/>
                <w:bCs w:val="1"/>
                <w:i w:val="1"/>
                <w:iCs w:val="1"/>
                <w:color w:val="auto"/>
                <w:vertAlign w:val="superscript"/>
              </w:rPr>
              <w:t>(4)</w:t>
            </w:r>
          </w:p>
        </w:tc>
        <w:tc>
          <w:tcPr>
            <w:tcW w:w="0" w:type="dxa"/>
            <w:vAlign w:val="bottom"/>
          </w:tcPr>
          <w:p>
            <w:pPr>
              <w:spacing w:after="0"/>
              <w:rPr>
                <w:sz w:val="1"/>
                <w:szCs w:val="1"/>
                <w:color w:val="auto"/>
              </w:rPr>
            </w:pPr>
          </w:p>
        </w:tc>
      </w:tr>
      <w:tr>
        <w:trPr>
          <w:trHeight w:val="169"/>
        </w:trPr>
        <w:tc>
          <w:tcPr>
            <w:tcW w:w="306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Senior Secured</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400,041</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9/18/2025</w:t>
            </w:r>
          </w:p>
        </w:tc>
        <w:tc>
          <w:tcPr>
            <w:tcW w:w="0" w:type="dxa"/>
            <w:vAlign w:val="bottom"/>
          </w:tcPr>
          <w:p>
            <w:pPr>
              <w:spacing w:after="0"/>
              <w:rPr>
                <w:sz w:val="1"/>
                <w:szCs w:val="1"/>
                <w:color w:val="auto"/>
              </w:rPr>
            </w:pPr>
          </w:p>
        </w:tc>
      </w:tr>
      <w:tr>
        <w:trPr>
          <w:trHeight w:val="229"/>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Loan</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Chelsea Piers Mortgage Loan</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Senior Secured</w:t>
            </w:r>
          </w:p>
        </w:tc>
        <w:tc>
          <w:tcPr>
            <w:tcW w:w="980" w:type="dxa"/>
            <w:vAlign w:val="bottom"/>
          </w:tcPr>
          <w:p>
            <w:pPr>
              <w:jc w:val="right"/>
              <w:spacing w:after="0"/>
              <w:rPr>
                <w:sz w:val="20"/>
                <w:szCs w:val="20"/>
                <w:color w:val="auto"/>
              </w:rPr>
            </w:pPr>
            <w:r>
              <w:rPr>
                <w:rFonts w:ascii="Arial" w:cs="Arial" w:eastAsia="Arial" w:hAnsi="Arial"/>
                <w:sz w:val="18"/>
                <w:szCs w:val="18"/>
                <w:color w:val="auto"/>
              </w:rPr>
              <w:t>65,000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8/31/2027</w:t>
            </w:r>
          </w:p>
        </w:tc>
        <w:tc>
          <w:tcPr>
            <w:tcW w:w="0" w:type="dxa"/>
            <w:vAlign w:val="bottom"/>
          </w:tcPr>
          <w:p>
            <w:pPr>
              <w:spacing w:after="0"/>
              <w:rPr>
                <w:sz w:val="1"/>
                <w:szCs w:val="1"/>
                <w:color w:val="auto"/>
              </w:rPr>
            </w:pPr>
          </w:p>
        </w:tc>
      </w:tr>
      <w:tr>
        <w:trPr>
          <w:trHeight w:val="229"/>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Amended and Restated ROV Loan</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ROV Term Loan</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Senior Secured</w:t>
            </w:r>
          </w:p>
        </w:tc>
        <w:tc>
          <w:tcPr>
            <w:tcW w:w="98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ROV Credit Facility</w:t>
            </w:r>
          </w:p>
        </w:tc>
        <w:tc>
          <w:tcPr>
            <w:tcW w:w="1720" w:type="dxa"/>
            <w:vAlign w:val="bottom"/>
            <w:gridSpan w:val="3"/>
            <w:shd w:val="clear" w:color="auto" w:fill="CCEEFF"/>
          </w:tcPr>
          <w:p>
            <w:pPr>
              <w:jc w:val="center"/>
              <w:ind w:right="170"/>
              <w:spacing w:after="0"/>
              <w:rPr>
                <w:sz w:val="20"/>
                <w:szCs w:val="20"/>
                <w:color w:val="auto"/>
              </w:rPr>
            </w:pPr>
            <w:r>
              <w:rPr>
                <w:rFonts w:ascii="Arial" w:cs="Arial" w:eastAsia="Arial" w:hAnsi="Arial"/>
                <w:sz w:val="18"/>
                <w:szCs w:val="18"/>
                <w:color w:val="auto"/>
                <w:w w:val="88"/>
              </w:rPr>
              <w:t>Senior Secured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1/24/2027</w:t>
            </w:r>
          </w:p>
        </w:tc>
        <w:tc>
          <w:tcPr>
            <w:tcW w:w="0" w:type="dxa"/>
            <w:vAlign w:val="bottom"/>
          </w:tcPr>
          <w:p>
            <w:pPr>
              <w:spacing w:after="0"/>
              <w:rPr>
                <w:sz w:val="1"/>
                <w:szCs w:val="1"/>
                <w:color w:val="auto"/>
              </w:rPr>
            </w:pPr>
          </w:p>
        </w:tc>
      </w:tr>
      <w:tr>
        <w:trPr>
          <w:trHeight w:val="229"/>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Great Wolf Mezzanine Loan</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Mezzanine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79,500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7/9/2026</w:t>
            </w:r>
          </w:p>
        </w:tc>
        <w:tc>
          <w:tcPr>
            <w:tcW w:w="0" w:type="dxa"/>
            <w:vAlign w:val="bottom"/>
          </w:tcPr>
          <w:p>
            <w:pPr>
              <w:spacing w:after="0"/>
              <w:rPr>
                <w:sz w:val="1"/>
                <w:szCs w:val="1"/>
                <w:color w:val="auto"/>
              </w:rPr>
            </w:pPr>
          </w:p>
        </w:tc>
      </w:tr>
      <w:tr>
        <w:trPr>
          <w:trHeight w:val="247"/>
        </w:trPr>
        <w:tc>
          <w:tcPr>
            <w:tcW w:w="31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gridSpan w:val="4"/>
          </w:tcPr>
          <w:p>
            <w:pPr>
              <w:ind w:left="2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420"/>
              <w:spacing w:after="0"/>
              <w:rPr>
                <w:sz w:val="20"/>
                <w:szCs w:val="20"/>
                <w:color w:val="auto"/>
              </w:rPr>
            </w:pPr>
            <w:r>
              <w:rPr>
                <w:rFonts w:ascii="Arial" w:cs="Arial" w:eastAsia="Arial" w:hAnsi="Arial"/>
                <w:sz w:val="16"/>
                <w:szCs w:val="16"/>
                <w:b w:val="1"/>
                <w:bCs w:val="1"/>
                <w:color w:val="auto"/>
              </w:rPr>
              <w:t>December 31, 2020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Loan Type</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Principal</w:t>
            </w:r>
          </w:p>
        </w:tc>
        <w:tc>
          <w:tcPr>
            <w:tcW w:w="180" w:type="dxa"/>
            <w:vAlign w:val="bottom"/>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3"/>
                <w:szCs w:val="13"/>
                <w:color w:val="auto"/>
              </w:rPr>
            </w:pPr>
          </w:p>
        </w:tc>
        <w:tc>
          <w:tcPr>
            <w:tcW w:w="14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Future Funding</w:t>
            </w: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ind w:left="400"/>
              <w:spacing w:after="0" w:line="155" w:lineRule="exact"/>
              <w:rPr>
                <w:sz w:val="20"/>
                <w:szCs w:val="20"/>
                <w:color w:val="auto"/>
              </w:rPr>
            </w:pPr>
            <w:r>
              <w:rPr>
                <w:rFonts w:ascii="Arial" w:cs="Arial" w:eastAsia="Arial" w:hAnsi="Arial"/>
                <w:sz w:val="16"/>
                <w:szCs w:val="16"/>
                <w:b w:val="1"/>
                <w:bCs w:val="1"/>
                <w:color w:val="auto"/>
              </w:rPr>
              <w:t>Final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4"/>
              <w:spacing w:after="0" w:line="216"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Maturity</w:t>
            </w:r>
            <w:r>
              <w:rPr>
                <w:rFonts w:ascii="Arial" w:cs="Arial" w:eastAsia="Arial" w:hAnsi="Arial"/>
                <w:sz w:val="21"/>
                <w:szCs w:val="21"/>
                <w:b w:val="1"/>
                <w:bCs w:val="1"/>
                <w:i w:val="1"/>
                <w:iCs w:val="1"/>
                <w:color w:val="auto"/>
                <w:vertAlign w:val="superscript"/>
              </w:rPr>
              <w:t>(4)</w:t>
            </w:r>
          </w:p>
        </w:tc>
        <w:tc>
          <w:tcPr>
            <w:tcW w:w="0" w:type="dxa"/>
            <w:vAlign w:val="bottom"/>
          </w:tcPr>
          <w:p>
            <w:pPr>
              <w:spacing w:after="0"/>
              <w:rPr>
                <w:sz w:val="1"/>
                <w:szCs w:val="1"/>
                <w:color w:val="auto"/>
              </w:rPr>
            </w:pPr>
          </w:p>
        </w:tc>
      </w:tr>
      <w:tr>
        <w:trPr>
          <w:trHeight w:val="169"/>
        </w:trPr>
        <w:tc>
          <w:tcPr>
            <w:tcW w:w="306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7"/>
              </w:rPr>
              <w:t>Senior Secured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400,045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w w:val="89"/>
              </w:rPr>
              <w:t>9/18/2025</w:t>
            </w:r>
          </w:p>
        </w:tc>
        <w:tc>
          <w:tcPr>
            <w:tcW w:w="0" w:type="dxa"/>
            <w:vAlign w:val="bottom"/>
          </w:tcPr>
          <w:p>
            <w:pPr>
              <w:spacing w:after="0"/>
              <w:rPr>
                <w:sz w:val="1"/>
                <w:szCs w:val="1"/>
                <w:color w:val="auto"/>
              </w:rPr>
            </w:pPr>
          </w:p>
        </w:tc>
      </w:tr>
      <w:tr>
        <w:trPr>
          <w:trHeight w:val="229"/>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Loan</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4"/>
          </w:tcPr>
          <w:p>
            <w:pPr>
              <w:ind w:left="20"/>
              <w:spacing w:after="0"/>
              <w:rPr>
                <w:sz w:val="20"/>
                <w:szCs w:val="20"/>
                <w:color w:val="auto"/>
              </w:rPr>
            </w:pPr>
            <w:r>
              <w:rPr>
                <w:rFonts w:ascii="Arial" w:cs="Arial" w:eastAsia="Arial" w:hAnsi="Arial"/>
                <w:sz w:val="18"/>
                <w:szCs w:val="18"/>
                <w:color w:val="auto"/>
              </w:rPr>
              <w:t>Chelsea Piers Mortgage Loan</w:t>
            </w:r>
          </w:p>
        </w:tc>
        <w:tc>
          <w:tcPr>
            <w:tcW w:w="1720" w:type="dxa"/>
            <w:vAlign w:val="bottom"/>
            <w:gridSpan w:val="3"/>
          </w:tcPr>
          <w:p>
            <w:pPr>
              <w:jc w:val="center"/>
              <w:ind w:right="190"/>
              <w:spacing w:after="0"/>
              <w:rPr>
                <w:sz w:val="20"/>
                <w:szCs w:val="20"/>
                <w:color w:val="auto"/>
              </w:rPr>
            </w:pPr>
            <w:r>
              <w:rPr>
                <w:rFonts w:ascii="Arial" w:cs="Arial" w:eastAsia="Arial" w:hAnsi="Arial"/>
                <w:sz w:val="18"/>
                <w:szCs w:val="18"/>
                <w:color w:val="auto"/>
                <w:w w:val="87"/>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9"/>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Amended and Restated ROV Loan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ROV Term Loan</w:t>
            </w:r>
          </w:p>
        </w:tc>
        <w:tc>
          <w:tcPr>
            <w:tcW w:w="1720" w:type="dxa"/>
            <w:vAlign w:val="bottom"/>
            <w:gridSpan w:val="3"/>
          </w:tcPr>
          <w:p>
            <w:pPr>
              <w:jc w:val="center"/>
              <w:ind w:right="190"/>
              <w:spacing w:after="0"/>
              <w:rPr>
                <w:sz w:val="20"/>
                <w:szCs w:val="20"/>
                <w:color w:val="auto"/>
              </w:rPr>
            </w:pPr>
            <w:r>
              <w:rPr>
                <w:rFonts w:ascii="Arial" w:cs="Arial" w:eastAsia="Arial" w:hAnsi="Arial"/>
                <w:sz w:val="18"/>
                <w:szCs w:val="18"/>
                <w:color w:val="auto"/>
                <w:w w:val="87"/>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ROV Credit Facility</w:t>
            </w:r>
          </w:p>
        </w:tc>
        <w:tc>
          <w:tcPr>
            <w:tcW w:w="172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87"/>
              </w:rPr>
              <w:t>Senior Secured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2"/>
        </w:trPr>
        <w:tc>
          <w:tcPr>
            <w:tcW w:w="316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loan origination costs and allowance for credit losses.</w:t>
      </w:r>
    </w:p>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ind w:firstLine="8"/>
        <w:spacing w:after="0"/>
        <w:tabs>
          <w:tab w:leader="none" w:pos="21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current interest rate per annum. The interest rate of the Forum Convention Center Mortgage Loan is subject to 2.0% annual escalation (resulting in a year two interest rate of 7.854%).</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assumes all extension options are exercised; however, our loans may be repaid, subject to certain conditions, prior to such date.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Allowance for Credit Losses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326</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1, 2020, we adopted ASC 326 and, as a result, we are required to estimate and record non-cash credit losses related to our historical and any future investments in sales-type leases, lease financing receivables and loans. Upon adoption, we recorded a $309.4 million cumulative adjustment, representing a 2.88% CECL allowance. Such amount was recorded as a cumulative-effect adjustment to our opening balance sheet with a reduction in our Investments in leases - sales-type and a corresponding charge to retained (deficit)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and six months ended June 30, 2021, we recognized a $29.1 million and $33.5 million decrease, respectively, in our allowance for credit losses primarily driven by (i) the decrease in the reasonable and supportable period, or R&amp;S Period, probability of default, or PD, of our tenants and their parent guarantors as a result of an improvement in their economic outlook due to the reopening of all of their gaming operations and relative performance of such operations during the first and second quarters of 2021, (ii) the decrease in the Long-Term Period PD due to an upgrade of the credit rating of the senior secured debt used to determine the Long-Term Period PD for two of our tenants during the second quarter of 2021 and (iii) the decrease in the R&amp;S Period PD and loss given default, or LGD, as a result of standard annual updates that were made to the inputs and assumptions in the model that we utilize to estimate our CECL allowance.</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months ended June 30, 2020, we recognized a $65.5 million decrease in our allowance for credit losses. This decrease was primarily driven by a decrease in the R&amp;S Period PD of our tenants and their parent guarantors as a result of an improvement in their economic outlook due to the partial reopening of a majority of their gaming operations. During the six months ended June 30, 2020, we recognized a $84.0 million increase in our allowance for credit losses. This increase was primarily driven by (i) an increase in the R&amp;S Period PD and LGD of our tenants and their parent guarantors due to decreases in the equity market capitalization of the stock of the parent public-entities of certain of our tenants due to the uncertain economic conditions caused by the COVID-19 pandemic and closure of the tenants operations at our properties during such period, as well as the utilization of forecasted scenarios that incorporated the expected negative impact of the COVID-19 pandemic on the economy, (ii) an increase in the Long-Term Period PD of our tenants due to downgrades on certain of the credit ratings of our tenants’ senior secured debt and (iii) an increase related to our initial investments in JACK Cleveland/Thistledown and the ROV Loan in January 2020. This increase was partially offset by the decrease for the three months ended June 30, 2020.</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As of June 30, 2021 and December 31, 2020, and since our formation date on October 6, 2017, all of our Lease Agreements and loan investments are current in payment of their obligations to us and no investments are on non-accrual status.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the allowance for credit losses as of June 30, 2021 and December 31,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90"/>
              </w:rPr>
              <w:t>June 30, 2021</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3"/>
                <w:szCs w:val="13"/>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7"/>
              </w:rPr>
              <w:t xml:space="preserve">Allowance </w:t>
            </w:r>
            <w:r>
              <w:rPr>
                <w:rFonts w:ascii="Arial" w:cs="Arial" w:eastAsia="Arial" w:hAnsi="Arial"/>
                <w:sz w:val="21"/>
                <w:szCs w:val="21"/>
                <w:b w:val="1"/>
                <w:bCs w:val="1"/>
                <w:color w:val="auto"/>
                <w:w w:val="87"/>
                <w:vertAlign w:val="superscript"/>
              </w:rPr>
              <w:t>(1)</w:t>
            </w:r>
          </w:p>
        </w:tc>
        <w:tc>
          <w:tcPr>
            <w:tcW w:w="20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Allowance as a % of</w:t>
            </w:r>
          </w:p>
        </w:tc>
        <w:tc>
          <w:tcPr>
            <w:tcW w:w="0" w:type="dxa"/>
            <w:vAlign w:val="bottom"/>
          </w:tcPr>
          <w:p>
            <w:pPr>
              <w:spacing w:after="0"/>
              <w:rPr>
                <w:sz w:val="1"/>
                <w:szCs w:val="1"/>
                <w:color w:val="auto"/>
              </w:rPr>
            </w:pPr>
          </w:p>
        </w:tc>
      </w:tr>
      <w:tr>
        <w:trPr>
          <w:trHeight w:val="175"/>
        </w:trPr>
        <w:tc>
          <w:tcPr>
            <w:tcW w:w="41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13,098,853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29"/>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2,724,389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2,643,648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9"/>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505,262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277,529</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17,043,962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16,525,292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90"/>
              </w:rPr>
              <w:t>December 31, 2020</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3"/>
                <w:szCs w:val="13"/>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0"/>
              </w:rPr>
              <w:t>Allowance</w:t>
            </w:r>
          </w:p>
        </w:tc>
        <w:tc>
          <w:tcPr>
            <w:tcW w:w="20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Allowance as a % of</w:t>
            </w:r>
          </w:p>
        </w:tc>
        <w:tc>
          <w:tcPr>
            <w:tcW w:w="0" w:type="dxa"/>
            <w:vAlign w:val="bottom"/>
          </w:tcPr>
          <w:p>
            <w:pPr>
              <w:spacing w:after="0"/>
              <w:rPr>
                <w:sz w:val="1"/>
                <w:szCs w:val="1"/>
                <w:color w:val="auto"/>
              </w:rPr>
            </w:pPr>
          </w:p>
        </w:tc>
      </w:tr>
      <w:tr>
        <w:trPr>
          <w:trHeight w:val="175"/>
        </w:trPr>
        <w:tc>
          <w:tcPr>
            <w:tcW w:w="41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9"/>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2,709,520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29"/>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277,482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16,460,409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firstLine="8"/>
        <w:spacing w:after="0" w:line="254" w:lineRule="auto"/>
        <w:tabs>
          <w:tab w:leader="none" w:pos="204"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allowance excludes the CECL allowance for unfunded loan commitments. As of June 30, 2021, such allowance is $1.7 million and is recorded in Other liabilities. As of December 31, 2020, there was no CECL allowance related to unfunded loan commitments.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reflects the roll-forward of the allowance for credit losses on our real estate portfolio for the six months ended June 30, 2021 and 2020:</w:t>
      </w:r>
    </w:p>
    <w:p>
      <w:pPr>
        <w:spacing w:after="0" w:line="342"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771"/>
              <w:spacing w:after="0" w:line="175"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2"/>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December 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gridSpan w:val="3"/>
          </w:tcPr>
          <w:p>
            <w:pPr>
              <w:ind w:left="20"/>
              <w:spacing w:after="0"/>
              <w:rPr>
                <w:sz w:val="20"/>
                <w:szCs w:val="20"/>
                <w:color w:val="auto"/>
              </w:rPr>
            </w:pPr>
            <w:r>
              <w:rPr>
                <w:rFonts w:ascii="Arial" w:cs="Arial" w:eastAsia="Arial" w:hAnsi="Arial"/>
                <w:sz w:val="18"/>
                <w:szCs w:val="18"/>
                <w:color w:val="auto"/>
              </w:rPr>
              <w:t>Initial allowance upon adoption</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309,362</w:t>
            </w:r>
          </w:p>
        </w:tc>
      </w:tr>
      <w:tr>
        <w:trPr>
          <w:trHeight w:val="229"/>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Initial allowance from current period investments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w:t>
            </w:r>
          </w:p>
        </w:tc>
      </w:tr>
      <w:tr>
        <w:trPr>
          <w:trHeight w:val="229"/>
        </w:trPr>
        <w:tc>
          <w:tcPr>
            <w:tcW w:w="7040" w:type="dxa"/>
            <w:vAlign w:val="bottom"/>
            <w:gridSpan w:val="3"/>
          </w:tcPr>
          <w:p>
            <w:pPr>
              <w:ind w:left="20"/>
              <w:spacing w:after="0"/>
              <w:rPr>
                <w:sz w:val="20"/>
                <w:szCs w:val="20"/>
                <w:color w:val="auto"/>
              </w:rPr>
            </w:pPr>
            <w:r>
              <w:rPr>
                <w:rFonts w:ascii="Arial" w:cs="Arial" w:eastAsia="Arial" w:hAnsi="Arial"/>
                <w:sz w:val="18"/>
                <w:szCs w:val="18"/>
                <w:color w:val="auto"/>
              </w:rPr>
              <w:t>Current period change in credit allowance</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(35,209)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61,870</w:t>
            </w:r>
          </w:p>
        </w:tc>
      </w:tr>
      <w:tr>
        <w:trPr>
          <w:trHeight w:val="229"/>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gridSpan w:val="3"/>
          </w:tcPr>
          <w:p>
            <w:pPr>
              <w:ind w:left="20"/>
              <w:spacing w:after="0"/>
              <w:rPr>
                <w:sz w:val="20"/>
                <w:szCs w:val="20"/>
                <w:color w:val="auto"/>
              </w:rPr>
            </w:pPr>
            <w:r>
              <w:rPr>
                <w:rFonts w:ascii="Arial" w:cs="Arial" w:eastAsia="Arial" w:hAnsi="Arial"/>
                <w:sz w:val="18"/>
                <w:szCs w:val="18"/>
                <w:color w:val="auto"/>
              </w:rPr>
              <w:t>Recoveries</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0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June 30,</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2021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1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4"/>
                <w:szCs w:val="14"/>
                <w:color w:val="auto"/>
              </w:rPr>
            </w:pPr>
          </w:p>
        </w:tc>
        <w:tc>
          <w:tcPr>
            <w:tcW w:w="1020" w:type="dxa"/>
            <w:vAlign w:val="bottom"/>
            <w:gridSpan w:val="4"/>
          </w:tcPr>
          <w:p>
            <w:pPr>
              <w:ind w:left="180"/>
              <w:spacing w:after="0" w:line="171" w:lineRule="exact"/>
              <w:rPr>
                <w:sz w:val="20"/>
                <w:szCs w:val="20"/>
                <w:color w:val="auto"/>
              </w:rPr>
            </w:pPr>
            <w:r>
              <w:rPr>
                <w:rFonts w:ascii="Arial" w:cs="Arial" w:eastAsia="Arial" w:hAnsi="Arial"/>
                <w:sz w:val="16"/>
                <w:szCs w:val="16"/>
                <w:b w:val="1"/>
                <w:bCs w:val="1"/>
                <w:color w:val="auto"/>
              </w:rPr>
              <w:t>Ba2</w:t>
            </w:r>
          </w:p>
        </w:tc>
        <w:tc>
          <w:tcPr>
            <w:tcW w:w="280" w:type="dxa"/>
            <w:vAlign w:val="bottom"/>
          </w:tcPr>
          <w:p>
            <w:pPr>
              <w:spacing w:after="0"/>
              <w:rPr>
                <w:sz w:val="14"/>
                <w:szCs w:val="14"/>
                <w:color w:val="auto"/>
              </w:rPr>
            </w:pPr>
          </w:p>
        </w:tc>
        <w:tc>
          <w:tcPr>
            <w:tcW w:w="940" w:type="dxa"/>
            <w:vAlign w:val="bottom"/>
            <w:gridSpan w:val="2"/>
          </w:tcPr>
          <w:p>
            <w:pPr>
              <w:ind w:left="200"/>
              <w:spacing w:after="0" w:line="171" w:lineRule="exact"/>
              <w:rPr>
                <w:sz w:val="20"/>
                <w:szCs w:val="20"/>
                <w:color w:val="auto"/>
              </w:rPr>
            </w:pPr>
            <w:r>
              <w:rPr>
                <w:rFonts w:ascii="Arial" w:cs="Arial" w:eastAsia="Arial" w:hAnsi="Arial"/>
                <w:sz w:val="16"/>
                <w:szCs w:val="16"/>
                <w:b w:val="1"/>
                <w:bCs w:val="1"/>
                <w:color w:val="auto"/>
              </w:rPr>
              <w:t>Ba3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300"/>
              <w:spacing w:after="0" w:line="171" w:lineRule="exact"/>
              <w:rPr>
                <w:sz w:val="20"/>
                <w:szCs w:val="20"/>
                <w:color w:val="auto"/>
              </w:rPr>
            </w:pPr>
            <w:r>
              <w:rPr>
                <w:rFonts w:ascii="Arial" w:cs="Arial" w:eastAsia="Arial" w:hAnsi="Arial"/>
                <w:sz w:val="16"/>
                <w:szCs w:val="16"/>
                <w:b w:val="1"/>
                <w:bCs w:val="1"/>
                <w:color w:val="auto"/>
              </w:rPr>
              <w:t>B1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87"/>
              </w:rPr>
              <w:t>B2</w:t>
            </w:r>
          </w:p>
        </w:tc>
        <w:tc>
          <w:tcPr>
            <w:tcW w:w="320" w:type="dxa"/>
            <w:vAlign w:val="bottom"/>
          </w:tcPr>
          <w:p>
            <w:pPr>
              <w:spacing w:after="0"/>
              <w:rPr>
                <w:sz w:val="14"/>
                <w:szCs w:val="14"/>
                <w:color w:val="auto"/>
              </w:rPr>
            </w:pPr>
          </w:p>
        </w:tc>
        <w:tc>
          <w:tcPr>
            <w:tcW w:w="980" w:type="dxa"/>
            <w:vAlign w:val="bottom"/>
            <w:gridSpan w:val="2"/>
          </w:tcPr>
          <w:p>
            <w:pPr>
              <w:ind w:left="200"/>
              <w:spacing w:after="0" w:line="171" w:lineRule="exact"/>
              <w:rPr>
                <w:sz w:val="20"/>
                <w:szCs w:val="20"/>
                <w:color w:val="auto"/>
              </w:rPr>
            </w:pPr>
            <w:r>
              <w:rPr>
                <w:rFonts w:ascii="Arial" w:cs="Arial" w:eastAsia="Arial" w:hAnsi="Arial"/>
                <w:sz w:val="16"/>
                <w:szCs w:val="16"/>
                <w:b w:val="1"/>
                <w:bCs w:val="1"/>
                <w:color w:val="auto"/>
              </w:rPr>
              <w:t>B3</w:t>
            </w:r>
          </w:p>
        </w:tc>
        <w:tc>
          <w:tcPr>
            <w:tcW w:w="260" w:type="dxa"/>
            <w:vAlign w:val="bottom"/>
          </w:tcPr>
          <w:p>
            <w:pPr>
              <w:spacing w:after="0"/>
              <w:rPr>
                <w:sz w:val="14"/>
                <w:szCs w:val="14"/>
                <w:color w:val="auto"/>
              </w:rPr>
            </w:pPr>
          </w:p>
        </w:tc>
        <w:tc>
          <w:tcPr>
            <w:tcW w:w="1060" w:type="dxa"/>
            <w:vAlign w:val="bottom"/>
            <w:gridSpan w:val="4"/>
          </w:tcPr>
          <w:p>
            <w:pPr>
              <w:ind w:left="16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(1)</w:t>
            </w:r>
          </w:p>
        </w:tc>
        <w:tc>
          <w:tcPr>
            <w:tcW w:w="240" w:type="dxa"/>
            <w:vAlign w:val="bottom"/>
          </w:tcPr>
          <w:p>
            <w:pPr>
              <w:spacing w:after="0"/>
              <w:rPr>
                <w:sz w:val="14"/>
                <w:szCs w:val="14"/>
                <w:color w:val="auto"/>
              </w:rPr>
            </w:pPr>
          </w:p>
        </w:tc>
        <w:tc>
          <w:tcPr>
            <w:tcW w:w="1020" w:type="dxa"/>
            <w:vAlign w:val="bottom"/>
          </w:tcPr>
          <w:p>
            <w:pPr>
              <w:jc w:val="right"/>
              <w:ind w:right="375"/>
              <w:spacing w:after="0" w:line="17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4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7"/>
                <w:szCs w:val="17"/>
                <w:color w:val="auto"/>
                <w:w w:val="93"/>
              </w:rPr>
              <w:t>Investments in leases - sales-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type and financing</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Investments in</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4"/>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w w:val="92"/>
              </w:rPr>
              <w:t>954,181</w:t>
            </w:r>
          </w:p>
        </w:tc>
        <w:tc>
          <w:tcPr>
            <w:tcW w:w="40" w:type="dxa"/>
            <w:vAlign w:val="bottom"/>
            <w:shd w:val="clear" w:color="auto" w:fill="CCEEFF"/>
          </w:tcPr>
          <w:p>
            <w:pPr>
              <w:spacing w:after="0"/>
              <w:rPr>
                <w:sz w:val="15"/>
                <w:szCs w:val="15"/>
                <w:color w:val="auto"/>
              </w:rPr>
            </w:pPr>
          </w:p>
        </w:tc>
        <w:tc>
          <w:tcPr>
            <w:tcW w:w="3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15,743,112</w:t>
            </w:r>
          </w:p>
        </w:tc>
        <w:tc>
          <w:tcPr>
            <w:tcW w:w="2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281,657</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17,043,962</w:t>
            </w:r>
          </w:p>
        </w:tc>
        <w:tc>
          <w:tcPr>
            <w:tcW w:w="0" w:type="dxa"/>
            <w:vAlign w:val="bottom"/>
          </w:tcPr>
          <w:p>
            <w:pPr>
              <w:spacing w:after="0"/>
              <w:rPr>
                <w:sz w:val="1"/>
                <w:szCs w:val="1"/>
                <w:color w:val="auto"/>
              </w:rPr>
            </w:pPr>
          </w:p>
        </w:tc>
      </w:tr>
      <w:tr>
        <w:trPr>
          <w:trHeight w:val="229"/>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loans and Other assets</w:t>
            </w:r>
          </w:p>
        </w:tc>
        <w:tc>
          <w:tcPr>
            <w:tcW w:w="280" w:type="dxa"/>
            <w:vAlign w:val="bottom"/>
            <w:vMerge w:val="continue"/>
            <w:shd w:val="clear" w:color="auto" w:fill="CCEEFF"/>
          </w:tcPr>
          <w:p>
            <w:pPr>
              <w:spacing w:after="0"/>
              <w:rPr>
                <w:sz w:val="19"/>
                <w:szCs w:val="19"/>
                <w:color w:val="auto"/>
              </w:rPr>
            </w:pPr>
          </w:p>
        </w:tc>
        <w:tc>
          <w:tcPr>
            <w:tcW w:w="1020" w:type="dxa"/>
            <w:vAlign w:val="bottom"/>
            <w:gridSpan w:val="4"/>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2020</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4"/>
                <w:szCs w:val="14"/>
                <w:color w:val="auto"/>
              </w:rPr>
            </w:pPr>
          </w:p>
        </w:tc>
        <w:tc>
          <w:tcPr>
            <w:tcW w:w="1020" w:type="dxa"/>
            <w:vAlign w:val="bottom"/>
            <w:gridSpan w:val="4"/>
          </w:tcPr>
          <w:p>
            <w:pPr>
              <w:ind w:left="180"/>
              <w:spacing w:after="0" w:line="171" w:lineRule="exact"/>
              <w:rPr>
                <w:sz w:val="20"/>
                <w:szCs w:val="20"/>
                <w:color w:val="auto"/>
              </w:rPr>
            </w:pPr>
            <w:r>
              <w:rPr>
                <w:rFonts w:ascii="Arial" w:cs="Arial" w:eastAsia="Arial" w:hAnsi="Arial"/>
                <w:sz w:val="16"/>
                <w:szCs w:val="16"/>
                <w:b w:val="1"/>
                <w:bCs w:val="1"/>
                <w:color w:val="auto"/>
              </w:rPr>
              <w:t>Ba2</w:t>
            </w:r>
          </w:p>
        </w:tc>
        <w:tc>
          <w:tcPr>
            <w:tcW w:w="280" w:type="dxa"/>
            <w:vAlign w:val="bottom"/>
          </w:tcPr>
          <w:p>
            <w:pPr>
              <w:spacing w:after="0"/>
              <w:rPr>
                <w:sz w:val="14"/>
                <w:szCs w:val="14"/>
                <w:color w:val="auto"/>
              </w:rPr>
            </w:pPr>
          </w:p>
        </w:tc>
        <w:tc>
          <w:tcPr>
            <w:tcW w:w="940" w:type="dxa"/>
            <w:vAlign w:val="bottom"/>
            <w:gridSpan w:val="2"/>
          </w:tcPr>
          <w:p>
            <w:pPr>
              <w:ind w:left="180"/>
              <w:spacing w:after="0" w:line="171" w:lineRule="exact"/>
              <w:rPr>
                <w:sz w:val="20"/>
                <w:szCs w:val="20"/>
                <w:color w:val="auto"/>
              </w:rPr>
            </w:pPr>
            <w:r>
              <w:rPr>
                <w:rFonts w:ascii="Arial" w:cs="Arial" w:eastAsia="Arial" w:hAnsi="Arial"/>
                <w:sz w:val="16"/>
                <w:szCs w:val="16"/>
                <w:b w:val="1"/>
                <w:bCs w:val="1"/>
                <w:color w:val="auto"/>
              </w:rPr>
              <w:t>Ba3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60"/>
              <w:spacing w:after="0" w:line="171" w:lineRule="exact"/>
              <w:rPr>
                <w:sz w:val="20"/>
                <w:szCs w:val="20"/>
                <w:color w:val="auto"/>
              </w:rPr>
            </w:pPr>
            <w:r>
              <w:rPr>
                <w:rFonts w:ascii="Arial" w:cs="Arial" w:eastAsia="Arial" w:hAnsi="Arial"/>
                <w:sz w:val="16"/>
                <w:szCs w:val="16"/>
                <w:b w:val="1"/>
                <w:bCs w:val="1"/>
                <w:color w:val="auto"/>
              </w:rPr>
              <w:t>B1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360"/>
              <w:spacing w:after="0" w:line="171" w:lineRule="exact"/>
              <w:rPr>
                <w:sz w:val="20"/>
                <w:szCs w:val="20"/>
                <w:color w:val="auto"/>
              </w:rPr>
            </w:pPr>
            <w:r>
              <w:rPr>
                <w:rFonts w:ascii="Arial" w:cs="Arial" w:eastAsia="Arial" w:hAnsi="Arial"/>
                <w:sz w:val="16"/>
                <w:szCs w:val="16"/>
                <w:b w:val="1"/>
                <w:bCs w:val="1"/>
                <w:color w:val="auto"/>
              </w:rPr>
              <w:t>B2</w:t>
            </w:r>
          </w:p>
        </w:tc>
        <w:tc>
          <w:tcPr>
            <w:tcW w:w="320" w:type="dxa"/>
            <w:vAlign w:val="bottom"/>
          </w:tcPr>
          <w:p>
            <w:pPr>
              <w:spacing w:after="0"/>
              <w:rPr>
                <w:sz w:val="14"/>
                <w:szCs w:val="14"/>
                <w:color w:val="auto"/>
              </w:rPr>
            </w:pPr>
          </w:p>
        </w:tc>
        <w:tc>
          <w:tcPr>
            <w:tcW w:w="980" w:type="dxa"/>
            <w:vAlign w:val="bottom"/>
            <w:gridSpan w:val="2"/>
          </w:tcPr>
          <w:p>
            <w:pPr>
              <w:ind w:left="200"/>
              <w:spacing w:after="0" w:line="171" w:lineRule="exact"/>
              <w:rPr>
                <w:sz w:val="20"/>
                <w:szCs w:val="20"/>
                <w:color w:val="auto"/>
              </w:rPr>
            </w:pPr>
            <w:r>
              <w:rPr>
                <w:rFonts w:ascii="Arial" w:cs="Arial" w:eastAsia="Arial" w:hAnsi="Arial"/>
                <w:sz w:val="16"/>
                <w:szCs w:val="16"/>
                <w:b w:val="1"/>
                <w:bCs w:val="1"/>
                <w:color w:val="auto"/>
              </w:rPr>
              <w:t>B3</w:t>
            </w:r>
          </w:p>
        </w:tc>
        <w:tc>
          <w:tcPr>
            <w:tcW w:w="260" w:type="dxa"/>
            <w:vAlign w:val="bottom"/>
          </w:tcPr>
          <w:p>
            <w:pPr>
              <w:spacing w:after="0"/>
              <w:rPr>
                <w:sz w:val="14"/>
                <w:szCs w:val="14"/>
                <w:color w:val="auto"/>
              </w:rPr>
            </w:pPr>
          </w:p>
        </w:tc>
        <w:tc>
          <w:tcPr>
            <w:tcW w:w="1060" w:type="dxa"/>
            <w:vAlign w:val="bottom"/>
            <w:gridSpan w:val="4"/>
          </w:tcPr>
          <w:p>
            <w:pPr>
              <w:ind w:left="14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(1)</w:t>
            </w:r>
          </w:p>
        </w:tc>
        <w:tc>
          <w:tcPr>
            <w:tcW w:w="240" w:type="dxa"/>
            <w:vAlign w:val="bottom"/>
          </w:tcPr>
          <w:p>
            <w:pPr>
              <w:spacing w:after="0"/>
              <w:rPr>
                <w:sz w:val="14"/>
                <w:szCs w:val="14"/>
                <w:color w:val="auto"/>
              </w:rPr>
            </w:pPr>
          </w:p>
        </w:tc>
        <w:tc>
          <w:tcPr>
            <w:tcW w:w="1020" w:type="dxa"/>
            <w:vAlign w:val="bottom"/>
          </w:tcPr>
          <w:p>
            <w:pPr>
              <w:jc w:val="right"/>
              <w:ind w:right="375"/>
              <w:spacing w:after="0" w:line="17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4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7"/>
                <w:szCs w:val="17"/>
                <w:color w:val="auto"/>
                <w:w w:val="93"/>
              </w:rPr>
              <w:t>Investments in leases - sales-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type and financing</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Investments in</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4"/>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5"/>
              </w:rPr>
              <w:t>561,116</w:t>
            </w:r>
          </w:p>
        </w:tc>
        <w:tc>
          <w:tcPr>
            <w:tcW w:w="40" w:type="dxa"/>
            <w:vAlign w:val="bottom"/>
            <w:shd w:val="clear" w:color="auto" w:fill="CCEEFF"/>
          </w:tcPr>
          <w:p>
            <w:pPr>
              <w:spacing w:after="0"/>
              <w:rPr>
                <w:sz w:val="15"/>
                <w:szCs w:val="15"/>
                <w:color w:val="auto"/>
              </w:rPr>
            </w:pPr>
          </w:p>
        </w:tc>
        <w:tc>
          <w:tcPr>
            <w:tcW w:w="3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9,886,007</w:t>
            </w:r>
          </w:p>
        </w:tc>
        <w:tc>
          <w:tcPr>
            <w:tcW w:w="2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900,566</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280,869</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11,628,558</w:t>
            </w:r>
          </w:p>
        </w:tc>
        <w:tc>
          <w:tcPr>
            <w:tcW w:w="0" w:type="dxa"/>
            <w:vAlign w:val="bottom"/>
          </w:tcPr>
          <w:p>
            <w:pPr>
              <w:spacing w:after="0"/>
              <w:rPr>
                <w:sz w:val="1"/>
                <w:szCs w:val="1"/>
                <w:color w:val="auto"/>
              </w:rPr>
            </w:pPr>
          </w:p>
        </w:tc>
      </w:tr>
      <w:tr>
        <w:trPr>
          <w:trHeight w:val="229"/>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loans and Other assets</w:t>
            </w:r>
          </w:p>
        </w:tc>
        <w:tc>
          <w:tcPr>
            <w:tcW w:w="280" w:type="dxa"/>
            <w:vAlign w:val="bottom"/>
            <w:vMerge w:val="continue"/>
            <w:shd w:val="clear" w:color="auto" w:fill="CCEEFF"/>
          </w:tcPr>
          <w:p>
            <w:pPr>
              <w:spacing w:after="0"/>
              <w:rPr>
                <w:sz w:val="19"/>
                <w:szCs w:val="19"/>
                <w:color w:val="auto"/>
              </w:rPr>
            </w:pPr>
          </w:p>
        </w:tc>
        <w:tc>
          <w:tcPr>
            <w:tcW w:w="1020" w:type="dxa"/>
            <w:vAlign w:val="bottom"/>
            <w:gridSpan w:val="4"/>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60" w:type="dxa"/>
            <w:vAlign w:val="bottom"/>
            <w:gridSpan w:val="4"/>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340" w:hanging="332"/>
        <w:spacing w:after="0" w:line="254" w:lineRule="auto"/>
        <w:tabs>
          <w:tab w:leader="none" w:pos="332"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We estimate the CECL allowance for the Chelsea Piers Mortgage Loan and Great Wolf Mezzanine Loan using a traditional commercial real estate model based on standardized credit metrics to estimate potential losses.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June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Sales-type sub-leases</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Property and equipment used in operations, net</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69,075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Debt financing costs</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16,966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acquisition costs</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Tenant receivables</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Interest receivable</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assets</w:t>
            </w:r>
          </w:p>
        </w:tc>
        <w:tc>
          <w:tcPr>
            <w:tcW w:w="2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Arial" w:cs="Arial" w:eastAsia="Arial" w:hAnsi="Arial"/>
                <w:sz w:val="18"/>
                <w:szCs w:val="18"/>
                <w:color w:val="auto"/>
              </w:rPr>
              <w:t>32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June 30, 2021 and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ind w:left="560"/>
              <w:spacing w:after="0"/>
              <w:rPr>
                <w:sz w:val="20"/>
                <w:szCs w:val="20"/>
                <w:color w:val="auto"/>
              </w:rPr>
            </w:pPr>
            <w:r>
              <w:rPr>
                <w:rFonts w:ascii="Arial" w:cs="Arial" w:eastAsia="Arial" w:hAnsi="Arial"/>
                <w:sz w:val="16"/>
                <w:szCs w:val="16"/>
                <w:b w:val="1"/>
                <w:bCs w:val="1"/>
                <w:color w:val="auto"/>
              </w:rPr>
              <w:t>June 30, 2021</w:t>
            </w:r>
          </w:p>
        </w:tc>
        <w:tc>
          <w:tcPr>
            <w:tcW w:w="206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rPr>
              <w:t>December 31, 2020</w:t>
            </w:r>
          </w:p>
        </w:tc>
        <w:tc>
          <w:tcPr>
            <w:tcW w:w="2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20" w:type="dxa"/>
            <w:vAlign w:val="bottom"/>
          </w:tcPr>
          <w:p>
            <w:pPr>
              <w:spacing w:after="0"/>
              <w:rPr>
                <w:sz w:val="19"/>
                <w:szCs w:val="19"/>
                <w:color w:val="auto"/>
              </w:rPr>
            </w:pP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14,697</w:t>
            </w:r>
          </w:p>
        </w:tc>
        <w:tc>
          <w:tcPr>
            <w:tcW w:w="20" w:type="dxa"/>
            <w:vAlign w:val="bottom"/>
          </w:tcPr>
          <w:p>
            <w:pPr>
              <w:spacing w:after="0"/>
              <w:rPr>
                <w:sz w:val="19"/>
                <w:szCs w:val="19"/>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82,162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80,832</w:t>
            </w:r>
          </w:p>
        </w:tc>
        <w:tc>
          <w:tcPr>
            <w:tcW w:w="20" w:type="dxa"/>
            <w:vAlign w:val="bottom"/>
          </w:tcPr>
          <w:p>
            <w:pPr>
              <w:spacing w:after="0"/>
              <w:rPr>
                <w:sz w:val="19"/>
                <w:szCs w:val="19"/>
                <w:color w:val="auto"/>
              </w:rPr>
            </w:pP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(13,087)</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 net</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105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69,075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80" w:type="dxa"/>
            <w:vAlign w:val="bottom"/>
            <w:gridSpan w:val="6"/>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c>
          <w:tcPr>
            <w:tcW w:w="20" w:type="dxa"/>
            <w:vAlign w:val="bottom"/>
          </w:tcPr>
          <w:p>
            <w:pPr>
              <w:spacing w:after="0"/>
              <w:rPr>
                <w:sz w:val="24"/>
                <w:szCs w:val="24"/>
                <w:color w:val="auto"/>
              </w:rPr>
            </w:pPr>
          </w:p>
        </w:tc>
      </w:tr>
      <w:tr>
        <w:trPr>
          <w:trHeight w:val="1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6"/>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54"/>
              <w:spacing w:after="0" w:line="17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400" w:type="dxa"/>
            <w:vAlign w:val="bottom"/>
            <w:tcBorders>
              <w:top w:val="single" w:sz="8" w:color="auto"/>
            </w:tcBorders>
            <w:gridSpan w:val="3"/>
          </w:tcPr>
          <w:p>
            <w:pPr>
              <w:jc w:val="right"/>
              <w:ind w:right="452"/>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31"/>
              <w:spacing w:after="0" w:line="171" w:lineRule="exact"/>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0" w:type="dxa"/>
            <w:vAlign w:val="bottom"/>
            <w:shd w:val="clear" w:color="auto" w:fill="CCEEFF"/>
          </w:tcPr>
          <w:p>
            <w:pPr>
              <w:spacing w:after="0"/>
              <w:rPr>
                <w:sz w:val="19"/>
                <w:szCs w:val="1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June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2"/>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sub-lease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284,376</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Derivative liability</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92,521</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17,507</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payroll and other compensation</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r>
      <w:tr>
        <w:trPr>
          <w:trHeight w:val="229"/>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3,533</w:t>
            </w:r>
          </w:p>
        </w:tc>
      </w:tr>
      <w:tr>
        <w:trPr>
          <w:trHeight w:val="229"/>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CECL allowance for unfunded loan commitments</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June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8"/>
          </w:tcPr>
          <w:p>
            <w:pPr>
              <w:jc w:val="center"/>
              <w:ind w:left="132"/>
              <w:spacing w:after="0"/>
              <w:rPr>
                <w:sz w:val="20"/>
                <w:szCs w:val="20"/>
                <w:color w:val="auto"/>
              </w:rPr>
            </w:pPr>
            <w:r>
              <w:rPr>
                <w:rFonts w:ascii="Arial" w:cs="Arial" w:eastAsia="Arial" w:hAnsi="Arial"/>
                <w:sz w:val="16"/>
                <w:szCs w:val="16"/>
                <w:b w:val="1"/>
                <w:bCs w:val="1"/>
                <w:color w:val="auto"/>
                <w:w w:val="90"/>
              </w:rPr>
              <w:t>June 30, 2021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9"/>
              </w:rPr>
              <w:t>Maturity</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Face Value</w:t>
            </w:r>
          </w:p>
        </w:tc>
        <w:tc>
          <w:tcPr>
            <w:tcW w:w="20" w:type="dxa"/>
            <w:vAlign w:val="bottom"/>
          </w:tcPr>
          <w:p>
            <w:pPr>
              <w:spacing w:after="0"/>
              <w:rPr>
                <w:sz w:val="18"/>
                <w:szCs w:val="18"/>
                <w:color w:val="auto"/>
              </w:rPr>
            </w:pPr>
          </w:p>
        </w:tc>
        <w:tc>
          <w:tcPr>
            <w:tcW w:w="1300" w:type="dxa"/>
            <w:vAlign w:val="bottom"/>
            <w:gridSpan w:val="2"/>
          </w:tcPr>
          <w:p>
            <w:pPr>
              <w:jc w:val="right"/>
              <w:spacing w:after="0" w:line="209" w:lineRule="exact"/>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0" w:type="dxa"/>
            <w:vAlign w:val="bottom"/>
          </w:tcPr>
          <w:p>
            <w:pPr>
              <w:spacing w:after="0"/>
              <w:rPr>
                <w:sz w:val="1"/>
                <w:szCs w:val="1"/>
                <w:color w:val="auto"/>
              </w:rPr>
            </w:pPr>
          </w:p>
        </w:tc>
      </w:tr>
      <w:tr>
        <w:trPr>
          <w:trHeight w:val="222"/>
        </w:trPr>
        <w:tc>
          <w:tcPr>
            <w:tcW w:w="60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VICI PropCo Senior Secured Credit Facilities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00"/>
              <w:spacing w:after="0" w:line="229"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L + 2.00%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00"/>
              <w:spacing w:after="0" w:line="229"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3"/>
              </w:rPr>
              <w:t>L + 1.75%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2,083,362</w:t>
            </w:r>
          </w:p>
        </w:tc>
        <w:tc>
          <w:tcPr>
            <w:tcW w:w="0" w:type="dxa"/>
            <w:vAlign w:val="bottom"/>
          </w:tcPr>
          <w:p>
            <w:pPr>
              <w:spacing w:after="0"/>
              <w:rPr>
                <w:sz w:val="1"/>
                <w:szCs w:val="1"/>
                <w:color w:val="auto"/>
              </w:rPr>
            </w:pPr>
          </w:p>
        </w:tc>
      </w:tr>
      <w:tr>
        <w:trPr>
          <w:trHeight w:val="229"/>
        </w:trPr>
        <w:tc>
          <w:tcPr>
            <w:tcW w:w="6160" w:type="dxa"/>
            <w:vAlign w:val="bottom"/>
            <w:gridSpan w:val="5"/>
          </w:tcPr>
          <w:p>
            <w:pPr>
              <w:ind w:left="20"/>
              <w:spacing w:after="0" w:line="229"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1,234,545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986,531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986,389</w:t>
            </w:r>
          </w:p>
        </w:tc>
        <w:tc>
          <w:tcPr>
            <w:tcW w:w="0" w:type="dxa"/>
            <w:vAlign w:val="bottom"/>
          </w:tcPr>
          <w:p>
            <w:pPr>
              <w:spacing w:after="0"/>
              <w:rPr>
                <w:sz w:val="1"/>
                <w:szCs w:val="1"/>
                <w:color w:val="auto"/>
              </w:rPr>
            </w:pPr>
          </w:p>
        </w:tc>
      </w:tr>
      <w:tr>
        <w:trPr>
          <w:trHeight w:val="222"/>
        </w:trPr>
        <w:tc>
          <w:tcPr>
            <w:tcW w:w="6160" w:type="dxa"/>
            <w:vAlign w:val="bottom"/>
            <w:gridSpan w:val="5"/>
          </w:tcPr>
          <w:p>
            <w:pPr>
              <w:ind w:left="2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6160" w:type="dxa"/>
            <w:vAlign w:val="bottom"/>
            <w:gridSpan w:val="5"/>
          </w:tcPr>
          <w:p>
            <w:pPr>
              <w:ind w:left="2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8"/>
          </w:tcPr>
          <w:p>
            <w:pPr>
              <w:jc w:val="center"/>
              <w:ind w:left="132"/>
              <w:spacing w:after="0"/>
              <w:rPr>
                <w:sz w:val="20"/>
                <w:szCs w:val="20"/>
                <w:color w:val="auto"/>
              </w:rPr>
            </w:pPr>
            <w:r>
              <w:rPr>
                <w:rFonts w:ascii="Arial" w:cs="Arial" w:eastAsia="Arial" w:hAnsi="Arial"/>
                <w:sz w:val="16"/>
                <w:szCs w:val="16"/>
                <w:b w:val="1"/>
                <w:bCs w:val="1"/>
                <w:color w:val="auto"/>
                <w:w w:val="90"/>
              </w:rPr>
              <w:t>December 31, 2020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6160" w:type="dxa"/>
            <w:vAlign w:val="bottom"/>
            <w:gridSpan w:val="5"/>
          </w:tcPr>
          <w:p>
            <w:pPr>
              <w:ind w:left="20"/>
              <w:spacing w:after="0"/>
              <w:rPr>
                <w:sz w:val="20"/>
                <w:szCs w:val="20"/>
                <w:color w:val="auto"/>
              </w:rPr>
            </w:pPr>
            <w:r>
              <w:rPr>
                <w:rFonts w:ascii="Arial" w:cs="Arial" w:eastAsia="Arial" w:hAnsi="Arial"/>
                <w:sz w:val="16"/>
                <w:szCs w:val="16"/>
                <w:b w:val="1"/>
                <w:bCs w:val="1"/>
                <w:color w:val="auto"/>
              </w:rPr>
              <w:t>Description of Debt</w:t>
            </w:r>
          </w:p>
        </w:tc>
        <w:tc>
          <w:tcPr>
            <w:tcW w:w="2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Face Value</w:t>
            </w:r>
          </w:p>
        </w:tc>
        <w:tc>
          <w:tcPr>
            <w:tcW w:w="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0" w:type="dxa"/>
            <w:vAlign w:val="bottom"/>
          </w:tcPr>
          <w:p>
            <w:pPr>
              <w:spacing w:after="0"/>
              <w:rPr>
                <w:sz w:val="1"/>
                <w:szCs w:val="1"/>
                <w:color w:val="auto"/>
              </w:rPr>
            </w:pPr>
          </w:p>
        </w:tc>
      </w:tr>
      <w:tr>
        <w:trPr>
          <w:trHeight w:val="222"/>
        </w:trPr>
        <w:tc>
          <w:tcPr>
            <w:tcW w:w="6080" w:type="dxa"/>
            <w:vAlign w:val="bottom"/>
            <w:tcBorders>
              <w:top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VICI PropCo Senior Secured Credit Facilities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00"/>
              <w:spacing w:after="0" w:line="229"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L + 2.00%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00"/>
              <w:spacing w:after="0" w:line="229"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L + 1.750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2,080,974</w:t>
            </w:r>
          </w:p>
        </w:tc>
        <w:tc>
          <w:tcPr>
            <w:tcW w:w="0" w:type="dxa"/>
            <w:vAlign w:val="bottom"/>
          </w:tcPr>
          <w:p>
            <w:pPr>
              <w:spacing w:after="0"/>
              <w:rPr>
                <w:sz w:val="1"/>
                <w:szCs w:val="1"/>
                <w:color w:val="auto"/>
              </w:rPr>
            </w:pPr>
          </w:p>
        </w:tc>
      </w:tr>
      <w:tr>
        <w:trPr>
          <w:trHeight w:val="229"/>
        </w:trPr>
        <w:tc>
          <w:tcPr>
            <w:tcW w:w="6160" w:type="dxa"/>
            <w:vAlign w:val="bottom"/>
            <w:gridSpan w:val="5"/>
          </w:tcPr>
          <w:p>
            <w:pPr>
              <w:ind w:left="20"/>
              <w:spacing w:after="0" w:line="229"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1,233,119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4"/>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985,730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0" w:type="dxa"/>
            <w:vAlign w:val="bottom"/>
          </w:tcPr>
          <w:p>
            <w:pPr>
              <w:spacing w:after="0"/>
              <w:rPr>
                <w:sz w:val="1"/>
                <w:szCs w:val="1"/>
                <w:color w:val="auto"/>
              </w:rPr>
            </w:pPr>
          </w:p>
        </w:tc>
      </w:tr>
      <w:tr>
        <w:trPr>
          <w:trHeight w:val="222"/>
        </w:trPr>
        <w:tc>
          <w:tcPr>
            <w:tcW w:w="6160" w:type="dxa"/>
            <w:vAlign w:val="bottom"/>
            <w:gridSpan w:val="5"/>
          </w:tcPr>
          <w:p>
            <w:pPr>
              <w:ind w:left="2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jc w:val="both"/>
        <w:ind w:left="340" w:hanging="332"/>
        <w:spacing w:after="0"/>
        <w:tabs>
          <w:tab w:leader="none" w:pos="332"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Borrowings under the Revolving Credit Facility will bear interest at a rate based on a leverage-based pricing grid with a range of 1.75% to 2.00% over LIBOR, or between 0.75% and 1.00% over the base rate depending on our total net debt to adjusted total assets ratio. Additionally, the commitment fee under the Revolving Credit Facility is calculated on a leverage-based pricing grid with a range of 0.375% to 0.5%, in each case depending on our total net debt to adjusted total assets ratio. For the three and six months ended June 30, 2021, the commitment fee was 0.375%.</w:t>
      </w:r>
    </w:p>
    <w:p>
      <w:pPr>
        <w:spacing w:after="0" w:line="2" w:lineRule="exact"/>
        <w:rPr>
          <w:rFonts w:ascii="Arial" w:cs="Arial" w:eastAsia="Arial" w:hAnsi="Arial"/>
          <w:sz w:val="14"/>
          <w:szCs w:val="14"/>
          <w:i w:val="1"/>
          <w:iCs w:val="1"/>
          <w:color w:val="auto"/>
        </w:rPr>
      </w:pPr>
    </w:p>
    <w:p>
      <w:pPr>
        <w:jc w:val="both"/>
        <w:ind w:left="340" w:hanging="332"/>
        <w:spacing w:after="0"/>
        <w:tabs>
          <w:tab w:leader="none" w:pos="332"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As of June 30, 2021, we had four interest rate swap agreements outstanding with third-party financial institutions having an aggregate notional amount of $1.5 billion at a LIBOR rate of 2.8297%. As of December 31, 2020, we had six interest rate swap agreements outstanding with third-party financial institutions having an aggregate notional amount of $2.0 billion at a blended LIBOR rate of 2.7173%.</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380" w:type="dxa"/>
            <w:vAlign w:val="bottom"/>
          </w:tcPr>
          <w:p>
            <w:pPr>
              <w:jc w:val="center"/>
              <w:ind w:left="961"/>
              <w:spacing w:after="0" w:line="229" w:lineRule="exact"/>
              <w:rPr>
                <w:sz w:val="20"/>
                <w:szCs w:val="20"/>
                <w:color w:val="auto"/>
              </w:rPr>
            </w:pPr>
            <w:r>
              <w:rPr>
                <w:rFonts w:ascii="Arial" w:cs="Arial" w:eastAsia="Arial" w:hAnsi="Arial"/>
                <w:sz w:val="20"/>
                <w:szCs w:val="20"/>
                <w:b w:val="1"/>
                <w:bCs w:val="1"/>
                <w:color w:val="auto"/>
              </w:rPr>
              <w:t>VICI PROPERTIES INC.</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380" w:type="dxa"/>
            <w:vAlign w:val="bottom"/>
          </w:tcPr>
          <w:p>
            <w:pPr>
              <w:jc w:val="center"/>
              <w:ind w:left="961"/>
              <w:spacing w:after="0" w:line="229" w:lineRule="exact"/>
              <w:rPr>
                <w:sz w:val="20"/>
                <w:szCs w:val="20"/>
                <w:color w:val="auto"/>
              </w:rPr>
            </w:pPr>
            <w:r>
              <w:rPr>
                <w:rFonts w:ascii="Arial" w:cs="Arial" w:eastAsia="Arial" w:hAnsi="Arial"/>
                <w:sz w:val="20"/>
                <w:szCs w:val="20"/>
                <w:b w:val="1"/>
                <w:bCs w:val="1"/>
                <w:color w:val="auto"/>
                <w:w w:val="97"/>
              </w:rPr>
              <w:t>NOTES TO CONSOLIDATED FINANCIAL STATEMENTS (Continued)</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380" w:type="dxa"/>
            <w:vAlign w:val="bottom"/>
          </w:tcPr>
          <w:p>
            <w:pPr>
              <w:jc w:val="center"/>
              <w:ind w:left="961"/>
              <w:spacing w:after="0"/>
              <w:rPr>
                <w:sz w:val="20"/>
                <w:szCs w:val="20"/>
                <w:color w:val="auto"/>
              </w:rPr>
            </w:pPr>
            <w:r>
              <w:rPr>
                <w:rFonts w:ascii="Arial" w:cs="Arial" w:eastAsia="Arial" w:hAnsi="Arial"/>
                <w:sz w:val="20"/>
                <w:szCs w:val="20"/>
                <w:b w:val="1"/>
                <w:bCs w:val="1"/>
                <w:color w:val="auto"/>
              </w:rPr>
              <w:t>(UNAUDITED)</w:t>
            </w: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925"/>
        </w:trPr>
        <w:tc>
          <w:tcPr>
            <w:tcW w:w="9280" w:type="dxa"/>
            <w:vAlign w:val="bottom"/>
            <w:gridSpan w:val="3"/>
          </w:tcPr>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June 30, 2021:</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272"/>
              <w:spacing w:after="0"/>
              <w:rPr>
                <w:sz w:val="20"/>
                <w:szCs w:val="20"/>
                <w:color w:val="auto"/>
              </w:rPr>
            </w:pPr>
            <w:r>
              <w:rPr>
                <w:rFonts w:ascii="Arial" w:cs="Arial" w:eastAsia="Arial" w:hAnsi="Arial"/>
                <w:sz w:val="16"/>
                <w:szCs w:val="16"/>
                <w:b w:val="1"/>
                <w:bCs w:val="1"/>
                <w:color w:val="auto"/>
              </w:rPr>
              <w:t>Future Minimum</w:t>
            </w:r>
          </w:p>
        </w:tc>
      </w:tr>
      <w:tr>
        <w:trPr>
          <w:trHeight w:val="175"/>
        </w:trPr>
        <w:tc>
          <w:tcPr>
            <w:tcW w:w="92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5"/>
                <w:szCs w:val="15"/>
                <w:color w:val="auto"/>
              </w:rPr>
            </w:pPr>
          </w:p>
        </w:tc>
        <w:tc>
          <w:tcPr>
            <w:tcW w:w="170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Payments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2"/>
        </w:trPr>
        <w:tc>
          <w:tcPr>
            <w:tcW w:w="9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2,068,000</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1,250,000</w:t>
            </w:r>
          </w:p>
        </w:tc>
      </w:tr>
      <w:tr>
        <w:trPr>
          <w:trHeight w:val="229"/>
        </w:trPr>
        <w:tc>
          <w:tcPr>
            <w:tcW w:w="9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r>
      <w:tr>
        <w:trPr>
          <w:trHeight w:val="222"/>
        </w:trPr>
        <w:tc>
          <w:tcPr>
            <w:tcW w:w="9280" w:type="dxa"/>
            <w:vAlign w:val="bottom"/>
            <w:gridSpan w:val="3"/>
          </w:tcPr>
          <w:p>
            <w:pPr>
              <w:ind w:left="20"/>
              <w:spacing w:after="0"/>
              <w:rPr>
                <w:sz w:val="20"/>
                <w:szCs w:val="20"/>
                <w:color w:val="auto"/>
              </w:rPr>
            </w:pPr>
            <w:r>
              <w:rPr>
                <w:rFonts w:ascii="Arial" w:cs="Arial" w:eastAsia="Arial" w:hAnsi="Arial"/>
                <w:sz w:val="18"/>
                <w:szCs w:val="18"/>
                <w:color w:val="auto"/>
              </w:rPr>
              <w:t>Total minimum repayments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26, 2019, the Operating Partnership and the Co-Issuer (together with the Operating Partnership, the “Issuers”), our wholly owned subsidiaries, issued (i) $1,250.0 million in aggregate principal amount of 4.250% 2026 Notes, which mature on December 1, 2026, and (ii) $1,000.0 million in aggregate principal amount of 4.625% 2029 Notes, which mature on December 1, 2029, under separate indentures, each dated as of November 26, 2019, among the Issuers, the subsidiary guarantors party thereto and UMB Bank, National Association, as trustee (the “Trustee”). We used a portion of the net proceeds of the offering to repay in full the $1.55 billion mortgage financing of Caesars Palace Las Vegas, and pay certain fees and expenses including the net prepayment penalty of $55.4 million. On January 24, 2020, the remaining net proceeds were used to pay for a portion of the purchase price of the JACK Cleveland/Thistledown Acquisition.</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on the November 2019 Senior Unsecured Notes is payable semi-annually in cash in arrears on June 1 and December 1 of each year. The 2026 Notes and 2029 Notes are redeemable at our option, in whole or in part, at any time on or after December 1, 2022 and December 1, 2024, respectively, at the redemption prices set forth in the respective indenture. We may redeem some or all of the 2026 Notes or the 2029 Notes prior to such respective dates at a price equal to 100% of the principal amount thereof plus a “make-whole” premium. Prior to December 1, 2022, we may redeem up to 40% of the aggregate principal amount of the 2026 Notes or the 2029 Notes using the proceeds of certain equity offerings at the redemption price set forth in the respective indenture.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5, 2020, the Issuers issued (i) $750.0 million in aggregate principal amount of 3.500% 2025 Notes, which mature on February 15, 2025, (ii) $750.0 million in aggregate principal amount of 3.750% 2027 Notes, which mature on February 15, 2027, and (iii) $1.0 billion in aggregate principal amount of 4.125% 2030 Notes, which mature on August 15, 2030, under separate indentures, each dated as of February 5, 2020, among the Issuers, the subsidiary guarantors party thereto and the Trustee. We placed $2.0 billion of the net proceeds of the offering into escrow pending the consummation of the Eldorado Transaction (which was subsequently released from escrow and used to fund a portion of the purchase price of the Eldorado Transaction on July 20, 2020), and used the remaining net proceeds from the 2025 Notes, together with cash on hand, to redeem in full the outstanding $498.5 million in aggregate principal amount of the Second Lien Notes plus the Second Lien Notes Applicable Premium (as defined in the Second Lien Notes indenture), for a total redemption cost of approximately $537.5 million.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on the February 2020 Senior Unsecured Notes is payable semi-annually in cash in arrears on February 15 and August 15 of each year. The 2025 Notes, 2027 Notes and 2030 Notes are redeemable at our option, in whole or in part, at any time on or after February 15, 2022, February 15, 2023, and February 15, 2025, respectively, at the redemption prices set forth in the respective indenture. We may redeem some or all of the 2025 Notes, 2027 Notes or 2030 Notes prior to such respective dates at a price equal to 100% of the principal amount thereof plus a “make-whole” premium. Prior to February 15, 2022, with respect to the 2025 Notes, and February 15, 2023, with respect to the 2027 Notes and 2030 Notes, we may redeem up to 40% of the aggregate principal amount of the 2025 Notes, 2027 Notes or 2030 Notes using the proceeds of certain equity offerings at the redemption price set forth in the respective indenture.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Financial Covenants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November 2019 Senior Unsecured Notes and the February 2020 Senior Unsecured Notes (together, the “Senior Unsecured Notes”) are fully and unconditionally guaranteed, jointly and severally, on a senior unsecured basis by each existing and future direct and indirect wholly owned material domestic subsidiary of the Operating Partnership that incurs or guarantees certain bank indebtedness or any other material capital market indebtedness, other than certain excluded subsidiaries and the Co-Issuer.</w:t>
      </w:r>
    </w:p>
    <w:p>
      <w:pPr>
        <w:spacing w:after="0" w:line="134" w:lineRule="exact"/>
        <w:rPr>
          <w:sz w:val="20"/>
          <w:szCs w:val="20"/>
          <w:color w:val="auto"/>
        </w:rPr>
      </w:pPr>
    </w:p>
    <w:p>
      <w:pPr>
        <w:jc w:val="both"/>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Operating Partnership and its subsidiaries represent our “Real Property Business” segment, with the “Golf Course Business” segment corresponding to the portion of our business operated through entities that are not direct or indirect subsidiaries of the Operating Partnership or obligors of the Senior Unsecured Notes. Refer to </w:t>
      </w:r>
      <w:hyperlink w:anchor="page46">
        <w:r>
          <w:rPr>
            <w:rFonts w:ascii="Arial" w:cs="Arial" w:eastAsia="Arial" w:hAnsi="Arial"/>
            <w:sz w:val="18"/>
            <w:szCs w:val="18"/>
            <w:u w:val="single" w:color="auto"/>
            <w:color w:val="0000FF"/>
          </w:rPr>
          <w:t>Note 14 -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respective indentures for the Senior Unsecured Notes each contain covenants that limit the Issuers’ and their restricted subsidiaries’ ability to, among other things: (i) incur additional debt; (ii) pay dividends on or make other distributions in respect of their capital stock or make other restricted payments;</w:t>
      </w:r>
    </w:p>
    <w:p>
      <w:pPr>
        <w:spacing w:after="0" w:line="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certain investments; (iv) sell certain assets; (v) create or permit to exist dividend and/or payment restrictions affecting their restricted subsidiaries;</w:t>
      </w:r>
    </w:p>
    <w:p>
      <w:pPr>
        <w:spacing w:after="0" w:line="31" w:lineRule="exact"/>
        <w:rPr>
          <w:rFonts w:ascii="Arial" w:cs="Arial" w:eastAsia="Arial" w:hAnsi="Arial"/>
          <w:sz w:val="16"/>
          <w:szCs w:val="16"/>
          <w:color w:val="auto"/>
        </w:rPr>
      </w:pPr>
    </w:p>
    <w:p>
      <w:pPr>
        <w:jc w:val="both"/>
        <w:ind w:firstLine="8"/>
        <w:spacing w:after="0" w:line="268" w:lineRule="auto"/>
        <w:tabs>
          <w:tab w:leader="none" w:pos="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 As of June 30, 2021, the restricted net assets of the Operating Partnership were approximately $7.5 billion.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previous revolving credit facility under the Revolving Credit Facility. After giving effect to Amendment No. 2, the Credit Agreement, provided total borrowing capacity pursuant to the revolving credit commitments in the aggregate principal amount of $1.0 billion.</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May 15, 2019, immediately after giving effect to Amendment No. 2, VICI PropCo entered into Amendment No. 3 (“Amendment No. 3”) to the Credit Agreement, which amended and restated the Credit Agreement in its entirety as of May 15, 2019 (as subsequently amended,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 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 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commencing with the first full fiscal quarter after the effectiveness of Amendment No. 3, an interest coverage ratio (defined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 Agreement provides for capacity to add incremental loans in an aggregate amount of: (x) $1.2 billion to be used solely to finance certain acquisitions; plus (y) an unlimited amount, subject to VICI Propco not exceeding certain leverage ratios.</w:t>
      </w:r>
    </w:p>
    <w:p>
      <w:pPr>
        <w:spacing w:after="0" w:line="11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117"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 additional restricted payments in an aggregate amount not to exceed the greater of 0.6% of Adjusted Total Assets or $30.0 million. We are also subject to the financial covenants under the Revolving Credit Facility, as previously described above.</w:t>
      </w:r>
    </w:p>
    <w:p>
      <w:pPr>
        <w:spacing w:after="0" w:line="12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including CPLV Borrower, are subject to the covenants of the Amended and Restated Credit Agreement or are guarantors of the Senior Secured Credit Facilities. The Term Loan B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Amended and Restated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11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9">
        <w:r>
          <w:rPr>
            <w:rFonts w:ascii="Arial" w:cs="Arial" w:eastAsia="Arial" w:hAnsi="Arial"/>
            <w:sz w:val="18"/>
            <w:szCs w:val="18"/>
            <w:u w:val="single" w:color="auto"/>
            <w:color w:val="0000FF"/>
          </w:rPr>
          <w:t>Note 8 - 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our interest rate swap agreements related to the Term Loan B Facility.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Bridge Facility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 2021, in connection with the Venetian Acquisition, VICI PropCo entered into a Commitment Letter (the “Venetian Acquisition Commitment Letter”) with Deutsche Bank Securities Inc. and Deutsche Bank AG Cayman Islands Branch, and Morgan Stanley Senior Funding, Inc. (collectively, the “Venetian Acquisition Bridge Lender”), pursuant to which, and subject to the terms and conditions set forth therein, the Venetian Acquisition Bridge Lender has provided commitments in an amount up to $4.0 billion in the aggregate, consisting of a 364-day first lien secured bridge facility (the “Venetian Acquisition Bridge Facility”), for the purpose of providing a portion of the financing necessary to fund the consideration in connection with the Venetian PropCo Acquisition. The commitment fee is equal to, (i) with respect to any commitments that remain outstanding prior to April 1, 2021, 0.25% of such commitments, (ii) with respect to any commitments that remain outstanding on April 1, 2021 and are terminated prior to March 2, 2022, 0.50% of such commitments, and (iii) with respect to any commitments that remain outstanding after March 2, 2022, 0.75% of such commitments. For the three and six months ended June 30, 2021, we recognized $5.6 million and $7.9 million of fees, respectively, related to the Venetian Acquisition Bridge Facility in Interest expense on our Statement of Operations.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Commitments and loans under the Venetian Acquisition Bridge Facility will be reduced or prepaid, as applicable, in part with the proceeds of certain incurrences of indebtedness, issuances of equity and asset sales. If we use the Venetian Acquisition Bridge Facility, funding is contingent on the satisfaction of certain customary conditions set forth in the Venetian Acquisition Commitment Letter, including, among others, (i) the execution and delivery of definitive documentation with respect to the Venetian Acquisition Bridge Facility in accordance with the terms set forth in the Venetian Acquisition Commitment Letter and (ii) the consummation of the Venetian Acquisition in accordance with the Purchase Agreements. Although we do not currently expect VICI PropCo to make any borrowings under the Venetian Acquisition Bridge Facility, there can be no assurance that such borrowings will not be made or that we will be able to incur alternative long-term debt financing in lieu of borrowings under the Venetian Acquisition Bridge Facility on favorable terms, or at all. Interest under the Venetian Acquisition Bridge Facility, if funded, will be calculated on a rate between (i) LIBOR plus 200 basis points and LIBOR plus 275 basis points or (ii) the base rate plus 100 basis points and the base rate plus 175 basis points, in each case depending on duration. The Venetian Acquisition Bridge Facility, if funded, will contain restrictive covenants and events of default substantially similar to those contained in Senior Secured Credit Facilities. If we draw upon the Venetian Acquisition Bridge Facility, there can be no assurances that we would be able to refinance the Venetian Acquisition Bridge Facility on satisfactory terms, or at all.</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On March 8, 2021, following the entry into the March 2021 Forward Sale Agreements, the commitments under the Venetian Acquisition Bridge Facility were reduced by $1,890.0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Transaction Bridge Facilities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24, 2019, in connection with the Eldorado Transaction, VICI PropCo entered into a commitment letter with Deutsche Bank Securities Inc. and Deutsche Bank AG Cayman Islands Branch (collectively, the “Eldorado Transaction Bridge Lender”), pursuant to which and subject to the terms and conditions set forth therein, the Eldorado Transaction Bridge Lender agreed to provide (i) a 364-day first lien secured bridge facility of up to $3.3 billion in the aggregate and (ii) a 364-day second lien secured bridge facility of up to $1.5 billion in the aggregate (collectively the “Eldorado Transaction Bridge Facilities”), for the purpose of providing a portion of the financing necessary to fund the consideration to be paid pursuant to the terms of the Eldorado Transaction documents and related fees and expenses. Following the November 2019 Senior Unsecured Notes offering, the commitments under the Bridge Facilities were reduced by $1.6 billion, to $3.2 billion. Following the February 2020 Senior Unsecured Notes offering, we placed $2.0 billion of the net proceeds of the offering into escrow pending the consummation of the Eldorado Transaction and the commitments under the Bridge Facilities were further reduced by $2.0 billion to $1.2 billion. The Eldorado Transaction Bridge Facilities were subject to a tiered commitment fee based on the period the commitment is outstanding and a structuring fee. The structuring fee was equal to 0.10% of the total aggregate commitments at June 24, 2019 and was payable as such commitments were terminated. For the three and six months ended June 30, 2020, we recognized $0.5 million and $3.1 million, respectively, of fees related to the Eldorado Transaction Bridge Facilities in Interest expense on our Statement of Operations. No such amount was recognized for the three and six months ended June 30, 2021 as the Eldorado Transaction Bridge Facilities were fully terminated at our election in June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on October 6, 2017, pursuant to an indenture by and among VICI PropCo and its wholly owned subsidiary, VICI FC Inc., the subsidiary guarantors party thereto, and UMB Bank National Association, as trustee. On February 20, 2020, we used a portion of the proceeds from the issuance of the 2025 Notes, together with cash on hand, to redeem in full the Second Lien Notes at a redemption price of 100% of the principal amount of the Second Lien Notes then outstanding plus the Second Lien Notes Applicable Premium (as defined in the Second Lien Notes indenture), for a total redemption cost of $537.5 million. In connection with the full redemption, we recognized a loss on extinguishment of debt of $39.1 million during the six months ended June 30,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the Operating Partnership,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June 30, 2021, we are in compliance with all financial covenants under our debt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24, 2018, we entered into four interest rate swap agreements with third-party financial institutions having an aggregate notional amount of $1.5 billion. On January 3, 2019, we entered into two additional interest rate swap agreements with third-party financial institutions having an aggregate notional amount of $500.0 million, which matured on January 22, 2021. The interest rate swap transactions are designated as cash flow hedges that effectively fix the LIBOR component of the interest rate on a portion of the outstanding debt under the Term Loan B Facility at 2.8297%. As of June 30, 2021 and for the duration of the remaining interest rate swap transactions, we are subject to interest rate risk on $600.0 million of variable rate debt.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our outstanding interest rate derivatives that were designated as cash flow hedges of interest rate risk as of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gridSpan w:val="7"/>
          </w:tcPr>
          <w:p>
            <w:pPr>
              <w:ind w:left="2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7"/>
          </w:tcPr>
          <w:p>
            <w:pPr>
              <w:jc w:val="center"/>
              <w:ind w:right="680"/>
              <w:spacing w:after="0"/>
              <w:rPr>
                <w:sz w:val="20"/>
                <w:szCs w:val="20"/>
                <w:color w:val="auto"/>
              </w:rPr>
            </w:pPr>
            <w:r>
              <w:rPr>
                <w:rFonts w:ascii="Arial" w:cs="Arial" w:eastAsia="Arial" w:hAnsi="Arial"/>
                <w:sz w:val="16"/>
                <w:szCs w:val="16"/>
                <w:b w:val="1"/>
                <w:bCs w:val="1"/>
                <w:color w:val="auto"/>
                <w:w w:val="90"/>
              </w:rPr>
              <w:t>June 30, 2021</w:t>
            </w: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600" w:type="dxa"/>
            <w:vAlign w:val="bottom"/>
            <w:gridSpan w:val="7"/>
            <w:vMerge w:val="restart"/>
          </w:tcPr>
          <w:p>
            <w:pPr>
              <w:ind w:left="20"/>
              <w:spacing w:after="0"/>
              <w:rPr>
                <w:sz w:val="20"/>
                <w:szCs w:val="20"/>
                <w:color w:val="auto"/>
              </w:rPr>
            </w:pPr>
            <w:r>
              <w:rPr>
                <w:rFonts w:ascii="Arial" w:cs="Arial" w:eastAsia="Arial" w:hAnsi="Arial"/>
                <w:sz w:val="16"/>
                <w:szCs w:val="16"/>
                <w:b w:val="1"/>
                <w:bCs w:val="1"/>
                <w:color w:val="auto"/>
              </w:rPr>
              <w:t>Instrument</w:t>
            </w:r>
          </w:p>
        </w:tc>
        <w:tc>
          <w:tcPr>
            <w:tcW w:w="40" w:type="dxa"/>
            <w:vAlign w:val="bottom"/>
          </w:tcPr>
          <w:p>
            <w:pPr>
              <w:spacing w:after="0"/>
              <w:rPr>
                <w:sz w:val="13"/>
                <w:szCs w:val="13"/>
                <w:color w:val="auto"/>
              </w:rPr>
            </w:pPr>
          </w:p>
        </w:tc>
        <w:tc>
          <w:tcPr>
            <w:tcW w:w="1460" w:type="dxa"/>
            <w:vAlign w:val="bottom"/>
            <w:gridSpan w:val="3"/>
          </w:tcPr>
          <w:p>
            <w:pPr>
              <w:jc w:val="center"/>
              <w:ind w:right="140"/>
              <w:spacing w:after="0" w:line="155" w:lineRule="exact"/>
              <w:rPr>
                <w:sz w:val="20"/>
                <w:szCs w:val="20"/>
                <w:color w:val="auto"/>
              </w:rPr>
            </w:pPr>
            <w:r>
              <w:rPr>
                <w:rFonts w:ascii="Arial" w:cs="Arial" w:eastAsia="Arial" w:hAnsi="Arial"/>
                <w:sz w:val="16"/>
                <w:szCs w:val="16"/>
                <w:b w:val="1"/>
                <w:bCs w:val="1"/>
                <w:color w:val="auto"/>
                <w:w w:val="94"/>
              </w:rPr>
              <w:t>Number of</w:t>
            </w:r>
          </w:p>
        </w:tc>
        <w:tc>
          <w:tcPr>
            <w:tcW w:w="20" w:type="dxa"/>
            <w:vAlign w:val="bottom"/>
          </w:tcPr>
          <w:p>
            <w:pPr>
              <w:spacing w:after="0"/>
              <w:rPr>
                <w:sz w:val="13"/>
                <w:szCs w:val="13"/>
                <w:color w:val="auto"/>
              </w:rPr>
            </w:pP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3"/>
              </w:rPr>
              <w:t>Fixed Rate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Notional</w:t>
            </w:r>
          </w:p>
        </w:tc>
        <w:tc>
          <w:tcPr>
            <w:tcW w:w="20" w:type="dxa"/>
            <w:vAlign w:val="bottom"/>
          </w:tcPr>
          <w:p>
            <w:pPr>
              <w:spacing w:after="0"/>
              <w:rPr>
                <w:sz w:val="13"/>
                <w:szCs w:val="13"/>
                <w:color w:val="auto"/>
              </w:rPr>
            </w:pPr>
          </w:p>
        </w:tc>
        <w:tc>
          <w:tcPr>
            <w:tcW w:w="146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5"/>
              </w:rPr>
              <w:t>Index</w:t>
            </w:r>
          </w:p>
        </w:tc>
        <w:tc>
          <w:tcPr>
            <w:tcW w:w="20" w:type="dxa"/>
            <w:vAlign w:val="bottom"/>
          </w:tcPr>
          <w:p>
            <w:pPr>
              <w:spacing w:after="0"/>
              <w:rPr>
                <w:sz w:val="13"/>
                <w:szCs w:val="13"/>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600" w:type="dxa"/>
            <w:vAlign w:val="bottom"/>
            <w:gridSpan w:val="7"/>
            <w:vMerge w:val="continue"/>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Instruments</w:t>
            </w:r>
          </w:p>
        </w:tc>
        <w:tc>
          <w:tcPr>
            <w:tcW w:w="2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tcBorders>
              <w:top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5"/>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7"/>
          </w:tcPr>
          <w:p>
            <w:pPr>
              <w:jc w:val="center"/>
              <w:ind w:right="660"/>
              <w:spacing w:after="0"/>
              <w:rPr>
                <w:sz w:val="20"/>
                <w:szCs w:val="20"/>
                <w:color w:val="auto"/>
              </w:rPr>
            </w:pPr>
            <w:r>
              <w:rPr>
                <w:rFonts w:ascii="Arial" w:cs="Arial" w:eastAsia="Arial" w:hAnsi="Arial"/>
                <w:sz w:val="16"/>
                <w:szCs w:val="16"/>
                <w:b w:val="1"/>
                <w:bCs w:val="1"/>
                <w:color w:val="auto"/>
                <w:w w:val="91"/>
              </w:rPr>
              <w:t>December 31, 2020</w:t>
            </w: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Instrument</w:t>
            </w:r>
          </w:p>
        </w:tc>
        <w:tc>
          <w:tcPr>
            <w:tcW w:w="40" w:type="dxa"/>
            <w:vAlign w:val="bottom"/>
          </w:tcPr>
          <w:p>
            <w:pPr>
              <w:spacing w:after="0"/>
              <w:rPr>
                <w:sz w:val="13"/>
                <w:szCs w:val="13"/>
                <w:color w:val="auto"/>
              </w:rPr>
            </w:pPr>
          </w:p>
        </w:tc>
        <w:tc>
          <w:tcPr>
            <w:tcW w:w="14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4"/>
              </w:rPr>
              <w:t>Number of</w:t>
            </w:r>
          </w:p>
        </w:tc>
        <w:tc>
          <w:tcPr>
            <w:tcW w:w="20" w:type="dxa"/>
            <w:vAlign w:val="bottom"/>
          </w:tcPr>
          <w:p>
            <w:pPr>
              <w:spacing w:after="0"/>
              <w:rPr>
                <w:sz w:val="13"/>
                <w:szCs w:val="13"/>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Fixed Rate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Notional</w:t>
            </w:r>
          </w:p>
        </w:tc>
        <w:tc>
          <w:tcPr>
            <w:tcW w:w="20" w:type="dxa"/>
            <w:vAlign w:val="bottom"/>
          </w:tcPr>
          <w:p>
            <w:pPr>
              <w:spacing w:after="0"/>
              <w:rPr>
                <w:sz w:val="13"/>
                <w:szCs w:val="13"/>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Index</w:t>
            </w:r>
          </w:p>
        </w:tc>
        <w:tc>
          <w:tcPr>
            <w:tcW w:w="20" w:type="dxa"/>
            <w:vAlign w:val="bottom"/>
          </w:tcPr>
          <w:p>
            <w:pPr>
              <w:spacing w:after="0"/>
              <w:rPr>
                <w:sz w:val="13"/>
                <w:szCs w:val="13"/>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Instruments</w:t>
            </w:r>
          </w:p>
        </w:tc>
        <w:tc>
          <w:tcPr>
            <w:tcW w:w="2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Interest Rate Swaps</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2.3802%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USD LIBOR</w:t>
            </w:r>
          </w:p>
        </w:tc>
        <w:tc>
          <w:tcPr>
            <w:tcW w:w="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January 22,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As of June 30, 2021 and December 31, 2020, the interest rate swaps are in net unrealized loss positions and are recorded within Other liabilities. The following table presents the effect of our derivative financial instruments on our Statement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0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Six Months Ended June 30,</w:t>
            </w:r>
          </w:p>
        </w:tc>
      </w:tr>
      <w:tr>
        <w:trPr>
          <w:trHeight w:val="171"/>
        </w:trPr>
        <w:tc>
          <w:tcPr>
            <w:tcW w:w="5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35"/>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5"/>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2"/>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gain (loss) recorded in other comprehensive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(52,187)</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Interest recorded in 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11,114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21,168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assets and liabilities measured at fair value on a recurring basis as of June 30, 2021 and December 31, 2020: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4"/>
              </w:rPr>
              <w:t>June 30, 2021</w:t>
            </w: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71"/>
        </w:trPr>
        <w:tc>
          <w:tcPr>
            <w:tcW w:w="4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500"/>
              <w:spacing w:after="0" w:line="171" w:lineRule="exact"/>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19"/>
                <w:szCs w:val="19"/>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43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tcPr>
          <w:p>
            <w:pPr>
              <w:ind w:left="200"/>
              <w:spacing w:after="0" w:line="229"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70,815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70,815</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9"/>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171"/>
        </w:trPr>
        <w:tc>
          <w:tcPr>
            <w:tcW w:w="4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480"/>
              <w:spacing w:after="0" w:line="171"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19"/>
                <w:szCs w:val="19"/>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43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tcPr>
          <w:p>
            <w:pPr>
              <w:ind w:left="200"/>
              <w:spacing w:after="0" w:line="229"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19,973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03"/>
        </w:trPr>
        <w:tc>
          <w:tcPr>
            <w:tcW w:w="20" w:type="dxa"/>
            <w:vAlign w:val="bottom"/>
          </w:tcPr>
          <w:p>
            <w:pPr>
              <w:spacing w:after="0"/>
              <w:rPr>
                <w:sz w:val="24"/>
                <w:szCs w:val="24"/>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92,521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92,521</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4"/>
          <w:szCs w:val="14"/>
          <w:color w:val="auto"/>
        </w:rPr>
        <w:t>___________________</w:t>
      </w:r>
    </w:p>
    <w:p>
      <w:pPr>
        <w:spacing w:after="0" w:line="42"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investments is equal to their fair value due to the short-term nature of the investments as well as their credit quality.</w:t>
      </w:r>
    </w:p>
    <w:p>
      <w:pPr>
        <w:spacing w:after="0" w:line="54" w:lineRule="exact"/>
        <w:rPr>
          <w:rFonts w:ascii="Arial" w:cs="Arial" w:eastAsia="Arial" w:hAnsi="Arial"/>
          <w:sz w:val="14"/>
          <w:szCs w:val="14"/>
          <w:i w:val="1"/>
          <w:iCs w:val="1"/>
          <w:color w:val="auto"/>
        </w:rPr>
      </w:pPr>
    </w:p>
    <w:p>
      <w:pPr>
        <w:ind w:right="280" w:firstLine="8"/>
        <w:spacing w:after="0" w:line="272" w:lineRule="auto"/>
        <w:tabs>
          <w:tab w:leader="none" w:pos="203"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as of June 30, 2021 and December 31, 2020 for which fair value is only disclosed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5"/>
          </w:tcPr>
          <w:p>
            <w:pPr>
              <w:ind w:left="580"/>
              <w:spacing w:after="0"/>
              <w:rPr>
                <w:sz w:val="20"/>
                <w:szCs w:val="20"/>
                <w:color w:val="auto"/>
              </w:rPr>
            </w:pPr>
            <w:r>
              <w:rPr>
                <w:rFonts w:ascii="Arial" w:cs="Arial" w:eastAsia="Arial" w:hAnsi="Arial"/>
                <w:sz w:val="16"/>
                <w:szCs w:val="16"/>
                <w:b w:val="1"/>
                <w:bCs w:val="1"/>
                <w:color w:val="auto"/>
              </w:rPr>
              <w:t>June 30, 2021</w:t>
            </w:r>
          </w:p>
        </w:tc>
        <w:tc>
          <w:tcPr>
            <w:tcW w:w="340" w:type="dxa"/>
            <w:vAlign w:val="bottom"/>
          </w:tcPr>
          <w:p>
            <w:pPr>
              <w:spacing w:after="0"/>
              <w:rPr>
                <w:sz w:val="18"/>
                <w:szCs w:val="18"/>
                <w:color w:val="auto"/>
              </w:rPr>
            </w:pPr>
          </w:p>
        </w:tc>
        <w:tc>
          <w:tcPr>
            <w:tcW w:w="244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December 31, 2020</w:t>
            </w:r>
          </w:p>
        </w:tc>
      </w:tr>
      <w:tr>
        <w:trPr>
          <w:trHeight w:val="171"/>
        </w:trPr>
        <w:tc>
          <w:tcPr>
            <w:tcW w:w="55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Borders>
              <w:top w:val="single" w:sz="8" w:color="auto"/>
            </w:tcBorders>
            <w:gridSpan w:val="3"/>
          </w:tcPr>
          <w:p>
            <w:pPr>
              <w:ind w:left="40"/>
              <w:spacing w:after="0" w:line="171"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11"/>
              <w:spacing w:after="0" w:line="171"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1440" w:type="dxa"/>
            <w:vAlign w:val="bottom"/>
            <w:tcBorders>
              <w:top w:val="single" w:sz="8" w:color="auto"/>
            </w:tcBorders>
            <w:gridSpan w:val="3"/>
          </w:tcPr>
          <w:p>
            <w:pPr>
              <w:ind w:left="60"/>
              <w:spacing w:after="0" w:line="171"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11"/>
              <w:spacing w:after="0" w:line="171" w:lineRule="exact"/>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i w:val="1"/>
                <w:iCs w:val="1"/>
                <w:color w:val="auto"/>
              </w:rPr>
              <w:t>Financial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tcPr>
          <w:p>
            <w:pPr>
              <w:ind w:left="180"/>
              <w:spacing w:after="0" w:line="229"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2,643,648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2,804,602</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2,684,955</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180"/>
              <w:spacing w:after="0" w:line="229"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538,151</w:t>
            </w:r>
          </w:p>
        </w:tc>
      </w:tr>
      <w:tr>
        <w:trPr>
          <w:trHeight w:val="229"/>
        </w:trPr>
        <w:tc>
          <w:tcPr>
            <w:tcW w:w="20" w:type="dxa"/>
            <w:vAlign w:val="bottom"/>
          </w:tcPr>
          <w:p>
            <w:pPr>
              <w:spacing w:after="0"/>
              <w:rPr>
                <w:sz w:val="19"/>
                <w:szCs w:val="19"/>
                <w:color w:val="auto"/>
              </w:rPr>
            </w:pPr>
          </w:p>
        </w:tc>
        <w:tc>
          <w:tcPr>
            <w:tcW w:w="55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315,993</w:t>
            </w:r>
          </w:p>
        </w:tc>
      </w:tr>
      <w:tr>
        <w:trPr>
          <w:trHeight w:val="229"/>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tcPr>
          <w:p>
            <w:pPr>
              <w:ind w:left="200"/>
              <w:spacing w:after="0" w:line="229"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i w:val="1"/>
                <w:iCs w:val="1"/>
                <w:color w:val="auto"/>
                <w:vertAlign w:val="superscript"/>
              </w:rPr>
              <w:t>(3)</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540" w:type="dxa"/>
            <w:vAlign w:val="bottom"/>
            <w:gridSpan w:val="2"/>
          </w:tcPr>
          <w:p>
            <w:pPr>
              <w:ind w:left="320"/>
              <w:spacing w:after="0"/>
              <w:rPr>
                <w:sz w:val="20"/>
                <w:szCs w:val="20"/>
                <w:color w:val="auto"/>
              </w:rPr>
            </w:pPr>
            <w:r>
              <w:rPr>
                <w:rFonts w:ascii="Arial" w:cs="Arial" w:eastAsia="Arial" w:hAnsi="Arial"/>
                <w:sz w:val="18"/>
                <w:szCs w:val="18"/>
                <w:color w:val="auto"/>
              </w:rPr>
              <w:t>Term Loan B Facility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2,083,362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2,081,625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2,080,974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2,065,875</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2025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766,875</w:t>
            </w:r>
          </w:p>
        </w:tc>
      </w:tr>
      <w:tr>
        <w:trPr>
          <w:trHeight w:val="229"/>
        </w:trPr>
        <w:tc>
          <w:tcPr>
            <w:tcW w:w="20" w:type="dxa"/>
            <w:vAlign w:val="bottom"/>
          </w:tcPr>
          <w:p>
            <w:pPr>
              <w:spacing w:after="0"/>
              <w:rPr>
                <w:sz w:val="19"/>
                <w:szCs w:val="19"/>
                <w:color w:val="auto"/>
              </w:rPr>
            </w:pPr>
          </w:p>
        </w:tc>
        <w:tc>
          <w:tcPr>
            <w:tcW w:w="5540" w:type="dxa"/>
            <w:vAlign w:val="bottom"/>
            <w:gridSpan w:val="2"/>
          </w:tcPr>
          <w:p>
            <w:pPr>
              <w:ind w:left="320"/>
              <w:spacing w:after="0"/>
              <w:rPr>
                <w:sz w:val="20"/>
                <w:szCs w:val="20"/>
                <w:color w:val="auto"/>
              </w:rPr>
            </w:pPr>
            <w:r>
              <w:rPr>
                <w:rFonts w:ascii="Arial" w:cs="Arial" w:eastAsia="Arial" w:hAnsi="Arial"/>
                <w:sz w:val="18"/>
                <w:szCs w:val="18"/>
                <w:color w:val="auto"/>
              </w:rPr>
              <w:t>2026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1,303,125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1,233,119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1,296,875</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2027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763,125</w:t>
            </w:r>
          </w:p>
        </w:tc>
      </w:tr>
      <w:tr>
        <w:trPr>
          <w:trHeight w:val="229"/>
        </w:trPr>
        <w:tc>
          <w:tcPr>
            <w:tcW w:w="20" w:type="dxa"/>
            <w:vAlign w:val="bottom"/>
          </w:tcPr>
          <w:p>
            <w:pPr>
              <w:spacing w:after="0"/>
              <w:rPr>
                <w:sz w:val="19"/>
                <w:szCs w:val="19"/>
                <w:color w:val="auto"/>
              </w:rPr>
            </w:pPr>
          </w:p>
        </w:tc>
        <w:tc>
          <w:tcPr>
            <w:tcW w:w="5540" w:type="dxa"/>
            <w:vAlign w:val="bottom"/>
            <w:gridSpan w:val="2"/>
          </w:tcPr>
          <w:p>
            <w:pPr>
              <w:ind w:left="320"/>
              <w:spacing w:after="0"/>
              <w:rPr>
                <w:sz w:val="20"/>
                <w:szCs w:val="20"/>
                <w:color w:val="auto"/>
              </w:rPr>
            </w:pPr>
            <w:r>
              <w:rPr>
                <w:rFonts w:ascii="Arial" w:cs="Arial" w:eastAsia="Arial" w:hAnsi="Arial"/>
                <w:sz w:val="18"/>
                <w:szCs w:val="18"/>
                <w:color w:val="auto"/>
              </w:rPr>
              <w:t>2029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1,063,750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1,070,000</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2030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40" w:right="20" w:hanging="332"/>
        <w:spacing w:after="0"/>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JACK Cleveland/Thistledown Lease Agreement and the MTA Properties. The fair value of these assets are based on significant “unobservable” market inputs and, as such, these fair value measurements are considered Level 3 of the fair value hierarchy.</w:t>
      </w:r>
    </w:p>
    <w:p>
      <w:pPr>
        <w:spacing w:after="0" w:line="1" w:lineRule="exact"/>
        <w:rPr>
          <w:rFonts w:ascii="Arial" w:cs="Arial" w:eastAsia="Arial" w:hAnsi="Arial"/>
          <w:sz w:val="14"/>
          <w:szCs w:val="14"/>
          <w:i w:val="1"/>
          <w:iCs w:val="1"/>
          <w:color w:val="auto"/>
        </w:rPr>
      </w:pPr>
    </w:p>
    <w:p>
      <w:pPr>
        <w:ind w:left="340" w:hanging="332"/>
        <w:spacing w:after="0"/>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(i) Caesars Forum Convention Center Mortgage Loan, (ii) Chelsea Piers Mortgage Loan and (iii) Amended and Restated ROV Loan. We believe the current principal balance of the investments approximates their fair value.</w:t>
      </w:r>
    </w:p>
    <w:p>
      <w:pPr>
        <w:spacing w:after="0" w:line="1" w:lineRule="exact"/>
        <w:rPr>
          <w:rFonts w:ascii="Arial" w:cs="Arial" w:eastAsia="Arial" w:hAnsi="Arial"/>
          <w:sz w:val="14"/>
          <w:szCs w:val="14"/>
          <w:i w:val="1"/>
          <w:iCs w:val="1"/>
          <w:color w:val="auto"/>
        </w:rPr>
      </w:pPr>
    </w:p>
    <w:p>
      <w:pPr>
        <w:ind w:left="340" w:hanging="332"/>
        <w:spacing w:after="0" w:line="254" w:lineRule="auto"/>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June 30, 2021, we are not subject to any litigation that we believe could have, individually or in the aggregate, a material adverse effect on our business, financial condition or results of operations, liquidity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2038 and (ii) offices in New Orleans, LA and New York, NY, which expire in 2021 and 2030, respectively. The discount rates for the leases was determined based on the yield of our current secured borrowings, adjusted to match borrowings of similar terms, and are between 5.3% and 5.5%. The weighted average remaining lease term as of June 30, 2021 under our operating leases was 15.0 years. Our Cascata ground lease has three 10-year extension options. The rent of such options would be the in-place rent at the time of renewal.</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r>
      <w:tr>
        <w:trPr>
          <w:trHeight w:val="171"/>
        </w:trPr>
        <w:tc>
          <w:tcPr>
            <w:tcW w:w="5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jc w:val="right"/>
              <w:ind w:right="15"/>
              <w:spacing w:after="0" w:line="171" w:lineRule="exact"/>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3"/>
              <w:spacing w:after="0" w:line="171" w:lineRule="exact"/>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22"/>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1,003</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Contractual rent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345</w:t>
            </w:r>
          </w:p>
        </w:tc>
        <w:tc>
          <w:tcPr>
            <w:tcW w:w="8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668</w:t>
            </w:r>
          </w:p>
        </w:tc>
      </w:tr>
    </w:tbl>
    <w:p>
      <w:pPr>
        <w:spacing w:after="0" w:line="2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June 30, 2021, we have a $17.2 million right of use asset and corresponding lease liability recorded in Other assets and Other liabilities, respectively, on our Balance Sheet related to our operating lease commitments for which we are the lessee.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June 30, 2021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2"/>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1,847</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1,959</w:t>
            </w:r>
          </w:p>
        </w:tc>
      </w:tr>
      <w:tr>
        <w:trPr>
          <w:trHeight w:val="229"/>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17,117</w:t>
            </w:r>
          </w:p>
        </w:tc>
      </w:tr>
      <w:tr>
        <w:trPr>
          <w:trHeight w:val="222"/>
        </w:trPr>
        <w:tc>
          <w:tcPr>
            <w:tcW w:w="20" w:type="dxa"/>
            <w:vAlign w:val="bottom"/>
          </w:tcPr>
          <w:p>
            <w:pPr>
              <w:spacing w:after="0"/>
              <w:rPr>
                <w:sz w:val="19"/>
                <w:szCs w:val="19"/>
                <w:color w:val="auto"/>
              </w:rPr>
            </w:pPr>
          </w:p>
        </w:tc>
        <w:tc>
          <w:tcPr>
            <w:tcW w:w="8740" w:type="dxa"/>
            <w:vAlign w:val="bottom"/>
            <w:gridSpan w:val="2"/>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8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w:t>
            </w:r>
          </w:p>
        </w:tc>
      </w:tr>
      <w:tr>
        <w:trPr>
          <w:trHeight w:val="230"/>
        </w:trPr>
        <w:tc>
          <w:tcPr>
            <w:tcW w:w="8760" w:type="dxa"/>
            <w:vAlign w:val="bottom"/>
            <w:gridSpan w:val="3"/>
          </w:tcPr>
          <w:p>
            <w:pPr>
              <w:ind w:left="20"/>
              <w:spacing w:after="0"/>
              <w:rPr>
                <w:sz w:val="20"/>
                <w:szCs w:val="20"/>
                <w:color w:val="auto"/>
              </w:rPr>
            </w:pPr>
            <w:r>
              <w:rPr>
                <w:rFonts w:ascii="Arial" w:cs="Arial" w:eastAsia="Arial" w:hAnsi="Arial"/>
                <w:sz w:val="18"/>
                <w:szCs w:val="18"/>
                <w:color w:val="auto"/>
              </w:rPr>
              <w:t>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17,165</w:t>
            </w: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 Commitments</w:t>
      </w:r>
    </w:p>
    <w:p>
      <w:pPr>
        <w:spacing w:after="0" w:line="170"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Certain of our acquisitions necessitate that we assume, as the lessee, ground and use leases, the cost of which is passed to our tenants through the Lease Agreements, which require the tenants to pay all costs associated with such ground and use leases and provide for their direct payment to the landlord.</w:t>
      </w:r>
    </w:p>
    <w:p>
      <w:pPr>
        <w:spacing w:after="0" w:line="70" w:lineRule="exact"/>
        <w:rPr>
          <w:sz w:val="20"/>
          <w:szCs w:val="20"/>
          <w:color w:val="auto"/>
        </w:rPr>
      </w:pPr>
    </w:p>
    <w:p>
      <w:pPr>
        <w:jc w:val="both"/>
        <w:spacing w:after="0" w:line="339" w:lineRule="auto"/>
        <w:rPr>
          <w:sz w:val="20"/>
          <w:szCs w:val="20"/>
          <w:color w:val="auto"/>
        </w:rPr>
      </w:pPr>
      <w:r>
        <w:rPr>
          <w:rFonts w:ascii="Arial" w:cs="Arial" w:eastAsia="Arial" w:hAnsi="Arial"/>
          <w:sz w:val="15"/>
          <w:szCs w:val="15"/>
          <w:color w:val="auto"/>
        </w:rPr>
        <w:t>We have determined we are the primary obligor of certain of such ground and use leases and, accordingly, have presented these leases on a gross basis on our Balance Sheet and Statement of Operations. Further, we assessed the classification of the sub-lease to our tenant through the Lease Agreements, and our obligation as primary obligor of the ground and use leases and determined that they meet the definition of a sales-type lease and finance lease,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details the balance and location in our Balance Sheet of the ground and use leases as of June 30, 2021 and December 31, 2020, which is primarily comprised of the HNO Ground Lease: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6"/>
                <w:szCs w:val="16"/>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2"/>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Others assets (sales-type sub-leases)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r>
      <w:tr>
        <w:trPr>
          <w:trHeight w:val="230"/>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Other liabilities (finance sub-lease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284,001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284,376</w:t>
            </w:r>
          </w:p>
        </w:tc>
      </w:tr>
    </w:tbl>
    <w:p>
      <w:pPr>
        <w:spacing w:after="0" w:line="29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Six Months Ended June 30,</w:t>
            </w:r>
          </w:p>
        </w:tc>
      </w:tr>
      <w:tr>
        <w:trPr>
          <w:trHeight w:val="171"/>
        </w:trPr>
        <w:tc>
          <w:tcPr>
            <w:tcW w:w="5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35"/>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3"/>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54"/>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31"/>
              <w:spacing w:after="0" w:line="171" w:lineRule="exact"/>
              <w:rPr>
                <w:sz w:val="20"/>
                <w:szCs w:val="20"/>
                <w:color w:val="auto"/>
              </w:rPr>
            </w:pPr>
            <w:r>
              <w:rPr>
                <w:rFonts w:ascii="Arial" w:cs="Arial" w:eastAsia="Arial" w:hAnsi="Arial"/>
                <w:sz w:val="16"/>
                <w:szCs w:val="16"/>
                <w:b w:val="1"/>
                <w:bCs w:val="1"/>
                <w:color w:val="auto"/>
              </w:rPr>
              <w:t>2020</w:t>
            </w:r>
          </w:p>
        </w:tc>
        <w:tc>
          <w:tcPr>
            <w:tcW w:w="2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2"/>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Rental income and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9"/>
                <w:szCs w:val="19"/>
                <w:color w:val="auto"/>
              </w:rPr>
            </w:pP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Contractual rent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r>
      <w:tr>
        <w:trPr>
          <w:trHeight w:val="699"/>
        </w:trPr>
        <w:tc>
          <w:tcPr>
            <w:tcW w:w="8340" w:type="dxa"/>
            <w:vAlign w:val="bottom"/>
            <w:gridSpan w:val="9"/>
          </w:tcPr>
          <w:p>
            <w:pPr>
              <w:spacing w:after="0"/>
              <w:rPr>
                <w:sz w:val="20"/>
                <w:szCs w:val="20"/>
                <w:color w:val="auto"/>
              </w:rPr>
            </w:pPr>
            <w:r>
              <w:rPr>
                <w:rFonts w:ascii="Arial" w:cs="Arial" w:eastAsia="Arial" w:hAnsi="Arial"/>
                <w:sz w:val="18"/>
                <w:szCs w:val="18"/>
                <w:color w:val="auto"/>
                <w:w w:val="94"/>
              </w:rPr>
              <w:t>The future minimum lease commitments relating to the ground and use leases at June 30, 2021 are as follows: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1"/>
        </w:trPr>
        <w:tc>
          <w:tcPr>
            <w:tcW w:w="5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5"/>
          </w:tcPr>
          <w:p>
            <w:pPr>
              <w:ind w:left="520"/>
              <w:spacing w:after="0"/>
              <w:rPr>
                <w:sz w:val="20"/>
                <w:szCs w:val="20"/>
                <w:color w:val="auto"/>
              </w:rPr>
            </w:pPr>
            <w:r>
              <w:rPr>
                <w:rFonts w:ascii="Arial" w:cs="Arial" w:eastAsia="Arial" w:hAnsi="Arial"/>
                <w:sz w:val="16"/>
                <w:szCs w:val="16"/>
                <w:b w:val="1"/>
                <w:bCs w:val="1"/>
                <w:color w:val="auto"/>
              </w:rPr>
              <w:t>Lease Commitments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26,350</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r>
      <w:tr>
        <w:trPr>
          <w:trHeight w:val="229"/>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741,730</w:t>
            </w:r>
          </w:p>
        </w:tc>
        <w:tc>
          <w:tcPr>
            <w:tcW w:w="20" w:type="dxa"/>
            <w:vAlign w:val="bottom"/>
          </w:tcPr>
          <w:p>
            <w:pPr>
              <w:spacing w:after="0"/>
              <w:rPr>
                <w:sz w:val="19"/>
                <w:szCs w:val="19"/>
                <w:color w:val="auto"/>
              </w:rPr>
            </w:pPr>
          </w:p>
        </w:tc>
      </w:tr>
      <w:tr>
        <w:trPr>
          <w:trHeight w:val="222"/>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Total minimum lease commitments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876,155</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Discounting factor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592,154</w:t>
            </w:r>
          </w:p>
        </w:tc>
        <w:tc>
          <w:tcPr>
            <w:tcW w:w="20" w:type="dxa"/>
            <w:vAlign w:val="bottom"/>
          </w:tcPr>
          <w:p>
            <w:pPr>
              <w:spacing w:after="0"/>
              <w:rPr>
                <w:sz w:val="19"/>
                <w:szCs w:val="19"/>
                <w:color w:val="auto"/>
              </w:rPr>
            </w:pP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Finance sub-lease liability</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284,001</w:t>
            </w:r>
          </w:p>
        </w:tc>
        <w:tc>
          <w:tcPr>
            <w:tcW w:w="20" w:type="dxa"/>
            <w:vAlign w:val="bottom"/>
          </w:tcPr>
          <w:p>
            <w:pPr>
              <w:spacing w:after="0"/>
              <w:rPr>
                <w:sz w:val="19"/>
                <w:szCs w:val="19"/>
                <w:color w:val="auto"/>
              </w:rPr>
            </w:pPr>
          </w:p>
        </w:tc>
      </w:tr>
    </w:tbl>
    <w:p>
      <w:pPr>
        <w:spacing w:after="0" w:line="294"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The discount rate for the ground and use leases was determined based on the yield of our current secured borrowings, adjusted to match borrowings of similar terms, and are between 6% and 8%. The weighted average remaining lease term as of June 30, 2021 under our finance leases was 37.3 years.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March 2, 2021, we amended our Articles of Amendment and Restatement to increase: (i) the number of shares of stock that we are authorized to issue from 750,000,000 to 1,000,000,000, (ii) the number of shares of common stock, par value $0.01 per share, that we are authorized to issue from 700,000,000 to 950,000,000, and (iii) the aggregate par value of all authorized shares of our stock having par value from $7,500,000 to $10,000,000. As of June 30, 2021, we have the authority to issue 1,000,000,000 shares of stock, consisting of 950,000,000 shares of common stock, $0.01 par value per share, and 50,000,000 shares of preferred stock, $0.01 par value per share.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Offering</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4, 2021, we completed a primary follow-on offering of 69,000,000 shares of common stock (inclusive of 9,000,000 shares sold pursuant to the exercise in full of the underwriters’ option to purchase additional common stock) at a public offering price of $29.00 per share for an aggregate offering value of $2,001.0 million, all of which are subject to forward sale agreements (the “March 2021 Forward Sale Agreements”), which require settlement by March 4, 2022. We did not initially receive any proceeds from the sale of the shares of common stock in the offering, which were sold to the underwriters by the forward purchasers or their respective affiliates. We determined that the March 2021 Forward Sale Agreements meet the criteria for equity classification and are therefore exempt from derivative accounting. We recorded the March 2021 Forward Sale Agreements at fair value at inception, which we determined to be zero. Subsequent changes to fair value are not required under equity classification.</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settle the 69,000,000 shares under the March 2021 Forward Sale Agreements entirely by the physical delivery of shares of our common stock in exchange for cash proceeds, although we may elect cash settlement or net share settlement for all or a portion of our obligations under the March 2021 Forward Sale Agreements. As of June 30, 2021, the forward share price was $27.34 and would result in us receiving approximately $1,886.3 million in cash proceeds if we were to physically settle the shares under the March 2021 Forward Sale Agreements. Alternatively, if we were to net cash settle the shares under the March 2021 Forward Sale Agreements, it would result in a cash outflow of $254.1 million or, if we were to net share settle the shares under the March 2021 Forward Sale Agreements, it would result in us delivering approximately 8.2 million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are subject to a forward sale agreement (the “June 2020 Forward Sale Agreement”), which initially required settlement by September 17, 2020. On September 16, 2020, we amended the June 2020 Forward Sale Agreement to extend the maturity date from September 17, 2020 to June 17, 2021. Subsequent to March 31, 2021, on April 26, 2021, we further amended the June 2020 Forward Sale Agreement to extend the maturity date from June 17, 2021 to December 17, 2021. We did not initially receive any proceeds from the sale of the shares of common stock in the offering, which were sold to the underwriters by the forward purchaser or its affiliates. We determined that the June 2020 Forward Sale Agreement meets the criteria for equity classification and is therefore exempt from derivative accounting. We recorded the June 2020 Forward Sale Agreement at fair value at inception, which we determined to be zero. Subsequent changes to fair value are not required under equity classification.</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28, 2020, we partially settled the June 2020 Forward Sale Agreement by delivering 3,000,000 shares of our common stock to the forward purchaser, in exchange for total net proceeds of approximately $63.0 million, which was calculated based on the net forward sale price on the settlement date of $21.04 per share. The physical settlement of the June 2020 Forward Sale Agreement is calculated based on the initial forward sale price per share of $21.37, as adjusted for a floating interest rate factor and other fixed amounts based on the passage of time, as specified in the June 2020 Forward Sale Agreement.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settle the remaining 26,900,000 shares under the June 2020 Forward Sale Agreement entirely by the physical delivery of shares of our common stock in exchange for cash proceeds, although we may elect cash settlement or net share settlement for all or a portion of our remaining obligations under the June 2020 Forward Sale Agreement. As of June 30, 2021, the forward share price was $19.61 and would result in us receiving approximately $527.6 million in cash proceeds if we were to physically settle the remaining shares under the June 2020 Forward Sale Agreement. Alternatively, if we were to net cash settle the remaining shares under the June 2020 Forward Sale Agreement, it would result in a cash outflow of $306.8 million or, if we were to net share settle the remaining shares under the June 2020 Forward Sale Agreement, it would result in us delivering approximately 9.9 million shares.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shares of common stock issuable upon settlement of the March 2021 Forward Sale Agreements and June 2020 Forward Sale Agreement are reflected in our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shares under the March 2021 Forward Sale Agreements and remaining shares under the June 2020 Forward Sale Agreement over the number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of shares of common stock that could be purchased by us in the market (based on the average market price during the period) using the proceeds receivable upon physical settlement of the remaining shares (based on the adjusted forward sales price at the end of the reporting period). If and when we physically settle the shares under the March 2021 Forward Sale Agreements and remaining shares under the June 2020 Forward Sale Agreement, the delivery of shares of our common stock will result in an increase in the number of shares of common stock outstanding and dilution to our earnings per share. We intend to use the net proceeds upon settlement of the shares under the March 2021 Forward Sale Agreements to fund a portion of the purchase price of the Venetian Acquisition and for general corporate purposes, and the proceeds upon settlement of the remaining shares under the June 2020 Forward Sale Agreement for general corporate purposes, which may include future transactions, the acquisition, development and improvement of properties, capital expenditures, working capital and the repayment of indebtedness.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2021, we entered into an equity distribution agreement (the “ATM Agreement”) pursuant to which we may sell, from time to time, up to an aggregate sales price of $1,000.0 million of our common stock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During the six months ended June 30, 2020, we sold a total of 7,500,000 shares under our previous at-the-market offering program (which was terminated in connection with our entry into the ATM Program) for net proceeds of $200.0 million. During the six months ended June 30, 2021, we did not sell any shares under the ATM Program. We have no obligation to sell the remaining shares available for sale under the ATM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Borders>
              <w:bottom w:val="single" w:sz="8" w:color="auto"/>
            </w:tcBorders>
            <w:gridSpan w:val="3"/>
          </w:tcPr>
          <w:p>
            <w:pPr>
              <w:jc w:val="right"/>
              <w:ind w:right="99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2"/>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5"/>
        </w:trPr>
        <w:tc>
          <w:tcPr>
            <w:tcW w:w="7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6"/>
                <w:szCs w:val="16"/>
                <w:b w:val="1"/>
                <w:bCs w:val="1"/>
                <w:color w:val="auto"/>
              </w:rPr>
              <w:t xml:space="preserve">Beginning Balance January 1, </w:t>
            </w:r>
            <w:r>
              <w:rPr>
                <w:rFonts w:ascii="Arial" w:cs="Arial" w:eastAsia="Arial" w:hAnsi="Arial"/>
                <w:sz w:val="21"/>
                <w:szCs w:val="21"/>
                <w:b w:val="1"/>
                <w:bCs w:val="1"/>
                <w:i w:val="1"/>
                <w:iCs w:val="1"/>
                <w:color w:val="auto"/>
                <w:vertAlign w:val="superscript"/>
              </w:rPr>
              <w:t>(1)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536,669,722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461,004,742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Issuance of common stock upon physical settlement of forward sale agreements </w:t>
            </w:r>
            <w:r>
              <w:rPr>
                <w:rFonts w:ascii="Arial" w:cs="Arial" w:eastAsia="Arial" w:hAnsi="Arial"/>
                <w:sz w:val="23"/>
                <w:szCs w:val="23"/>
                <w:i w:val="1"/>
                <w:iCs w:val="1"/>
                <w:color w:val="auto"/>
                <w:vertAlign w:val="superscript"/>
              </w:rPr>
              <w:t>(1)</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65,000,000</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 stock under the at-the-market offering program</w:t>
            </w: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175"/>
        </w:trPr>
        <w:tc>
          <w:tcPr>
            <w:tcW w:w="70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Issuance of restricted and unrestricted common stock under the stock incentive program, net of</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374,095</w:t>
            </w:r>
          </w:p>
        </w:tc>
        <w:tc>
          <w:tcPr>
            <w:tcW w:w="100" w:type="dxa"/>
            <w:vAlign w:val="bottom"/>
          </w:tcPr>
          <w:p>
            <w:pPr>
              <w:spacing w:after="0"/>
              <w:rPr>
                <w:sz w:val="15"/>
                <w:szCs w:val="15"/>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163,013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forfeitures</w:t>
            </w:r>
          </w:p>
        </w:tc>
        <w:tc>
          <w:tcPr>
            <w:tcW w:w="2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June 30,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537,043,817</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533,667,755</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ind w:left="340" w:hanging="332"/>
        <w:spacing w:after="0" w:line="254" w:lineRule="auto"/>
        <w:tabs>
          <w:tab w:leader="none" w:pos="332"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69,000,000 and 26,900,000 remaining shares subject to the March 2021 Forward Sale Agreements and June 2020 Forward Sale Agreement, respectively, as such shares are not yet settled.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six months ended June 30, 2021 and 2020 were as follows: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Six Months Ended 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Payment Date</w:t>
            </w:r>
          </w:p>
        </w:tc>
        <w:tc>
          <w:tcPr>
            <w:tcW w:w="34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1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 2021 - March 31, 2021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30"/>
        </w:trPr>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2021</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24, 2021</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8, 2021</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April 1, 2021 - June 30, 2021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0.3300</w:t>
            </w:r>
          </w:p>
        </w:tc>
      </w:tr>
      <w:tr>
        <w:trPr>
          <w:trHeight w:val="319"/>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Six Months Ended June 30, 2020</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09"/>
        </w:trPr>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Payment Date</w:t>
            </w: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40" w:type="dxa"/>
            <w:vAlign w:val="bottom"/>
          </w:tcPr>
          <w:p>
            <w:pPr>
              <w:spacing w:after="0"/>
              <w:rPr>
                <w:sz w:val="18"/>
                <w:szCs w:val="18"/>
                <w:color w:val="auto"/>
              </w:rPr>
            </w:pPr>
          </w:p>
        </w:tc>
        <w:tc>
          <w:tcPr>
            <w:tcW w:w="1480" w:type="dxa"/>
            <w:vAlign w:val="bottom"/>
          </w:tcPr>
          <w:p>
            <w:pPr>
              <w:jc w:val="right"/>
              <w:ind w:right="513"/>
              <w:spacing w:after="0"/>
              <w:rPr>
                <w:sz w:val="20"/>
                <w:szCs w:val="20"/>
                <w:color w:val="auto"/>
              </w:rPr>
            </w:pPr>
            <w:r>
              <w:rPr>
                <w:rFonts w:ascii="Arial" w:cs="Arial" w:eastAsia="Arial" w:hAnsi="Arial"/>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9, 2020</w:t>
            </w:r>
          </w:p>
        </w:tc>
        <w:tc>
          <w:tcPr>
            <w:tcW w:w="1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 2020 - March 31, 2020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r>
      <w:tr>
        <w:trPr>
          <w:trHeight w:val="230"/>
        </w:trPr>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11, 2020</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30, 2020</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July 10, 2020</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April 1, 2020 - June 30, 2020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0.2975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w:t>
      </w:r>
    </w:p>
    <w:p>
      <w:pPr>
        <w:spacing w:after="0" w:line="164" w:lineRule="exact"/>
        <w:rPr>
          <w:sz w:val="20"/>
          <w:szCs w:val="20"/>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the March 2021 Forward Sale Agreements and the remaining shares under the June 2020 Forward Sale Agreement. The shares issuable upon settlement of the March 2021 Forward Sale Agreements and the remaining shares under the June 2020 Forward Sale Agreement, as described in </w:t>
      </w:r>
      <w:hyperlink w:anchor="page42">
        <w:r>
          <w:rPr>
            <w:rFonts w:ascii="Arial" w:cs="Arial" w:eastAsia="Arial" w:hAnsi="Arial"/>
            <w:sz w:val="16"/>
            <w:szCs w:val="16"/>
            <w:u w:val="single" w:color="auto"/>
            <w:color w:val="0000FF"/>
          </w:rPr>
          <w:t>Note 11 - Stockholders' Equity</w:t>
        </w:r>
      </w:hyperlink>
      <w:r>
        <w:rPr>
          <w:rFonts w:ascii="Arial" w:cs="Arial" w:eastAsia="Arial" w:hAnsi="Arial"/>
          <w:sz w:val="16"/>
          <w:szCs w:val="16"/>
          <w:color w:val="auto"/>
        </w:rPr>
        <w:t>, are reflected in the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remaining shares under the March 2021 Forward Sale Agreements and the June 2020 Forward Sale Agreement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shares under the March 2021 Forward Sale Agreements and the remaining shares under the June 2020 Forward Sale Agreement, the delivery of shares of common stock would result in an increase in the number of shares outstanding and dilution to earnings per share.</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0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Six Months Ended June 30,</w:t>
            </w:r>
          </w:p>
        </w:tc>
      </w:tr>
      <w:tr>
        <w:trPr>
          <w:trHeight w:val="171"/>
        </w:trPr>
        <w:tc>
          <w:tcPr>
            <w:tcW w:w="536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3"/>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2"/>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Determination of shares: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536,692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489,012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477,095</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Assumed conversion of restricted stock</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Assumed settlement of forward sale agreements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24"/>
                <w:szCs w:val="24"/>
                <w:color w:val="auto"/>
              </w:rPr>
            </w:pPr>
          </w:p>
        </w:tc>
        <w:tc>
          <w:tcPr>
            <w:tcW w:w="260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Six Months Ended June 30,</w:t>
            </w:r>
          </w:p>
        </w:tc>
      </w:tr>
      <w:tr>
        <w:trPr>
          <w:trHeight w:val="171"/>
        </w:trPr>
        <w:tc>
          <w:tcPr>
            <w:tcW w:w="536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3"/>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2"/>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300,709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229,402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570,510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205,390</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536,692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489,012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477,095</w:t>
            </w:r>
          </w:p>
        </w:tc>
      </w:tr>
      <w:tr>
        <w:trPr>
          <w:trHeight w:val="222"/>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Basic EPS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5360" w:type="dxa"/>
            <w:vAlign w:val="bottom"/>
            <w:gridSpan w:val="4"/>
          </w:tcPr>
          <w:p>
            <w:pPr>
              <w:ind w:left="20"/>
              <w:spacing w:after="0"/>
              <w:rPr>
                <w:sz w:val="20"/>
                <w:szCs w:val="20"/>
                <w:color w:val="auto"/>
              </w:rPr>
            </w:pPr>
            <w:r>
              <w:rPr>
                <w:rFonts w:ascii="Arial" w:cs="Arial" w:eastAsia="Arial" w:hAnsi="Arial"/>
                <w:sz w:val="18"/>
                <w:szCs w:val="18"/>
                <w:b w:val="1"/>
                <w:bCs w:val="1"/>
                <w:color w:val="auto"/>
              </w:rPr>
              <w:t>Diluted:</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205,390</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489,213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481,652</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EPS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June 30, 2021, 11,589,659 shares of common stock remained available for issuance by us as equity awards under the Plan.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96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600" w:type="dxa"/>
            <w:vAlign w:val="bottom"/>
            <w:gridSpan w:val="4"/>
          </w:tcPr>
          <w:p>
            <w:pPr>
              <w:jc w:val="right"/>
              <w:ind w:right="415"/>
              <w:spacing w:after="0"/>
              <w:rPr>
                <w:sz w:val="20"/>
                <w:szCs w:val="20"/>
                <w:color w:val="auto"/>
              </w:rPr>
            </w:pPr>
            <w:r>
              <w:rPr>
                <w:rFonts w:ascii="Arial" w:cs="Arial" w:eastAsia="Arial" w:hAnsi="Arial"/>
                <w:sz w:val="16"/>
                <w:szCs w:val="16"/>
                <w:b w:val="1"/>
                <w:bCs w:val="1"/>
                <w:color w:val="auto"/>
              </w:rPr>
              <w:t>Six Months Ended June 30,</w:t>
            </w:r>
          </w:p>
        </w:tc>
      </w:tr>
      <w:tr>
        <w:trPr>
          <w:trHeight w:val="171"/>
        </w:trPr>
        <w:tc>
          <w:tcPr>
            <w:tcW w:w="53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5"/>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6"/>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5"/>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2"/>
        </w:trPr>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80" w:type="dxa"/>
            <w:vAlign w:val="bottom"/>
            <w:gridSpan w:val="5"/>
          </w:tcPr>
          <w:p>
            <w:pPr>
              <w:ind w:left="820"/>
              <w:spacing w:after="0"/>
              <w:rPr>
                <w:sz w:val="20"/>
                <w:szCs w:val="20"/>
                <w:color w:val="auto"/>
              </w:rPr>
            </w:pPr>
            <w:r>
              <w:rPr>
                <w:rFonts w:ascii="Arial" w:cs="Arial" w:eastAsia="Arial" w:hAnsi="Arial"/>
                <w:sz w:val="16"/>
                <w:szCs w:val="16"/>
                <w:b w:val="1"/>
                <w:bCs w:val="1"/>
                <w:color w:val="auto"/>
              </w:rPr>
              <w:t>Six Months Ended June 30, 2021</w:t>
            </w:r>
          </w:p>
        </w:tc>
        <w:tc>
          <w:tcPr>
            <w:tcW w:w="3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Six Months Ended June 30, 2020</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60" w:type="dxa"/>
            <w:vAlign w:val="bottom"/>
            <w:tcBorders>
              <w:top w:val="single" w:sz="8" w:color="auto"/>
            </w:tcBorders>
            <w:gridSpan w:val="2"/>
            <w:vMerge w:val="restart"/>
          </w:tcPr>
          <w:p>
            <w:pPr>
              <w:ind w:left="66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12"/>
              <w:spacing w:after="0" w:line="158" w:lineRule="exact"/>
              <w:rPr>
                <w:sz w:val="20"/>
                <w:szCs w:val="20"/>
                <w:color w:val="auto"/>
              </w:rPr>
            </w:pPr>
            <w:r>
              <w:rPr>
                <w:rFonts w:ascii="Arial" w:cs="Arial" w:eastAsia="Arial" w:hAnsi="Arial"/>
                <w:sz w:val="16"/>
                <w:szCs w:val="16"/>
                <w:b w:val="1"/>
                <w:bCs w:val="1"/>
                <w:color w:val="auto"/>
                <w:w w:val="92"/>
              </w:rPr>
              <w:t>Weighted Average Grant</w:t>
            </w:r>
          </w:p>
        </w:tc>
        <w:tc>
          <w:tcPr>
            <w:tcW w:w="10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72"/>
              <w:spacing w:after="0" w:line="158" w:lineRule="exact"/>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75"/>
        </w:trPr>
        <w:tc>
          <w:tcPr>
            <w:tcW w:w="3380" w:type="dxa"/>
            <w:vAlign w:val="bottom"/>
            <w:gridSpan w:val="3"/>
          </w:tcPr>
          <w:p>
            <w:pPr>
              <w:ind w:left="6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5"/>
              </w:rPr>
              <w:t>Date Fair Value</w:t>
            </w:r>
          </w:p>
        </w:tc>
        <w:tc>
          <w:tcPr>
            <w:tcW w:w="1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jc w:val="right"/>
              <w:ind w:right="392"/>
              <w:spacing w:after="0" w:line="175"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9"/>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9"/>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Outstanding at end of period</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June 30, 2021, there was $14.9 million of unrecognized compensation cost related to non-vested stock-based compensation arrangements under the Plan. This cost is expected to be recognized over a weighted average period of 2.0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our real estate lending activities and represents the substantial majority of our business. The golf course business segment consists of four golf courses, with each being operating segments that are aggregated into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line="238" w:lineRule="auto"/>
        <w:rPr>
          <w:sz w:val="20"/>
          <w:szCs w:val="20"/>
          <w:color w:val="auto"/>
        </w:rPr>
      </w:pPr>
      <w:r>
        <w:rPr>
          <w:rFonts w:ascii="Arial" w:cs="Arial" w:eastAsia="Arial" w:hAnsi="Arial"/>
          <w:sz w:val="20"/>
          <w:szCs w:val="20"/>
          <w:b w:val="1"/>
          <w:bCs w:val="1"/>
          <w:color w:val="auto"/>
        </w:rPr>
        <w:t>NOTES TO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 presents certain information with respect to our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w w:val="92"/>
              </w:rPr>
              <w:t>Three Months Ended June 30, 2021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w w:val="91"/>
              </w:rPr>
              <w:t>Three Months Ended June 30, 2020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6"/>
              </w:rPr>
              <w:t>VICI Consolidated</w:t>
            </w:r>
          </w:p>
        </w:tc>
        <w:tc>
          <w:tcPr>
            <w:tcW w:w="0" w:type="dxa"/>
            <w:vAlign w:val="bottom"/>
          </w:tcPr>
          <w:p>
            <w:pPr>
              <w:spacing w:after="0"/>
              <w:rPr>
                <w:sz w:val="1"/>
                <w:szCs w:val="1"/>
                <w:color w:val="auto"/>
              </w:rPr>
            </w:pPr>
          </w:p>
        </w:tc>
      </w:tr>
      <w:tr>
        <w:trPr>
          <w:trHeight w:val="175"/>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257,902</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(77,693)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(77,693)</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231,952</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231,643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17,219,548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16,277,634</w:t>
            </w:r>
          </w:p>
        </w:tc>
        <w:tc>
          <w:tcPr>
            <w:tcW w:w="0" w:type="dxa"/>
            <w:vAlign w:val="bottom"/>
          </w:tcPr>
          <w:p>
            <w:pPr>
              <w:spacing w:after="0"/>
              <w:rPr>
                <w:sz w:val="1"/>
                <w:szCs w:val="1"/>
                <w:color w:val="auto"/>
              </w:rPr>
            </w:pPr>
          </w:p>
        </w:tc>
      </w:tr>
      <w:tr>
        <w:trPr>
          <w:trHeight w:val="230"/>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7,467,470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17,009</w:t>
            </w:r>
          </w:p>
        </w:tc>
        <w:tc>
          <w:tcPr>
            <w:tcW w:w="1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7,484,479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7,186,916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7,203,223</w:t>
            </w: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w w:val="91"/>
              </w:rPr>
              <w:t>Six Months Ended June 30, 2021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w w:val="90"/>
              </w:rPr>
              <w:t>Six Months Ended June 30, 2020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6"/>
              </w:rPr>
              <w:t>VICI Consolidated</w:t>
            </w:r>
          </w:p>
        </w:tc>
        <w:tc>
          <w:tcPr>
            <w:tcW w:w="0" w:type="dxa"/>
            <w:vAlign w:val="bottom"/>
          </w:tcPr>
          <w:p>
            <w:pPr>
              <w:spacing w:after="0"/>
              <w:rPr>
                <w:sz w:val="1"/>
                <w:szCs w:val="1"/>
                <w:color w:val="auto"/>
              </w:rPr>
            </w:pPr>
          </w:p>
        </w:tc>
      </w:tr>
      <w:tr>
        <w:trPr>
          <w:trHeight w:val="175"/>
        </w:trPr>
        <w:tc>
          <w:tcPr>
            <w:tcW w:w="2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84"/>
              </w:rPr>
              <w:t>Business</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512,903</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(156,854)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(153,786)</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Loss on extinguishment of debt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573,040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576,916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210,341</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575,176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209,578</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17,126,115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93,433</w:t>
            </w:r>
          </w:p>
        </w:tc>
        <w:tc>
          <w:tcPr>
            <w:tcW w:w="1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17,219,548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16,188,235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89,399</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16,277,634</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7,484,479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7,203,223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Subsequent Events</w:t>
      </w:r>
    </w:p>
    <w:p>
      <w:pPr>
        <w:spacing w:after="0" w:line="245" w:lineRule="exact"/>
        <w:rPr>
          <w:sz w:val="20"/>
          <w:szCs w:val="20"/>
          <w:color w:val="auto"/>
        </w:rPr>
      </w:pPr>
    </w:p>
    <w:p>
      <w:pPr>
        <w:spacing w:after="0" w:line="276" w:lineRule="auto"/>
        <w:rPr>
          <w:rFonts w:ascii="Arial" w:cs="Arial" w:eastAsia="Arial" w:hAnsi="Arial"/>
          <w:sz w:val="18"/>
          <w:szCs w:val="18"/>
          <w:color w:val="auto"/>
        </w:rPr>
      </w:pPr>
      <w:r>
        <w:rPr>
          <w:rFonts w:ascii="Arial" w:cs="Arial" w:eastAsia="Arial" w:hAnsi="Arial"/>
          <w:sz w:val="18"/>
          <w:szCs w:val="18"/>
          <w:color w:val="auto"/>
        </w:rPr>
        <w:t xml:space="preserve">We have evaluated subsequent events and, except for the payment of dividends on July 8, 2021 (as described in </w:t>
      </w:r>
      <w:hyperlink w:anchor="page42">
        <w:r>
          <w:rPr>
            <w:rFonts w:ascii="Arial" w:cs="Arial" w:eastAsia="Arial" w:hAnsi="Arial"/>
            <w:sz w:val="18"/>
            <w:szCs w:val="18"/>
            <w:u w:val="single" w:color="auto"/>
            <w:color w:val="0000FF"/>
          </w:rPr>
          <w:t>Note 11 - Stockholders’ Equity</w:t>
        </w:r>
      </w:hyperlink>
      <w:r>
        <w:rPr>
          <w:rFonts w:ascii="Arial" w:cs="Arial" w:eastAsia="Arial" w:hAnsi="Arial"/>
          <w:sz w:val="18"/>
          <w:szCs w:val="18"/>
          <w:color w:val="auto"/>
        </w:rPr>
        <w:t>), there were no other events relative to the Financial Statements that require additional disclosure.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4" w:lineRule="exact"/>
        <w:rPr>
          <w:sz w:val="20"/>
          <w:szCs w:val="20"/>
          <w:color w:val="auto"/>
        </w:rPr>
      </w:pPr>
    </w:p>
    <w:p>
      <w:pPr>
        <w:jc w:val="both"/>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of the financial position and operating results of VICI Properties Inc. for the three and six months ended June 30, 2021 should be read in conjunction with the Financial Statements and related notes thereto and other financial information contained elsewhere in this Quarterly Report on Form 10-Q and the audited consolidated financial statements and related notes for the year ended December 31, 2020, which were included in our </w:t>
      </w:r>
      <w:hyperlink r:id="rId72">
        <w:r>
          <w:rPr>
            <w:rFonts w:ascii="Arial" w:cs="Arial" w:eastAsia="Arial" w:hAnsi="Arial"/>
            <w:sz w:val="17"/>
            <w:szCs w:val="17"/>
            <w:i w:val="1"/>
            <w:iCs w:val="1"/>
            <w:u w:val="single" w:color="auto"/>
            <w:color w:val="0000FF"/>
          </w:rPr>
          <w:t>Annual Report on Form 10-K for the year ended December 31, 2020</w:t>
        </w:r>
      </w:hyperlink>
      <w:r>
        <w:rPr>
          <w:rFonts w:ascii="Arial" w:cs="Arial" w:eastAsia="Arial" w:hAnsi="Arial"/>
          <w:sz w:val="17"/>
          <w:szCs w:val="17"/>
          <w:i w:val="1"/>
          <w:iCs w:val="1"/>
          <w:color w:val="auto"/>
        </w:rPr>
        <w:t xml:space="preserve">. All defined terms included herein have the same meaning as those set forth in the </w:t>
      </w:r>
      <w:hyperlink w:anchor="page7">
        <w:r>
          <w:rPr>
            <w:rFonts w:ascii="Arial" w:cs="Arial" w:eastAsia="Arial" w:hAnsi="Arial"/>
            <w:sz w:val="17"/>
            <w:szCs w:val="17"/>
            <w:i w:val="1"/>
            <w:iCs w:val="1"/>
            <w:u w:val="single" w:color="auto"/>
            <w:color w:val="0000FF"/>
          </w:rPr>
          <w:t>Notes to the Consolidated Financial Statements</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contained within this Quarterly Report on Form 10-Q.</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74" w:lineRule="exact"/>
        <w:rPr>
          <w:sz w:val="20"/>
          <w:szCs w:val="20"/>
          <w:color w:val="auto"/>
        </w:rPr>
      </w:pPr>
    </w:p>
    <w:p>
      <w:pPr>
        <w:jc w:val="both"/>
        <w:spacing w:after="0" w:line="285" w:lineRule="auto"/>
        <w:rPr>
          <w:rFonts w:ascii="Arial" w:cs="Arial" w:eastAsia="Arial" w:hAnsi="Arial"/>
          <w:sz w:val="16"/>
          <w:szCs w:val="16"/>
          <w:color w:val="0000FF"/>
        </w:rPr>
      </w:pPr>
      <w:r>
        <w:rPr>
          <w:rFonts w:ascii="Arial" w:cs="Arial" w:eastAsia="Arial" w:hAnsi="Arial"/>
          <w:sz w:val="16"/>
          <w:szCs w:val="16"/>
          <w:color w:val="auto"/>
        </w:rPr>
        <w:t xml:space="preserve">Currently, one of the most significant factors that could cause actual outcomes to differ materially from our forward-looking statements is the impact of the COVID-19 pandemic on our, and our tenants’ financial condition, results of operations, cash flows and performance. The extent to which the COVID-19 pandemic continues to adversely affect our tenants, and ultimately impacts our business and financial condition, depends on future developments which cannot be predicted with confidence, including the impact of the actions taken to contain the pandemic or mitigate its impact, including the availability, distribution, public acceptance and efficacy of one or more approved vaccines, new or mutated variants of COVID-19 (including vaccine-resistant variants) or a similar virus, the direct and indirect economic effects of the pandemic and containment measures on our tenants, the ability of our tenants to successfully operate their businesses, including the costs of complying with regulatory requirements necessary to keep their respective facilities open, such as reduced capacity requirements, the need to close any of the facilities after reopening as a result of the COVID-19 pandemic, and the effects of the negotiated capital expenditure reductions and other amendments to the Lease Agreements that we agreed to with certain of its tenants in response to the COVID-19 pandemic. Each of the foregoing could have a material adverse effect on our tenants’ ability to satisfy their obligations under their Lease Agreements with us, including their continued ability to pay rent in a timely manner, or at all, and/or to fund capital expenditures or make other payments </w:t>
      </w:r>
      <w:hyperlink r:id="rId73">
        <w:r>
          <w:rPr>
            <w:rFonts w:ascii="Arial" w:cs="Arial" w:eastAsia="Arial" w:hAnsi="Arial"/>
            <w:sz w:val="16"/>
            <w:szCs w:val="16"/>
            <w:color w:val="auto"/>
          </w:rPr>
          <w:t xml:space="preserve">required under their leases. Investors are cautioned to interpret many of the risks identified under the section entitled “Risk Factors” in our </w:t>
        </w:r>
        <w:r>
          <w:rPr>
            <w:rFonts w:ascii="Arial" w:cs="Arial" w:eastAsia="Arial" w:hAnsi="Arial"/>
            <w:sz w:val="16"/>
            <w:szCs w:val="16"/>
            <w:u w:val="single" w:color="auto"/>
            <w:color w:val="0000FF"/>
          </w:rPr>
          <w:t>Annual Report</w:t>
        </w:r>
      </w:hyperlink>
      <w:r>
        <w:rPr>
          <w:rFonts w:ascii="Arial" w:cs="Arial" w:eastAsia="Arial" w:hAnsi="Arial"/>
          <w:sz w:val="16"/>
          <w:szCs w:val="16"/>
          <w:color w:val="auto"/>
        </w:rPr>
        <w:t xml:space="preserve"> </w:t>
      </w:r>
      <w:hyperlink r:id="rId73">
        <w:r>
          <w:rPr>
            <w:rFonts w:ascii="Arial" w:cs="Arial" w:eastAsia="Arial" w:hAnsi="Arial"/>
            <w:sz w:val="16"/>
            <w:szCs w:val="16"/>
            <w:u w:val="single" w:color="auto"/>
            <w:color w:val="0000FF"/>
          </w:rPr>
          <w:t>on Form 10-K for the year ended December 31, 2020</w:t>
        </w:r>
        <w:r>
          <w:rPr>
            <w:rFonts w:ascii="Arial" w:cs="Arial" w:eastAsia="Arial" w:hAnsi="Arial"/>
            <w:sz w:val="16"/>
            <w:szCs w:val="16"/>
            <w:color w:val="000000"/>
          </w:rPr>
          <w:t>, our Quarterly Reports on Form 10-Q and Current Reports on Form 8-K as being heightened as a</w:t>
        </w:r>
      </w:hyperlink>
      <w:r>
        <w:rPr>
          <w:rFonts w:ascii="Arial" w:cs="Arial" w:eastAsia="Arial" w:hAnsi="Arial"/>
          <w:sz w:val="16"/>
          <w:szCs w:val="16"/>
          <w:color w:val="0000FF"/>
        </w:rPr>
        <w:t xml:space="preserve"> </w:t>
      </w:r>
      <w:r>
        <w:rPr>
          <w:rFonts w:ascii="Arial" w:cs="Arial" w:eastAsia="Arial" w:hAnsi="Arial"/>
          <w:sz w:val="16"/>
          <w:szCs w:val="16"/>
          <w:color w:val="000000"/>
        </w:rPr>
        <w:t>result of the ongoing and numerous adverse impacts of the COVID-19 pandemic.</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including low consumer confidence, unemployment levels and depressed real estate prices resulting from the severity and duration of any downturn in the U.S. or global economy; our dependence on subsidiaries of Caesars, Penn National, Hard Rock, Century Casinos and JACK Entertainment as tenants of our properties and Caesars, Penn National, Seminole Hard Rock, Century Casinos and Rock Ohio Ventures or certain of their respective subsidiaries as guarantors of the lease payments and the negative consequences any material adverse effect on their respective businesses could have on us; our borrowers’ ability to repay their outstanding loan obligations to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and the completion of pending transactions; the possibility that our tenants may choose not to renew the Lease Agreements following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initial or subsequent terms of the leases; restrictions on our ability to sell our properties subject to the Lease Agreements; Caesars’, Penn National’s, Hard Rock’s, Century Casinos’ and JACK Entertainment’s historical results may not be a reliable indicator of their future results; our substantial amount of indebtedness and ability to service, refinance and otherwise fulfill our obligations under such indebtedness; our historical financial information may not be reliable indicators of our future results of operations, financial condition and cash flows; our ability to obtain the financing necessary to complete our pending acquisitions on the terms we currently expect or at all; the possibility that our pending transactions may not be completed or that completion may be unduly delayed; the possibility that we identify significant environmental, tax, legal or other issues that materially and adversely impact the value of assets acquired or secured as collateral (or other benefits we expect to receive) in any of our pending or recently completed transactions; the effects of our pending and recently completed transactions on us, including the future impact on our financial condition, financial and operating results, cash flows, strategy and plans; the impact of changes to the U.S. Federal income tax laws; the possibility of foreclosure on our properties if we are unable to meet required debt service payments; the impact of a rise in interest rates on us; our inability to successfully pursue investments in, and acquisitions of, additional properties; the impact of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inability to maintain our qualification for taxation as a REIT; our reliance on distributions received from the Operating Partnership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 on Form 10-K, Quarterly Reports on Form 10-Q and Current Reports on Form 8-K.</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28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over 47 million square feet, our well-maintained properties are currently located across urban, destination and drive-to markets in twelve states, contain approximately 17,800 hotel rooms and feature over 200 restaurants, bars and nightclubs.</w:t>
      </w:r>
    </w:p>
    <w:p>
      <w:pPr>
        <w:spacing w:after="0" w:line="2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portfolio also includes four real estate loans that we have originated for strategic reasons in connection with transactions that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10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following chart summarizes our current portfolio of properties, our pending transactions and our properties subject to right of first refusal agreements and put/call agreements with Caesars: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83185</wp:posOffset>
            </wp:positionV>
            <wp:extent cx="5849620" cy="4387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849620" cy="438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lease our properties to subsidiaries of Caesars, Penn National, Hard Rock, Century Casinos and JACK Entertainment, with Caesars being our largest tenant. We believe we have a mutually beneficial relationship with each of Caesars, Penn National, Hard Rock, Century Casinos and JACK Entertainment, all of which are leading owners and operators of gaming, entertainment and leisure properties. Our long-term triple-net Lease Agreements with subsidiaries of our operators provide us with a highly predictable revenue stream with embedded growth potential. We believe our geographic diversification limits the effect of</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 Despite the ongoing impact and uncertainty of the COVID-19 pandemic, we continue to evaluate and may opportunistically pursue accretive acquisitions or investments that may arise in the market.</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(subject in certain cases to temporary relief we granted certain tenants on a portion of their capital expenditure obligations in connection with the impact of the COVID-19 pandemic),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macroeconomic impact of the COVID-19 pandemic and market conditions more broadly. We conduct our real property business through our Operating Partnership and our golf course business through a taxable REIT subsidiary (a “TRS”), VICI Golf.</w:t>
      </w:r>
    </w:p>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financial information included in this Quarterly Report on Form 10-Q is our consolidated results (including the real property business and the golf course business) for the three and six months ended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state governments and/or regulatory authorities issuing various directives, mandates, orders or similar actions, which resulted in temporary closures of our tenants’ operations at all of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state and local governments and/or regulatory authorities. While our tenants’ recent performance at many of our leased properties has been at or above pre-pandemic levels, they may continue to face additional challenges and uncertainty due to the impact of the COVID-19 pandemic, such as complying with operational and capacity restrictions and ensuring sufficient employee staffing and service levels, and the sustainability of maintaining improved operating margins and financial performance. Due to prior closures, operating restrictions and other factors, our tenants’ operations, liquidity and financial performance have been adversely affected, and the ongoing nature of the pandemic, including emerging variants, may further impact our tenants’ businesses and, accordingly, our business and financial performance.</w:t>
      </w:r>
    </w:p>
    <w:p>
      <w:pPr>
        <w:spacing w:after="0" w:line="126" w:lineRule="exact"/>
        <w:rPr>
          <w:sz w:val="20"/>
          <w:szCs w:val="20"/>
          <w:color w:val="auto"/>
        </w:rPr>
      </w:pPr>
    </w:p>
    <w:p>
      <w:pPr>
        <w:jc w:val="both"/>
        <w:spacing w:after="0" w:line="269" w:lineRule="auto"/>
        <w:rPr>
          <w:rFonts w:ascii="Arial" w:cs="Arial" w:eastAsia="Arial" w:hAnsi="Arial"/>
          <w:sz w:val="17"/>
          <w:szCs w:val="17"/>
          <w:color w:val="0000FF"/>
        </w:rPr>
      </w:pPr>
      <w:r>
        <w:rPr>
          <w:rFonts w:ascii="Arial" w:cs="Arial" w:eastAsia="Arial" w:hAnsi="Arial"/>
          <w:sz w:val="17"/>
          <w:szCs w:val="17"/>
          <w:color w:val="auto"/>
        </w:rPr>
        <w:t xml:space="preserve">All of our tenants have fulfilled their rent obligations through July 2021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 one or more approved vaccines, new or mutated variants of COVID-19 (including vaccine-resistant variants) or a similar virus, the direct and indirect economic effects of the pandemic and containment measures on our tenants, our tenants’ financial performance and any future operating limitations. These factors may contribute to increased uncertainty with respect to our business and operating results through 2021 and we will continue to closely monitor the impact of the </w:t>
      </w:r>
      <w:hyperlink r:id="rId73">
        <w:r>
          <w:rPr>
            <w:rFonts w:ascii="Arial" w:cs="Arial" w:eastAsia="Arial" w:hAnsi="Arial"/>
            <w:sz w:val="17"/>
            <w:szCs w:val="17"/>
            <w:color w:val="auto"/>
          </w:rPr>
          <w:t xml:space="preserve">COVID-19 pandemic on us and our tenants. For more information, refer to the section entitled “Risk Factors” in our </w:t>
        </w:r>
        <w:r>
          <w:rPr>
            <w:rFonts w:ascii="Arial" w:cs="Arial" w:eastAsia="Arial" w:hAnsi="Arial"/>
            <w:sz w:val="17"/>
            <w:szCs w:val="17"/>
            <w:u w:val="single" w:color="auto"/>
            <w:color w:val="0000FF"/>
          </w:rPr>
          <w:t>Annual Report on Form 10-K for the</w:t>
        </w:r>
      </w:hyperlink>
      <w:r>
        <w:rPr>
          <w:rFonts w:ascii="Arial" w:cs="Arial" w:eastAsia="Arial" w:hAnsi="Arial"/>
          <w:sz w:val="17"/>
          <w:szCs w:val="17"/>
          <w:color w:val="auto"/>
        </w:rPr>
        <w:t xml:space="preserve"> </w:t>
      </w:r>
      <w:hyperlink r:id="rId73">
        <w:r>
          <w:rPr>
            <w:rFonts w:ascii="Arial" w:cs="Arial" w:eastAsia="Arial" w:hAnsi="Arial"/>
            <w:sz w:val="17"/>
            <w:szCs w:val="17"/>
            <w:u w:val="single" w:color="auto"/>
            <w:color w:val="0000FF"/>
          </w:rPr>
          <w:t>year ended December 31, 2020</w:t>
        </w:r>
        <w:r>
          <w:rPr>
            <w:rFonts w:ascii="Arial" w:cs="Arial" w:eastAsia="Arial" w:hAnsi="Arial"/>
            <w:sz w:val="17"/>
            <w:szCs w:val="17"/>
            <w:color w:val="000000"/>
          </w:rPr>
          <w:t>.</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Highlights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16" w:lineRule="exact"/>
        <w:rPr>
          <w:sz w:val="20"/>
          <w:szCs w:val="20"/>
          <w:color w:val="auto"/>
        </w:rPr>
      </w:pPr>
    </w:p>
    <w:p>
      <w:pPr>
        <w:ind w:left="640" w:hanging="30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Collected 100% of rent in cash.</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revenues increased 45.9% year-over-year to $376.4 million.</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attributable to common stockholders was $300.7 million, or $0.54 per diluted share.</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AFFO increased 45.3% year-over-year to $256.1 million and AFFO per diluted share increased 27.8% to $0.46.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16" w:lineRule="exact"/>
        <w:rPr>
          <w:sz w:val="20"/>
          <w:szCs w:val="20"/>
          <w:color w:val="auto"/>
        </w:rPr>
      </w:pPr>
    </w:p>
    <w:p>
      <w:pPr>
        <w:ind w:left="660" w:hanging="329"/>
        <w:spacing w:after="0" w:line="27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Originated the Great Wolf Mezzanine Loan with a total commitment of $79.5 million to partially fund the development of the Great Wolf Lodge Maryland, a 48-acre indoor water park resort located in Perryville, MD.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70" w:lineRule="exact"/>
        <w:rPr>
          <w:sz w:val="20"/>
          <w:szCs w:val="20"/>
          <w:color w:val="auto"/>
        </w:rPr>
      </w:pPr>
    </w:p>
    <w:p>
      <w:pPr>
        <w:jc w:val="both"/>
        <w:ind w:left="660" w:hanging="329"/>
        <w:spacing w:after="0" w:line="273" w:lineRule="auto"/>
        <w:tabs>
          <w:tab w:leader="none" w:pos="655"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Great Wolf Mezzanine Loan. </w:t>
      </w:r>
      <w:r>
        <w:rPr>
          <w:rFonts w:ascii="Arial" w:cs="Arial" w:eastAsia="Arial" w:hAnsi="Arial"/>
          <w:sz w:val="17"/>
          <w:szCs w:val="17"/>
          <w:color w:val="auto"/>
        </w:rPr>
        <w:t>On June 16, 2021, we entered into a mezzanine loan agreement (the “Great Wolf Mezzanine Loan”) with an affiliate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Great Wolf Resorts, Inc. (“Great Wolf”) to provide up to $79.5 million to partially fund the development of the Great Wolf Lodge Maryland, a 48-acre indoor water park resort located in Perryville, MD. The Great Wolf Mezzanine Loan bears interest at a rate of 8.0% per annum and has an initial term of 3 years with two successive 12-month extension options subject to certain conditions. Our commitment will be funded subject to customary terms and conditions in disbursements to the borrower based upon construction of the development and, as of June 30, 2021, no funds have been disbursed. We expect to fund our entire $79.5 million commitment by mid-2022.</w:t>
      </w:r>
    </w:p>
    <w:p>
      <w:pPr>
        <w:spacing w:after="0" w:line="120" w:lineRule="exact"/>
        <w:rPr>
          <w:rFonts w:ascii="Arial" w:cs="Arial" w:eastAsia="Arial" w:hAnsi="Arial"/>
          <w:sz w:val="17"/>
          <w:szCs w:val="17"/>
          <w:b w:val="1"/>
          <w:bCs w:val="1"/>
          <w:i w:val="1"/>
          <w:iCs w:val="1"/>
          <w:color w:val="auto"/>
        </w:rPr>
      </w:pPr>
    </w:p>
    <w:p>
      <w:pPr>
        <w:jc w:val="both"/>
        <w:ind w:left="660"/>
        <w:spacing w:after="0" w:line="263" w:lineRule="auto"/>
        <w:rPr>
          <w:rFonts w:ascii="Arial" w:cs="Arial" w:eastAsia="Arial" w:hAnsi="Arial"/>
          <w:sz w:val="17"/>
          <w:szCs w:val="17"/>
          <w:b w:val="1"/>
          <w:bCs w:val="1"/>
          <w:i w:val="1"/>
          <w:iCs w:val="1"/>
          <w:color w:val="auto"/>
        </w:rPr>
      </w:pPr>
      <w:r>
        <w:rPr>
          <w:rFonts w:ascii="Arial" w:cs="Arial" w:eastAsia="Arial" w:hAnsi="Arial"/>
          <w:sz w:val="18"/>
          <w:szCs w:val="18"/>
          <w:color w:val="auto"/>
        </w:rPr>
        <w:t>In addition, pursuant to a non-binding letter agreement, we will have the opportunity for a period of up to five years to provide up to a total of $300.0 million of mezzanine financing, inclusive of the $79.5 million related to the Great Wolf Lodge Maryland, for the development and construction of Great Wolf’s extensive domestic and international indoor water park resort pipeline.</w:t>
      </w:r>
    </w:p>
    <w:p>
      <w:pPr>
        <w:spacing w:after="0" w:line="127" w:lineRule="exact"/>
        <w:rPr>
          <w:rFonts w:ascii="Arial" w:cs="Arial" w:eastAsia="Arial" w:hAnsi="Arial"/>
          <w:sz w:val="17"/>
          <w:szCs w:val="17"/>
          <w:b w:val="1"/>
          <w:bCs w:val="1"/>
          <w:i w:val="1"/>
          <w:iCs w:val="1"/>
          <w:color w:val="auto"/>
        </w:rPr>
      </w:pPr>
    </w:p>
    <w:p>
      <w:pPr>
        <w:jc w:val="both"/>
        <w:ind w:left="660" w:hanging="329"/>
        <w:spacing w:after="0" w:line="286" w:lineRule="auto"/>
        <w:tabs>
          <w:tab w:leader="none" w:pos="655"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Venetian Acquisition. </w:t>
      </w:r>
      <w:r>
        <w:rPr>
          <w:rFonts w:ascii="Arial" w:cs="Arial" w:eastAsia="Arial" w:hAnsi="Arial"/>
          <w:sz w:val="16"/>
          <w:szCs w:val="16"/>
          <w:color w:val="auto"/>
        </w:rPr>
        <w:t>On March 2, 2021, we entered into definitive agreements to acquire from Las Vegas Sands Corp. (“LVS”), all of the land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real estate assets associated with the Venetian Resort Las Vegas and the Sands Expo and Convention Center, located in Las Vegas, Nevada (collectively, the “Venetian Resort”), for $4.0 billion in cash (the “Venetian PropCo Acquisition”), and an affiliate of certain funds managed by affiliates of Apollo Global Management, Inc. (the “OpCo Buyer”), has agreed to acquire the operating assets of the Venetian Resort for $2.25 billion, subject to certain post-closing adjustments, of which $1.2 billion is in the form of a secured term loan from LVS and the remainder is payable in cash (together with the Venetian PropCo Acquisition, the “Venetian Acquisition”). Simultaneous with the closing of the Venetian Acquisition, we will enter into a triple-net lease agreement for the Venetian Resort (the “Venetian Lease”) with OpCo Buyer (in such capacity, the “Venetian Tenant”). The Venetian Lease will have an initial total annual rent of $250.0 million and an initial term of 30 years, with two ten-year tenant renewal options. The annual rent will be subject to escalation equal to the greater of 2.0% and the increase in the consumer price index,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The closing of the Venetian Acquisition is subject to customary closing conditions, including regulatory approvals.</w:t>
      </w:r>
    </w:p>
    <w:p>
      <w:pPr>
        <w:spacing w:after="0" w:line="116" w:lineRule="exact"/>
        <w:rPr>
          <w:rFonts w:ascii="Arial" w:cs="Arial" w:eastAsia="Arial" w:hAnsi="Arial"/>
          <w:sz w:val="16"/>
          <w:szCs w:val="16"/>
          <w:b w:val="1"/>
          <w:bCs w:val="1"/>
          <w:i w:val="1"/>
          <w:iCs w:val="1"/>
          <w:color w:val="auto"/>
        </w:rPr>
      </w:pPr>
    </w:p>
    <w:p>
      <w:pPr>
        <w:jc w:val="both"/>
        <w:ind w:left="660"/>
        <w:spacing w:after="0" w:line="288" w:lineRule="auto"/>
        <w:rPr>
          <w:rFonts w:ascii="Arial" w:cs="Arial" w:eastAsia="Arial" w:hAnsi="Arial"/>
          <w:sz w:val="16"/>
          <w:szCs w:val="16"/>
          <w:b w:val="1"/>
          <w:bCs w:val="1"/>
          <w:i w:val="1"/>
          <w:iCs w:val="1"/>
          <w:color w:val="auto"/>
        </w:rPr>
      </w:pPr>
      <w:r>
        <w:rPr>
          <w:rFonts w:ascii="Arial" w:cs="Arial" w:eastAsia="Arial" w:hAnsi="Arial"/>
          <w:sz w:val="16"/>
          <w:szCs w:val="16"/>
          <w:color w:val="auto"/>
        </w:rPr>
        <w:t>In addition, LVS has agreed with the Venetian Tenant pursuant to an agreement (the “Contingent Lease Support Agreement”) to be entered into simultaneous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 million, or a tenant change of control occurs. We will be a third-party beneficiary of the Contingent Lease Support Agreement and will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will not be guaranteed by Apollo Global Management, Inc. or any of its affiliates. After the termination of the Contingent Lease Support Agreement, the Venetian Tenant will be required to provide a letter of credit to secure seven and one-half months of the rent, real estate taxes and assessments and insurance obligations of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Venetian Tenant if the operating results from the Venetian Resort do not exceed certain thresholds. We expect the Venetian Acquisition to close during the fourth quarter of 2021. However, we can provide no assurances that the Venetian Acquisition will close in the anticipated timeframe, on the contemplated terms or at all.</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PENDING TRANSACTIONS</w:t>
      </w:r>
    </w:p>
    <w:p>
      <w:pPr>
        <w:spacing w:after="0" w:line="169" w:lineRule="exact"/>
        <w:rPr>
          <w:sz w:val="20"/>
          <w:szCs w:val="20"/>
          <w:color w:val="auto"/>
        </w:rPr>
      </w:pPr>
    </w:p>
    <w:p>
      <w:pPr>
        <w:jc w:val="both"/>
        <w:ind w:left="660" w:hanging="329"/>
        <w:spacing w:after="0" w:line="278" w:lineRule="auto"/>
        <w:tabs>
          <w:tab w:leader="none" w:pos="655"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Sale of Louisiana Downs. </w:t>
      </w:r>
      <w:r>
        <w:rPr>
          <w:rFonts w:ascii="Arial" w:cs="Arial" w:eastAsia="Arial" w:hAnsi="Arial"/>
          <w:sz w:val="17"/>
          <w:szCs w:val="17"/>
          <w:color w:val="auto"/>
        </w:rPr>
        <w:t>On September 3, 2020, we and Caesars entered into definitive agreements to sell Harrah’s Louisiana Downs Casino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remains subject to regulatory approval and customary closing conditions.</w:t>
      </w:r>
    </w:p>
    <w:p>
      <w:pPr>
        <w:spacing w:after="0" w:line="117" w:lineRule="exact"/>
        <w:rPr>
          <w:rFonts w:ascii="Arial" w:cs="Arial" w:eastAsia="Arial" w:hAnsi="Arial"/>
          <w:sz w:val="17"/>
          <w:szCs w:val="17"/>
          <w:b w:val="1"/>
          <w:bCs w:val="1"/>
          <w:color w:val="auto"/>
        </w:rPr>
      </w:pPr>
    </w:p>
    <w:p>
      <w:pPr>
        <w:jc w:val="both"/>
        <w:ind w:left="660" w:hanging="329"/>
        <w:spacing w:after="0" w:line="287"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Caesars Southern Indiana Lease Agreement. </w:t>
      </w:r>
      <w:r>
        <w:rPr>
          <w:rFonts w:ascii="Arial" w:cs="Arial" w:eastAsia="Arial" w:hAnsi="Arial"/>
          <w:sz w:val="16"/>
          <w:szCs w:val="16"/>
          <w:color w:val="auto"/>
        </w:rPr>
        <w:t>On December 24, 2020, in connection with the Eastern Band of Cherokee Indians’ (“EBCI”)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to acquire the operations of Caesars Southern Indiana from Caesars, we agreed to enter into a triple-net lease agreement with EBCI with respect to the real property associated with Caesars Southern Indiana, at the closing of EBCI’s acquisition. In addition, as part of the transaction, the parties have agreed to negotiate a right of first refusal for us on the real property associated with the development of a new casino resort in Danville, Virginia. Initial total annual rent under the lease with EBCI will be $32.5 million. The lease will have an initial term of 15 years, with four 5-year tenant renewal options. The tenant’s obligations under the lease will be guaranteed by EBCI. Annual base rent payments under the Regional Master Lease Agreement will be reduced by $32.5 million upon completion of EBCI’s acquisition of the operations of Caesars Southern Indiana and the execution of the lease between us and the tenant. The property is expected to retain the Caesars brand name and to continue to be a part of the Caesars Rewards loyalty program in accordance with the terms of a licensing agreement negotiated between EBCI and Caesars. The transaction is subject to customary regulatory and other approvals (and, with respect to the right of first refusal, negotiation of definitive documentation and applicable regulatory and other governmental approvals) and is expected to be completed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real property business and our golf course business represent our two reportable segments. The real property business segment consists of leased real property and loan investments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gridSpan w:val="2"/>
          </w:tcPr>
          <w:p>
            <w:pPr>
              <w:spacing w:after="0" w:line="175" w:lineRule="exact"/>
              <w:rPr>
                <w:sz w:val="20"/>
                <w:szCs w:val="20"/>
                <w:color w:val="auto"/>
              </w:rPr>
            </w:pPr>
            <w:r>
              <w:rPr>
                <w:rFonts w:ascii="Arial" w:cs="Arial" w:eastAsia="Arial" w:hAnsi="Arial"/>
                <w:sz w:val="16"/>
                <w:szCs w:val="16"/>
                <w:b w:val="1"/>
                <w:bCs w:val="1"/>
                <w:i w:val="1"/>
                <w:iCs w:val="1"/>
                <w:color w:val="auto"/>
              </w:rPr>
              <w:t>(In thousands)</w:t>
            </w:r>
          </w:p>
        </w:tc>
        <w:tc>
          <w:tcPr>
            <w:tcW w:w="260" w:type="dxa"/>
            <w:vAlign w:val="bottom"/>
          </w:tcPr>
          <w:p>
            <w:pPr>
              <w:spacing w:after="0"/>
              <w:rPr>
                <w:sz w:val="15"/>
                <w:szCs w:val="15"/>
                <w:color w:val="auto"/>
              </w:rPr>
            </w:pPr>
          </w:p>
        </w:tc>
        <w:tc>
          <w:tcPr>
            <w:tcW w:w="860" w:type="dxa"/>
            <w:vAlign w:val="bottom"/>
          </w:tcPr>
          <w:p>
            <w:pPr>
              <w:jc w:val="right"/>
              <w:ind w:right="311"/>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1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Variance</w:t>
            </w:r>
          </w:p>
        </w:tc>
        <w:tc>
          <w:tcPr>
            <w:tcW w:w="240" w:type="dxa"/>
            <w:vAlign w:val="bottom"/>
          </w:tcPr>
          <w:p>
            <w:pPr>
              <w:spacing w:after="0"/>
              <w:rPr>
                <w:sz w:val="15"/>
                <w:szCs w:val="15"/>
                <w:color w:val="auto"/>
              </w:rPr>
            </w:pPr>
          </w:p>
        </w:tc>
        <w:tc>
          <w:tcPr>
            <w:tcW w:w="880" w:type="dxa"/>
            <w:vAlign w:val="bottom"/>
          </w:tcPr>
          <w:p>
            <w:pPr>
              <w:jc w:val="right"/>
              <w:ind w:right="311"/>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29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1"/>
              <w:spacing w:after="0" w:line="175" w:lineRule="exact"/>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30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Income from sales-type and direct financing leases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Income from operating leases</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Income from lease financing receivables and loans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Golf revenues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376,400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237,807</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Golf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304,333</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231,952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72,381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576,916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210,341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366,575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303,077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209,578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365,598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Less: Net income attributable to non-controlling</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300,709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591"/>
              <w:spacing w:after="0"/>
              <w:rPr>
                <w:sz w:val="20"/>
                <w:szCs w:val="20"/>
                <w:color w:val="auto"/>
              </w:rPr>
            </w:pPr>
            <w:r>
              <w:rPr>
                <w:rFonts w:ascii="Arial" w:cs="Arial" w:eastAsia="Arial" w:hAnsi="Arial"/>
                <w:sz w:val="18"/>
                <w:szCs w:val="18"/>
                <w:color w:val="auto"/>
                <w:w w:val="79"/>
              </w:rPr>
              <w:t>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and 2020, our revenue was comprised of the following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4"/>
        </w:trPr>
        <w:tc>
          <w:tcPr>
            <w:tcW w:w="40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5"/>
                <w:szCs w:val="15"/>
                <w:color w:val="auto"/>
              </w:rPr>
            </w:pPr>
          </w:p>
        </w:tc>
        <w:tc>
          <w:tcPr>
            <w:tcW w:w="860" w:type="dxa"/>
            <w:vAlign w:val="bottom"/>
          </w:tcPr>
          <w:p>
            <w:pPr>
              <w:jc w:val="right"/>
              <w:ind w:right="314"/>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2"/>
              <w:spacing w:after="0" w:line="175"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52"/>
              <w:spacing w:after="0" w:line="175" w:lineRule="exact"/>
              <w:rPr>
                <w:sz w:val="20"/>
                <w:szCs w:val="20"/>
                <w:color w:val="auto"/>
              </w:rPr>
            </w:pPr>
            <w:r>
              <w:rPr>
                <w:rFonts w:ascii="Arial" w:cs="Arial" w:eastAsia="Arial" w:hAnsi="Arial"/>
                <w:sz w:val="16"/>
                <w:szCs w:val="16"/>
                <w:b w:val="1"/>
                <w:bCs w:val="1"/>
                <w:color w:val="auto"/>
              </w:rPr>
              <w:t>Variance</w:t>
            </w:r>
          </w:p>
        </w:tc>
        <w:tc>
          <w:tcPr>
            <w:tcW w:w="360" w:type="dxa"/>
            <w:vAlign w:val="bottom"/>
          </w:tcPr>
          <w:p>
            <w:pPr>
              <w:spacing w:after="0"/>
              <w:rPr>
                <w:sz w:val="15"/>
                <w:szCs w:val="15"/>
                <w:color w:val="auto"/>
              </w:rPr>
            </w:pPr>
          </w:p>
        </w:tc>
        <w:tc>
          <w:tcPr>
            <w:tcW w:w="860" w:type="dxa"/>
            <w:vAlign w:val="bottom"/>
          </w:tcPr>
          <w:p>
            <w:pPr>
              <w:jc w:val="right"/>
              <w:ind w:right="314"/>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29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2"/>
              <w:spacing w:after="0" w:line="175" w:lineRule="exact"/>
              <w:rPr>
                <w:sz w:val="20"/>
                <w:szCs w:val="20"/>
                <w:color w:val="auto"/>
              </w:rPr>
            </w:pPr>
            <w:r>
              <w:rPr>
                <w:rFonts w:ascii="Arial" w:cs="Arial" w:eastAsia="Arial" w:hAnsi="Arial"/>
                <w:sz w:val="16"/>
                <w:szCs w:val="16"/>
                <w:b w:val="1"/>
                <w:bCs w:val="1"/>
                <w:color w:val="auto"/>
                <w:w w:val="98"/>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100,469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203,322</w:t>
            </w:r>
          </w:p>
        </w:tc>
      </w:tr>
      <w:tr>
        <w:trPr>
          <w:trHeight w:val="229"/>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Income from loans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8,825</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18,487</w:t>
            </w:r>
          </w:p>
        </w:tc>
      </w:tr>
      <w:tr>
        <w:trPr>
          <w:trHeight w:val="22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r>
      <w:tr>
        <w:trPr>
          <w:trHeight w:val="229"/>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Golf revenues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257,902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direct financing, operating and financing receivables leases: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4"/>
        </w:trPr>
        <w:tc>
          <w:tcPr>
            <w:tcW w:w="40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5"/>
                <w:szCs w:val="15"/>
                <w:color w:val="auto"/>
              </w:rPr>
            </w:pPr>
          </w:p>
        </w:tc>
        <w:tc>
          <w:tcPr>
            <w:tcW w:w="880" w:type="dxa"/>
            <w:vAlign w:val="bottom"/>
          </w:tcPr>
          <w:p>
            <w:pPr>
              <w:jc w:val="right"/>
              <w:ind w:right="313"/>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Variance</w:t>
            </w:r>
          </w:p>
        </w:tc>
        <w:tc>
          <w:tcPr>
            <w:tcW w:w="260" w:type="dxa"/>
            <w:vAlign w:val="bottom"/>
          </w:tcPr>
          <w:p>
            <w:pPr>
              <w:spacing w:after="0"/>
              <w:rPr>
                <w:sz w:val="15"/>
                <w:szCs w:val="15"/>
                <w:color w:val="auto"/>
              </w:rPr>
            </w:pPr>
          </w:p>
        </w:tc>
        <w:tc>
          <w:tcPr>
            <w:tcW w:w="860" w:type="dxa"/>
            <w:vAlign w:val="bottom"/>
          </w:tcPr>
          <w:p>
            <w:pPr>
              <w:jc w:val="right"/>
              <w:ind w:right="31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29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2"/>
              <w:spacing w:after="0" w:line="175" w:lineRule="exact"/>
              <w:rPr>
                <w:sz w:val="20"/>
                <w:szCs w:val="20"/>
                <w:color w:val="auto"/>
              </w:rPr>
            </w:pPr>
            <w:r>
              <w:rPr>
                <w:rFonts w:ascii="Arial" w:cs="Arial" w:eastAsia="Arial" w:hAnsi="Arial"/>
                <w:sz w:val="16"/>
                <w:szCs w:val="16"/>
                <w:b w:val="1"/>
                <w:bCs w:val="1"/>
                <w:color w:val="auto"/>
                <w:w w:val="98"/>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Income from sales-type and direct financing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133,131</w:t>
            </w:r>
          </w:p>
        </w:tc>
      </w:tr>
      <w:tr>
        <w:trPr>
          <w:trHeight w:val="229"/>
        </w:trPr>
        <w:tc>
          <w:tcPr>
            <w:tcW w:w="4080" w:type="dxa"/>
            <w:vAlign w:val="bottom"/>
            <w:gridSpan w:val="3"/>
          </w:tcPr>
          <w:p>
            <w:pPr>
              <w:ind w:left="20"/>
              <w:spacing w:after="0" w:line="229"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(1)</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(21,826)</w:t>
            </w:r>
          </w:p>
        </w:tc>
      </w:tr>
      <w:tr>
        <w:trPr>
          <w:trHeight w:val="229"/>
        </w:trPr>
        <w:tc>
          <w:tcPr>
            <w:tcW w:w="408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92,017</w:t>
            </w:r>
          </w:p>
        </w:tc>
      </w:tr>
      <w:tr>
        <w:trPr>
          <w:trHeight w:val="222"/>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Total leasing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351,201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701,239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497,917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203,322</w:t>
            </w:r>
          </w:p>
        </w:tc>
      </w:tr>
      <w:tr>
        <w:trPr>
          <w:trHeight w:val="229"/>
        </w:trPr>
        <w:tc>
          <w:tcPr>
            <w:tcW w:w="4080" w:type="dxa"/>
            <w:vAlign w:val="bottom"/>
            <w:gridSpan w:val="3"/>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(64,338)</w:t>
            </w:r>
          </w:p>
        </w:tc>
      </w:tr>
      <w:tr>
        <w:trPr>
          <w:trHeight w:val="222"/>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Total contractual leasing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321,803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138,984</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 w:lineRule="exact"/>
        <w:rPr>
          <w:sz w:val="20"/>
          <w:szCs w:val="20"/>
          <w:color w:val="auto"/>
        </w:rPr>
      </w:pPr>
    </w:p>
    <w:p>
      <w:pPr>
        <w:jc w:val="both"/>
        <w:ind w:firstLine="8"/>
        <w:spacing w:after="0"/>
        <w:tabs>
          <w:tab w:leader="none" w:pos="212"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the certain operating land parcels were reassessed for lease classification and determined to be a sales-type lease. Accordingly, subsequent to July 20, 2020, such income is recognized as Income from sales-type and direct financing leases.</w:t>
      </w:r>
    </w:p>
    <w:p>
      <w:pPr>
        <w:spacing w:after="0" w:line="2" w:lineRule="exact"/>
        <w:rPr>
          <w:rFonts w:ascii="Arial" w:cs="Arial" w:eastAsia="Arial" w:hAnsi="Arial"/>
          <w:sz w:val="14"/>
          <w:szCs w:val="14"/>
          <w:i w:val="1"/>
          <w:iCs w:val="1"/>
          <w:color w:val="auto"/>
        </w:rPr>
      </w:pPr>
    </w:p>
    <w:p>
      <w:pPr>
        <w:jc w:val="both"/>
        <w:ind w:firstLine="8"/>
        <w:spacing w:after="0"/>
        <w:tabs>
          <w:tab w:leader="none" w:pos="227"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MTA Properties and the JACK Cleveland/Thistledown Lease Agreement, both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4" w:lineRule="auto"/>
        <w:tabs>
          <w:tab w:leader="none" w:pos="205"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sales-type leases, direct financing leases and lease financing receivables in order to recognize income on an effective interest basis at a constant rate of return over the term of the leases.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Leasing revenue is generated from rent from our Lease Agreements. Total leasing revenue increased $100.5 million and $203.3 million during the three and six months ended June 30, 2021, respectively, compared to the three and six months ended June 30, 2020, respectively. Total contractual leasing revenue increased $67.3 million and $139.0 million during the three and six months ended June 30, 2021, respectively, compared to the three and six months ended June 30, 2020, respectively. The increase was primarily driven by the addition of the MTA Properties to our real estate portfolio in July 2020, as well as the CPLV Additional Rent Acquisition and the HLV Additional Rent Acquisition in July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Income from loans increased $8.8 million and $18.5 million during the three and six months ended June 30, 2021, respectively, compared to the three and six months ended June 30, 2020, respectively. The increase was driven by the addition of the Amended and Restated ROV Loan, the Chelsea Piers Mortgage Loan and the Forum Convention Center Mortgage Loan to our real estate portfolio in July 2020, August 2020 and September 2020,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6" w:lineRule="exact"/>
        <w:rPr>
          <w:sz w:val="20"/>
          <w:szCs w:val="20"/>
          <w:color w:val="auto"/>
        </w:rPr>
      </w:pPr>
    </w:p>
    <w:p>
      <w:pPr>
        <w:jc w:val="both"/>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Other income increased $6.3 million and $12.5 million during the three and six months ended June 30, 2021, respectively, compared to the three and six months ended June 30, 2020, respectively. The increase was driven by the additional income and offsetting expense as a result of the assumption of the HNO Ground Lease as part of the MTA Properties Acquisitions. Refer to </w:t>
      </w:r>
      <w:hyperlink w:anchor="page15">
        <w:r>
          <w:rPr>
            <w:rFonts w:ascii="Arial" w:cs="Arial" w:eastAsia="Arial" w:hAnsi="Arial"/>
            <w:sz w:val="16"/>
            <w:szCs w:val="16"/>
            <w:u w:val="single" w:color="auto"/>
            <w:color w:val="0000FF"/>
          </w:rPr>
          <w:t>Note 3 - Property Transactions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description of the HNO Ground Lease.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Revenues from golf operations increased $3.0 million and $3.5 million during the three and six months ended June 30, 2021, respectively, compared to the three and six months ended June 30, 2020, respectively. The change was primarily driven by the closure of our golf courses in mid-March 2020 until early to mid-May 2020 as a result of the COVID-19 pandemic and an increase in the contractual fees paid to us by Caesars for the use of our golf courses, pursuant to a golf course use agreement.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and 2020, our operating expenses were comprised of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4"/>
        </w:trPr>
        <w:tc>
          <w:tcPr>
            <w:tcW w:w="4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5"/>
                <w:szCs w:val="15"/>
                <w:color w:val="auto"/>
              </w:rPr>
            </w:pPr>
          </w:p>
        </w:tc>
        <w:tc>
          <w:tcPr>
            <w:tcW w:w="840" w:type="dxa"/>
            <w:vAlign w:val="bottom"/>
          </w:tcPr>
          <w:p>
            <w:pPr>
              <w:jc w:val="right"/>
              <w:ind w:right="29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1"/>
              <w:spacing w:after="0" w:line="175" w:lineRule="exact"/>
              <w:rPr>
                <w:sz w:val="20"/>
                <w:szCs w:val="20"/>
                <w:color w:val="auto"/>
              </w:rPr>
            </w:pPr>
            <w:r>
              <w:rPr>
                <w:rFonts w:ascii="Arial" w:cs="Arial" w:eastAsia="Arial" w:hAnsi="Arial"/>
                <w:sz w:val="16"/>
                <w:szCs w:val="16"/>
                <w:b w:val="1"/>
                <w:bCs w:val="1"/>
                <w:color w:val="auto"/>
              </w:rPr>
              <w:t>Variance</w:t>
            </w:r>
          </w:p>
        </w:tc>
        <w:tc>
          <w:tcPr>
            <w:tcW w:w="340" w:type="dxa"/>
            <w:vAlign w:val="bottom"/>
          </w:tcPr>
          <w:p>
            <w:pPr>
              <w:spacing w:after="0"/>
              <w:rPr>
                <w:sz w:val="15"/>
                <w:szCs w:val="15"/>
                <w:color w:val="auto"/>
              </w:rPr>
            </w:pPr>
          </w:p>
        </w:tc>
        <w:tc>
          <w:tcPr>
            <w:tcW w:w="860" w:type="dxa"/>
            <w:vAlign w:val="bottom"/>
          </w:tcPr>
          <w:p>
            <w:pPr>
              <w:jc w:val="right"/>
              <w:ind w:right="31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91"/>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1"/>
              <w:spacing w:after="0" w:line="175" w:lineRule="exact"/>
              <w:rPr>
                <w:sz w:val="20"/>
                <w:szCs w:val="20"/>
                <w:color w:val="auto"/>
              </w:rPr>
            </w:pPr>
            <w:r>
              <w:rPr>
                <w:rFonts w:ascii="Arial" w:cs="Arial" w:eastAsia="Arial" w:hAnsi="Arial"/>
                <w:sz w:val="16"/>
                <w:szCs w:val="16"/>
                <w:b w:val="1"/>
                <w:bCs w:val="1"/>
                <w:color w:val="auto"/>
                <w:w w:val="98"/>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w:t>
            </w:r>
          </w:p>
        </w:tc>
      </w:tr>
      <w:tr>
        <w:trPr>
          <w:trHeight w:val="229"/>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Golf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29"/>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36,376</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(117,512)</w:t>
            </w:r>
          </w:p>
        </w:tc>
      </w:tr>
      <w:tr>
        <w:trPr>
          <w:trHeight w:val="229"/>
        </w:trPr>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$0.1 million and $1.2 million for the three and six months ended June 30, 2021, respectively, as compared to the three and six months ended June 30, 2020, respectively. The increase was primarily driven by an increase in compensation, including stock-based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6" w:lineRule="exact"/>
        <w:rPr>
          <w:sz w:val="20"/>
          <w:szCs w:val="20"/>
          <w:color w:val="auto"/>
        </w:rPr>
      </w:pPr>
    </w:p>
    <w:p>
      <w:pPr>
        <w:jc w:val="both"/>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Other expenses increased $6.3 million and $12.5 million during the three and six months ended June 30, 2021, respectively, compared to the three and six months ended June 30, 2020, respectively. The increase was driven by the additional income and offsetting expense as a result of the assumption of the HNO Ground Lease as part of the MTA Properties Acquisitions. Refer to </w:t>
      </w:r>
      <w:hyperlink w:anchor="page15">
        <w:r>
          <w:rPr>
            <w:rFonts w:ascii="Arial" w:cs="Arial" w:eastAsia="Arial" w:hAnsi="Arial"/>
            <w:sz w:val="16"/>
            <w:szCs w:val="16"/>
            <w:u w:val="single" w:color="auto"/>
            <w:color w:val="0000FF"/>
          </w:rPr>
          <w:t>Note 3 - Property Transactions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description of the HNO Ground Lease.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Expenses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Expenses from golf operations increased $1.1 million and $1.2 million during the three and six months ended June 30, 2021, respectively, compared to the three and six months ended June 30, 2020, respectively. The change was primarily driven by the closure of our golf courses in mid-March 2020 until early to mid-May 2020 as a result of the COVID-19 pandemic, partially offset by an increase in the water usage charges at one of our golf courses during 2020. Additionally, even though our courses were closed from mid-March 2020 until early to mid-May as a result of the COVID-19 pandemic, we continued to pay all of our golf course employees their full salaries and benefits for a period of time and, accordingly, the change in our golf course operating revenues during this time was not proportionately offset by the change in golf course operating expenses.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Under ASU No. 2016-13 -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we are required to record an estimated credit loss for our (i) Investments in leases - sales-type, (ii) Investments in leases - financing receivables and (iii) Investments in loans. During the three and six months ended June 30, 2021, we recognized a $29.1 million and $33.5 million decrease, respectively, in our allowance for credit losses primarily driven by (i) the decrease in the R&amp;S Period PD of our tenants and their parent guarantors as a result of an improvement in their economic outlook due to the reopening of all of their gaming operations and relative performance of such operations during the first and second quarters of 2021, (ii) the decrease in the Long-Term Period PD due to an upgrade of the credit rating of the senior secured debt used to determine the Long-Term Period PD for two of our tenants during the second quarter of 2021 and (iii) the decrease in the R&amp;S Period PD and R&amp;S Period LGD as a result of standard annual updates that were made to the inputs and assumptions in the model that we utilize to estimate our CECL allowance.</w:t>
      </w:r>
    </w:p>
    <w:p>
      <w:pPr>
        <w:spacing w:after="0" w:line="126"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During the three months ended June 30, 2020, we recognized a $65.5 million decrease in our allowance for credit losses. This decrease was primarily driven by a decrease in the R&amp;S Period PD of our tenants and their parent guarantors as a result of an improvement in their economic outlook due to the partial reopening of a majority of their gaming operations. During the six months ended June 30, 2020, we recognized a $84.0 million increase in our allowance for credit losses. This increase was primarily driven by (i) an increase in the R&amp;S Period PD and LGD of our tenants and their parent guarantors due to decreases in the equity market capitalization of the stock of the parent public-entities of certain of our tenants due to the uncertain economic conditions caused by the COVID-19 pandemic and closure of the tenants operations at our properties during such period, as well as the utilization of forecasted scenarios that incorporated the expected negative impact of the COVID-19 pandemic on the economy, (ii) an increase in the Long-Term Period PD of our tenants due to downgrades on certain of the credit ratings of our tenants’ senior secured debt and (iii) an increase related to our initial investments in JACK Cleveland/Thistledown and the ROV Loan in January 2020. This increase was partially offset by the decrease for the three months ended June 30, 2020. Refer to </w:t>
      </w:r>
      <w:hyperlink w:anchor="page30">
        <w:r>
          <w:rPr>
            <w:rFonts w:ascii="Arial" w:cs="Arial" w:eastAsia="Arial" w:hAnsi="Arial"/>
            <w:sz w:val="17"/>
            <w:szCs w:val="17"/>
            <w:u w:val="single" w:color="auto"/>
            <w:color w:val="0000FF"/>
          </w:rPr>
          <w:t>Note 5 - Allowance for Credit Losses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Transaction and acquisition expenses decreased $0.4 million during the three months ended June 30, 2021 compared to the three months ended June 30, 2020, and increased $3.8 million during the six months ended June 30, 2021 compared to the six months ended June 30, 2020. Changes in transaction and acquisition expenses are related to fluctuations in (i) costs incurred for investments during the period that are not capitalizable under GAAP and (ii) costs incurred for investments that we are no longer pursuing.</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increased $2.1 million and $3.1 million during the three and six months ended June 30, 2021, respectively, as compared to the three and six months ended June 30, 2020, respectively. The increase during the three months ended June 30, 2021 is primarily related to the amortization of the commitment fees associated with the Venetian Acquisition Bridge Facility. The increase during the six months ended June 30, 2021 is primarily attributable to the amortization of the commitment fees associated with the Venetian Acquisition Bridge Facility and the increase in debt of $2.5 billion in the aggregate from the February 2020 Senior Unsecured Notes offering, partially offset by a reduction in debt of $498.5 million as a result of the full redemption of the Second Lien Notes in February 2020.</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the weighted average annualized interest rate of our debt decreased to 4.01% and 4.03% during the three and six months ended June 30, 2021, respectively, from 4.18% and 4.51% during the three and six months ended June 30, 2020, respectively, as a result of (i) the weighted average interest rate on the February 2020 Senior Unsecured Notes being lower than the weighted average interest rate of the Second Lien Notes and (ii) a decrease in LIBOR on the $600.0 million portion of our variable rate debt that is not hedged.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decreased $1.0 million and $6.5 million during the three and six months ended June 30, 2021, respectively, compared to the three and six months ended June 30, 2020, respectively. The decrease was primarily driven by an overall decrease in our cash on hand and a decrease in the interest rates earned on our excess cash.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During the six months ended June 30, 2020, we recognized a loss on extinguishment of debt of $39.1 million resulting from the full redemption of our Second Lien Notes in February 2020. We had no such related extinguishment of debt during the six months ended June 30, 2021.</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AFFO is a non-GAAP financial measure that we use as a supplemental operating measure to evaluate our performance. We calculate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other non-recurring non-cash transactions (such as non-cash gain upon lease modification) and non-cash adjustments attributable to non-controlling interest with respect to certain of the foregoing.</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calculate Adjusted EBITDA by adding or subtracting from AFFO contractual interest expense and interest income (collectively, interest expense, net) and income tax expense.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FFO per Share, AFFO, AFFO per Share and Adjusted EBITDA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6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Six Months Ended June 30,</w:t>
            </w:r>
          </w:p>
        </w:tc>
      </w:tr>
      <w:tr>
        <w:trPr>
          <w:trHeight w:val="171"/>
        </w:trPr>
        <w:tc>
          <w:tcPr>
            <w:tcW w:w="53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1"/>
              <w:spacing w:after="0" w:line="171"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205,390</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Real estate depreciation</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3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FFO</w:t>
            </w: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300,709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229,402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570,510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205,390</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Non-cash leasing and financing adjustments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change in allowance for credit losses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84,028</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Transaction and acquisition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Amortization of debt issuance costs and original issue discount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11,136</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r>
      <w:tr>
        <w:trPr>
          <w:trHeight w:val="229"/>
        </w:trPr>
        <w:tc>
          <w:tcPr>
            <w:tcW w:w="5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Non-cash adjustments attributable to non-controlling interest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22"/>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AFFO</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256,127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176,257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356,233</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136,121</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22"/>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327,225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248,413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653,059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493,117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FFO per common share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29"/>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AFFO per common share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r>
      <w:tr>
        <w:trPr>
          <w:trHeight w:val="229"/>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2"/>
              </w:rPr>
              <w:t>Weighted average number of shares of common stock outstanding</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536,692,167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489,012,165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536,586,921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477,094,795</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554,438,981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489,213,427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549,620,976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481,652,482</w:t>
            </w:r>
          </w:p>
        </w:tc>
      </w:tr>
      <w:tr>
        <w:trPr>
          <w:trHeight w:val="902"/>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51"/>
              <w:spacing w:after="0"/>
              <w:rPr>
                <w:sz w:val="20"/>
                <w:szCs w:val="20"/>
                <w:color w:val="auto"/>
              </w:rPr>
            </w:pPr>
            <w:r>
              <w:rPr>
                <w:rFonts w:ascii="Arial" w:cs="Arial" w:eastAsia="Arial" w:hAnsi="Arial"/>
                <w:sz w:val="18"/>
                <w:szCs w:val="18"/>
                <w:color w:val="auto"/>
                <w:w w:val="99"/>
              </w:rPr>
              <w:t>59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As of June 30, 2021, our available cash balances, capacity under our Revolving Credit Facility and additional available proceeds from the settlement of forward sale agreements were as follows:</w:t>
      </w:r>
    </w:p>
    <w:p>
      <w:pPr>
        <w:sectPr>
          <w:pgSz w:w="11900" w:h="16838" w:orient="portrait"/>
          <w:cols w:equalWidth="0" w:num="1">
            <w:col w:w="11240"/>
          </w:cols>
          <w:pgMar w:left="320" w:top="368" w:right="339" w:bottom="1440" w:gutter="0" w:footer="0" w:header="0"/>
        </w:sectPr>
      </w:pP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955" cy="153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955" cy="290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955" cy="290830"/>
                    </a:xfrm>
                    <a:prstGeom prst="rect">
                      <a:avLst/>
                    </a:prstGeom>
                    <a:noFill/>
                  </pic:spPr>
                </pic:pic>
              </a:graphicData>
            </a:graphic>
          </wp:anchor>
        </w:drawing>
      </w:r>
    </w:p>
    <w:p>
      <w:pPr>
        <w:ind w:left="20"/>
        <w:spacing w:after="0" w:line="246" w:lineRule="auto"/>
        <w:rPr>
          <w:sz w:val="20"/>
          <w:szCs w:val="20"/>
          <w:color w:val="auto"/>
        </w:rPr>
      </w:pPr>
      <w:r>
        <w:rPr>
          <w:rFonts w:ascii="Arial" w:cs="Arial" w:eastAsia="Arial" w:hAnsi="Arial"/>
          <w:sz w:val="18"/>
          <w:szCs w:val="18"/>
          <w:color w:val="auto"/>
        </w:rPr>
        <w:t xml:space="preserve">Proceeds available from settlement of the June 2020 Forward Sale Agreement and March 2021 Forward Sale Agreements </w:t>
      </w:r>
      <w:r>
        <w:rPr>
          <w:rFonts w:ascii="Arial" w:cs="Arial" w:eastAsia="Arial" w:hAnsi="Arial"/>
          <w:sz w:val="23"/>
          <w:szCs w:val="23"/>
          <w:i w:val="1"/>
          <w:iCs w:val="1"/>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5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973"/>
              <w:spacing w:after="0"/>
              <w:rPr>
                <w:sz w:val="20"/>
                <w:szCs w:val="20"/>
                <w:color w:val="auto"/>
              </w:rPr>
            </w:pPr>
            <w:r>
              <w:rPr>
                <w:rFonts w:ascii="Arial" w:cs="Arial" w:eastAsia="Arial" w:hAnsi="Arial"/>
                <w:sz w:val="15"/>
                <w:szCs w:val="15"/>
                <w:b w:val="1"/>
                <w:bCs w:val="1"/>
                <w:color w:val="auto"/>
              </w:rPr>
              <w:t>June 30, 2021</w:t>
            </w:r>
          </w:p>
        </w:tc>
      </w:tr>
      <w:tr>
        <w:trPr>
          <w:trHeight w:val="225"/>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407,522</w:t>
            </w:r>
          </w:p>
        </w:tc>
      </w:tr>
      <w:tr>
        <w:trPr>
          <w:trHeight w:val="230"/>
        </w:trPr>
        <w:tc>
          <w:tcPr>
            <w:tcW w:w="5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458"/>
        </w:trPr>
        <w:tc>
          <w:tcPr>
            <w:tcW w:w="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2,413,916</w:t>
            </w:r>
          </w:p>
        </w:tc>
      </w:tr>
      <w:tr>
        <w:trPr>
          <w:trHeight w:val="222"/>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3,821,438</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ectPr>
          <w:pgSz w:w="11900" w:h="16838" w:orient="portrait"/>
          <w:cols w:equalWidth="0" w:num="2">
            <w:col w:w="7860" w:space="380"/>
            <w:col w:w="3000"/>
          </w:cols>
          <w:pgMar w:left="320" w:top="368" w:right="339" w:bottom="1440" w:gutter="0" w:footer="0" w:header="0"/>
          <w:type w:val="continuous"/>
        </w:sectPr>
      </w:pPr>
    </w:p>
    <w:p>
      <w:pPr>
        <w:ind w:left="320" w:hanging="312"/>
        <w:spacing w:after="0"/>
        <w:tabs>
          <w:tab w:leader="none" w:pos="3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2" w:lineRule="exact"/>
        <w:rPr>
          <w:rFonts w:ascii="Arial" w:cs="Arial" w:eastAsia="Arial" w:hAnsi="Arial"/>
          <w:sz w:val="14"/>
          <w:szCs w:val="14"/>
          <w:i w:val="1"/>
          <w:iCs w:val="1"/>
          <w:color w:val="auto"/>
        </w:rPr>
      </w:pPr>
    </w:p>
    <w:p>
      <w:pPr>
        <w:ind w:left="340" w:hanging="332"/>
        <w:spacing w:after="0" w:line="254" w:lineRule="auto"/>
        <w:tabs>
          <w:tab w:leader="none" w:pos="332"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Assumes the physical settlement of 69,000,000 shares and the remaining 26,900,000 shares under the March 2021 Forward Sale Agreements and June 2020 Forward Sale Agreement, respectively, at the forward sale price of $27.34 and $19.61, respectively, calculated as of June 30, 2021.</w:t>
      </w:r>
    </w:p>
    <w:p>
      <w:pPr>
        <w:spacing w:after="0" w:line="136" w:lineRule="exact"/>
        <w:rPr>
          <w:sz w:val="20"/>
          <w:szCs w:val="20"/>
          <w:color w:val="auto"/>
        </w:rPr>
      </w:pPr>
    </w:p>
    <w:p>
      <w:pPr>
        <w:jc w:val="both"/>
        <w:spacing w:after="0" w:line="258" w:lineRule="auto"/>
        <w:rPr>
          <w:rFonts w:ascii="Arial" w:cs="Arial" w:eastAsia="Arial" w:hAnsi="Arial"/>
          <w:sz w:val="18"/>
          <w:szCs w:val="18"/>
          <w:color w:val="0000FF"/>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40">
        <w:r>
          <w:rPr>
            <w:rFonts w:ascii="Arial" w:cs="Arial" w:eastAsia="Arial" w:hAnsi="Arial"/>
            <w:sz w:val="18"/>
            <w:szCs w:val="18"/>
            <w:color w:val="auto"/>
          </w:rPr>
          <w:t xml:space="preserve">operations and certain non-recurring expenditures. For a list of our material contractual commitments refer to </w:t>
        </w:r>
        <w:r>
          <w:rPr>
            <w:rFonts w:ascii="Arial" w:cs="Arial" w:eastAsia="Arial" w:hAnsi="Arial"/>
            <w:sz w:val="18"/>
            <w:szCs w:val="18"/>
            <w:u w:val="single" w:color="auto"/>
            <w:color w:val="0000FF"/>
          </w:rPr>
          <w:t>Note 10 - Commitments and Contingent</w:t>
        </w:r>
      </w:hyperlink>
      <w:r>
        <w:rPr>
          <w:rFonts w:ascii="Arial" w:cs="Arial" w:eastAsia="Arial" w:hAnsi="Arial"/>
          <w:sz w:val="18"/>
          <w:szCs w:val="18"/>
          <w:color w:val="auto"/>
        </w:rPr>
        <w:t xml:space="preserve"> </w:t>
      </w:r>
      <w:hyperlink w:anchor="page40">
        <w:r>
          <w:rPr>
            <w:rFonts w:ascii="Arial" w:cs="Arial" w:eastAsia="Arial" w:hAnsi="Arial"/>
            <w:sz w:val="18"/>
            <w:szCs w:val="18"/>
            <w:u w:val="single" w:color="auto"/>
            <w:color w:val="0000FF"/>
          </w:rPr>
          <w:t>Liabilities</w:t>
        </w:r>
        <w:r>
          <w:rPr>
            <w:rFonts w:ascii="Arial" w:cs="Arial" w:eastAsia="Arial" w:hAnsi="Arial"/>
            <w:sz w:val="18"/>
            <w:szCs w:val="18"/>
            <w:color w:val="000000"/>
          </w:rPr>
          <w:t>.</w:t>
        </w:r>
      </w:hyperlink>
    </w:p>
    <w:p>
      <w:pPr>
        <w:spacing w:after="0" w:line="134" w:lineRule="exact"/>
        <w:rPr>
          <w:sz w:val="20"/>
          <w:szCs w:val="20"/>
          <w:color w:val="auto"/>
        </w:rPr>
      </w:pPr>
    </w:p>
    <w:p>
      <w:pPr>
        <w:jc w:val="both"/>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Our long-term obligations consist primarily of principal payments on our outstanding debt obligations and future funding commitments under our lease and loan agreements. As of June 30, 2021, we have $6.9 billion of debt obligations outstanding, none of which are maturing in the next twelve months. As of June 30, 2021, we have $119.5 million in future funding commitments consisting of (i) $79.5 million related to the Great Wolf Mezzanine Loan, (ii) $25.0 million related to the ROV Credit Facility and (iii) $15.0 million related to the Chelsea Piers Mortgage Loan. For a summary of principal debt balances and </w:t>
      </w:r>
      <w:hyperlink w:anchor="page23">
        <w:r>
          <w:rPr>
            <w:rFonts w:ascii="Arial" w:cs="Arial" w:eastAsia="Arial" w:hAnsi="Arial"/>
            <w:sz w:val="18"/>
            <w:szCs w:val="18"/>
            <w:color w:val="auto"/>
          </w:rPr>
          <w:t xml:space="preserve">their maturity dates and principal terms refer to </w:t>
        </w:r>
        <w:r>
          <w:rPr>
            <w:rFonts w:ascii="Arial" w:cs="Arial" w:eastAsia="Arial" w:hAnsi="Arial"/>
            <w:sz w:val="18"/>
            <w:szCs w:val="18"/>
            <w:u w:val="single" w:color="auto"/>
            <w:color w:val="0000FF"/>
          </w:rPr>
          <w:t>Note 7 - Debt</w:t>
        </w:r>
        <w:r>
          <w:rPr>
            <w:rFonts w:ascii="Arial" w:cs="Arial" w:eastAsia="Arial" w:hAnsi="Arial"/>
            <w:sz w:val="18"/>
            <w:szCs w:val="18"/>
            <w:color w:val="auto"/>
          </w:rPr>
          <w:t xml:space="preserve">. For a summary of our future funding commitments under our loan portfolio, refer to </w:t>
        </w:r>
        <w:r>
          <w:rPr>
            <w:rFonts w:ascii="Arial" w:cs="Arial" w:eastAsia="Arial" w:hAnsi="Arial"/>
            <w:sz w:val="18"/>
            <w:szCs w:val="18"/>
            <w:u w:val="single" w:color="auto"/>
            <w:color w:val="0000FF"/>
          </w:rPr>
          <w:t>Note 4 -</w:t>
        </w:r>
      </w:hyperlink>
      <w:r>
        <w:rPr>
          <w:rFonts w:ascii="Arial" w:cs="Arial" w:eastAsia="Arial" w:hAnsi="Arial"/>
          <w:sz w:val="18"/>
          <w:szCs w:val="18"/>
          <w:color w:val="auto"/>
        </w:rPr>
        <w:t xml:space="preserve"> </w:t>
      </w:r>
      <w:hyperlink w:anchor="page23">
        <w:r>
          <w:rPr>
            <w:rFonts w:ascii="Arial" w:cs="Arial" w:eastAsia="Arial" w:hAnsi="Arial"/>
            <w:sz w:val="18"/>
            <w:szCs w:val="18"/>
            <w:u w:val="single" w:color="auto"/>
            <w:color w:val="0000FF"/>
          </w:rPr>
          <w:t>Real Estate Portfolio</w:t>
        </w:r>
        <w:r>
          <w:rPr>
            <w:rFonts w:ascii="Arial" w:cs="Arial" w:eastAsia="Arial" w:hAnsi="Arial"/>
            <w:sz w:val="18"/>
            <w:szCs w:val="18"/>
            <w:color w:val="000000"/>
          </w:rPr>
          <w:t>.</w:t>
        </w:r>
      </w:hyperlink>
    </w:p>
    <w:p>
      <w:pPr>
        <w:spacing w:after="0" w:line="135" w:lineRule="exact"/>
        <w:rPr>
          <w:sz w:val="20"/>
          <w:szCs w:val="20"/>
          <w:color w:val="auto"/>
        </w:rPr>
      </w:pPr>
    </w:p>
    <w:p>
      <w:pPr>
        <w:jc w:val="both"/>
        <w:spacing w:after="0" w:line="276"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pursuant to the Lease Agreements are described in </w:t>
      </w:r>
      <w:hyperlink w:anchor="page23">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June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2021 (remaining)</w:t>
            </w:r>
          </w:p>
        </w:tc>
        <w:tc>
          <w:tcPr>
            <w:tcW w:w="280" w:type="dxa"/>
            <w:vAlign w:val="bottom"/>
          </w:tcPr>
          <w:p>
            <w:pPr>
              <w:spacing w:after="0"/>
              <w:rPr>
                <w:sz w:val="13"/>
                <w:szCs w:val="13"/>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1"/>
              <w:spacing w:after="0" w:line="158" w:lineRule="exact"/>
              <w:rPr>
                <w:sz w:val="20"/>
                <w:szCs w:val="20"/>
                <w:color w:val="auto"/>
              </w:rPr>
            </w:pPr>
            <w:r>
              <w:rPr>
                <w:rFonts w:ascii="Arial" w:cs="Arial" w:eastAsia="Arial" w:hAnsi="Arial"/>
                <w:sz w:val="16"/>
                <w:szCs w:val="16"/>
                <w:b w:val="1"/>
                <w:bCs w:val="1"/>
                <w:color w:val="auto"/>
              </w:rPr>
              <w:t>2025 and</w:t>
            </w:r>
          </w:p>
        </w:tc>
        <w:tc>
          <w:tcPr>
            <w:tcW w:w="0" w:type="dxa"/>
            <w:vAlign w:val="bottom"/>
          </w:tcPr>
          <w:p>
            <w:pPr>
              <w:spacing w:after="0"/>
              <w:rPr>
                <w:sz w:val="1"/>
                <w:szCs w:val="1"/>
                <w:color w:val="auto"/>
              </w:rPr>
            </w:pPr>
          </w:p>
        </w:tc>
      </w:tr>
      <w:tr>
        <w:trPr>
          <w:trHeight w:val="213"/>
        </w:trPr>
        <w:tc>
          <w:tcPr>
            <w:tcW w:w="3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line="229"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2026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line="229" w:lineRule="exact"/>
              <w:rPr>
                <w:sz w:val="20"/>
                <w:szCs w:val="20"/>
                <w:color w:val="auto"/>
              </w:rPr>
            </w:pPr>
            <w:r>
              <w:rPr>
                <w:rFonts w:ascii="Arial" w:cs="Arial" w:eastAsia="Arial" w:hAnsi="Arial"/>
                <w:sz w:val="18"/>
                <w:szCs w:val="18"/>
                <w:color w:val="auto"/>
              </w:rPr>
              <w:t xml:space="preserve">2027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2029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line="229" w:lineRule="exact"/>
              <w:rPr>
                <w:sz w:val="20"/>
                <w:szCs w:val="20"/>
                <w:color w:val="auto"/>
              </w:rPr>
            </w:pPr>
            <w:r>
              <w:rPr>
                <w:rFonts w:ascii="Arial" w:cs="Arial" w:eastAsia="Arial" w:hAnsi="Arial"/>
                <w:sz w:val="18"/>
                <w:szCs w:val="18"/>
                <w:color w:val="auto"/>
              </w:rPr>
              <w:t xml:space="preserve">2030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line="229"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1,585,965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240,344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668,437</w:t>
            </w:r>
          </w:p>
        </w:tc>
        <w:tc>
          <w:tcPr>
            <w:tcW w:w="0" w:type="dxa"/>
            <w:vAlign w:val="bottom"/>
          </w:tcPr>
          <w:p>
            <w:pPr>
              <w:spacing w:after="0"/>
              <w:rPr>
                <w:sz w:val="1"/>
                <w:szCs w:val="1"/>
                <w:color w:val="auto"/>
              </w:rPr>
            </w:pPr>
          </w:p>
        </w:tc>
      </w:tr>
      <w:tr>
        <w:trPr>
          <w:trHeight w:val="222"/>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debt contractual obligations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8,435,965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140,905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2,308,344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5,418,437</w:t>
            </w:r>
          </w:p>
        </w:tc>
        <w:tc>
          <w:tcPr>
            <w:tcW w:w="0" w:type="dxa"/>
            <w:vAlign w:val="bottom"/>
          </w:tcPr>
          <w:p>
            <w:pPr>
              <w:spacing w:after="0"/>
              <w:rPr>
                <w:sz w:val="1"/>
                <w:szCs w:val="1"/>
                <w:color w:val="auto"/>
              </w:rPr>
            </w:pPr>
          </w:p>
        </w:tc>
      </w:tr>
      <w:tr>
        <w:trPr>
          <w:trHeight w:val="249"/>
        </w:trPr>
        <w:tc>
          <w:tcPr>
            <w:tcW w:w="3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Leases and contracts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119,500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31,607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100"/>
              <w:spacing w:after="0" w:line="176" w:lineRule="exact"/>
              <w:rPr>
                <w:sz w:val="20"/>
                <w:szCs w:val="20"/>
                <w:color w:val="auto"/>
              </w:rPr>
            </w:pPr>
            <w:r>
              <w:rPr>
                <w:rFonts w:ascii="Arial" w:cs="Arial" w:eastAsia="Arial" w:hAnsi="Arial"/>
                <w:sz w:val="18"/>
                <w:szCs w:val="18"/>
                <w:color w:val="auto"/>
                <w:w w:val="96"/>
              </w:rPr>
              <w:t>Operating lease for Cascata Golf Course</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19,283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29"/>
        </w:trPr>
        <w:tc>
          <w:tcPr>
            <w:tcW w:w="3260" w:type="dxa"/>
            <w:vAlign w:val="bottom"/>
          </w:tcPr>
          <w:p>
            <w:pPr>
              <w:ind w:left="10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Golf maintenance contract for Rio Secco</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Cascata Golf Course</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Office leases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22"/>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leases and contract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60,984</w:t>
            </w:r>
          </w:p>
        </w:tc>
        <w:tc>
          <w:tcPr>
            <w:tcW w:w="0" w:type="dxa"/>
            <w:vAlign w:val="bottom"/>
          </w:tcPr>
          <w:p>
            <w:pPr>
              <w:spacing w:after="0"/>
              <w:rPr>
                <w:sz w:val="1"/>
                <w:szCs w:val="1"/>
                <w:color w:val="auto"/>
              </w:rPr>
            </w:pPr>
          </w:p>
        </w:tc>
      </w:tr>
      <w:tr>
        <w:trPr>
          <w:trHeight w:val="249"/>
        </w:trPr>
        <w:tc>
          <w:tcPr>
            <w:tcW w:w="32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commitments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2,310,191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5,479,421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6" w:lineRule="exact"/>
        <w:rPr>
          <w:sz w:val="20"/>
          <w:szCs w:val="20"/>
          <w:color w:val="auto"/>
        </w:rPr>
      </w:pPr>
    </w:p>
    <w:p>
      <w:pPr>
        <w:jc w:val="both"/>
        <w:ind w:righ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2025 Notes, 2026 Notes, 2027 Notes, 2029 Notes and 2030 Notes will mature on February 15, 2025, December 1, 2026, February 15, 2027, December 1, 2029 and August 15, 2030,</w:t>
      </w:r>
      <w:r>
        <w:rPr>
          <w:rFonts w:ascii="Arial" w:cs="Arial" w:eastAsia="Arial" w:hAnsi="Arial"/>
          <w:sz w:val="14"/>
          <w:szCs w:val="14"/>
          <w:color w:val="auto"/>
        </w:rPr>
        <w:t xml:space="preserve"> </w:t>
      </w:r>
      <w:r>
        <w:rPr>
          <w:rFonts w:ascii="Arial" w:cs="Arial" w:eastAsia="Arial" w:hAnsi="Arial"/>
          <w:sz w:val="14"/>
          <w:szCs w:val="14"/>
          <w:i w:val="1"/>
          <w:iCs w:val="1"/>
          <w:color w:val="auto"/>
        </w:rPr>
        <w:t>respectively.</w:t>
      </w:r>
    </w:p>
    <w:p>
      <w:pPr>
        <w:spacing w:after="0" w:line="1" w:lineRule="exact"/>
        <w:rPr>
          <w:sz w:val="20"/>
          <w:szCs w:val="20"/>
          <w:color w:val="auto"/>
        </w:rPr>
      </w:pPr>
    </w:p>
    <w:p>
      <w:pPr>
        <w:jc w:val="both"/>
        <w:ind w:firstLine="8"/>
        <w:spacing w:after="0"/>
        <w:tabs>
          <w:tab w:leader="none" w:pos="209"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 The Term Loan B Facility will mature on December 22, 2024 (or if the maturity is extended pursuant to the terms of the agreement, such extended maturity date as determined pursuant thereto).</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The Revolving Credit Facility will mature on May 15, 2024.</w:t>
      </w:r>
    </w:p>
    <w:p>
      <w:pPr>
        <w:ind w:left="220" w:hanging="212"/>
        <w:spacing w:after="0"/>
        <w:tabs>
          <w:tab w:leader="none" w:pos="22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interest payments on variable interest loans are based on a LIBOR rate as of June 30, 2021.</w:t>
      </w:r>
    </w:p>
    <w:p>
      <w:pPr>
        <w:ind w:firstLine="8"/>
        <w:spacing w:after="0" w:line="254" w:lineRule="auto"/>
        <w:tabs>
          <w:tab w:leader="none" w:pos="213"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construction draw schedule, commitment funding date or expiration date, as applicable, however we may be obligated to fund these commitments earlier than such date.</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the Venetian Acquisition to close in the fourth quarter of 2021, and expect to fund the purchase with a mix of cash on hand, the physical settlement of our June 2020 Forward Sale Agreement and March 2021 Forward Sale Agreements, and debt (through additional long-term debt financing, under our Revolving Credit Facility and/or under our Venetian Acquisition Bridge Facility). In particular, we currently intend to issue additional senior unsecured notes to fund a portion of the cash consideration for the Venetian Acquisition, but, absent such a long-term debt financing, we may draw on our Venetian Acquisition Bridge Facility in connection with the closing of the Venetian Acquisition to fund a portion of the consideration and then, in the future, would expect to incur long-term debt financing to refinance such amounts borrowed under the Venetian Acquisition Bridge Facility, subject to market and other conditions. Our ability to raise long-term debt financing on favorable terms or at all may be adversely affected by market or economic conditions that change after the date of this Quarterly Report on Form 10-Q. If we draw upon the Venetian Acquisition Bridge Facility, there can be no assurances that we would be able to refinance the Venetian Acquisition Bridge Facility on terms satisfactory to us, or at all. We anticipate funding future transactions with a mix of debt, equity and available cash.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short-term investments, cash received under our Lease Agreements, borrowings from banks, including undrawn capacity under our Revolving Credit Facility, and proceeds from the issuance of debt and equity securities (including issuances under the June 2020 Forward Sale Agreement, March 2021 Forward Sale Agreements and our ATM Agreement).</w:t>
      </w:r>
    </w:p>
    <w:p>
      <w:pPr>
        <w:spacing w:after="0" w:line="134"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All of the Lease Agreements call for an initial term of between fifteen and twenty years with additional tenant renewal options and are designed to provide us with a reliable and predictable long-term revenue stream. However, the COVID-19 pandemic has adversely impacted our tenants and their financial condition, and may continue to do so, due to the impact of operating restrictions and limitations imposed from time to time, as well as potential property reclosures.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2024. For more information, refer to the risk factors incorporated by reference into </w:t>
      </w:r>
      <w:hyperlink w:anchor="page66">
        <w:r>
          <w:rPr>
            <w:rFonts w:ascii="Arial" w:cs="Arial" w:eastAsia="Arial" w:hAnsi="Arial"/>
            <w:sz w:val="17"/>
            <w:szCs w:val="17"/>
            <w:u w:val="single" w:color="auto"/>
            <w:color w:val="0000FF"/>
          </w:rPr>
          <w:t>Part II. Item 1A. 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herein from our </w:t>
      </w:r>
      <w:hyperlink r:id="rId73">
        <w:r>
          <w:rPr>
            <w:rFonts w:ascii="Arial" w:cs="Arial" w:eastAsia="Arial" w:hAnsi="Arial"/>
            <w:sz w:val="17"/>
            <w:szCs w:val="17"/>
            <w:u w:val="single" w:color="auto"/>
            <w:color w:val="0000FF"/>
          </w:rPr>
          <w:t>Annual Report on Form 10-K for the year ended December 31, 2020</w:t>
        </w:r>
      </w:hyperlink>
      <w:r>
        <w:rPr>
          <w:rFonts w:ascii="Arial" w:cs="Arial" w:eastAsia="Arial" w:hAnsi="Arial"/>
          <w:sz w:val="17"/>
          <w:szCs w:val="17"/>
          <w:color w:val="auto"/>
        </w:rPr>
        <w:t>.</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cash flows from operations and our ability to access capital resources could be adversely affected due to uncertain economic factors and volatility in the financial and credit markets, including as a result of the COVID-19 pandemic. In particular, in connection with the COVID-19 pandemic and its impact on our tenants’ operations and financial performance, we can provide no assurances that our tenants will not default on their leases or fail to make full rental payments if their businesses become challenged due to, among other things, current or future adverse economic conditions. In addition, any such tenant default or failure to make full rental payments could impact our operating performance and result in us not satisfying the financial covenants applicable to our outstanding indebtedness, which could result in us not being able to incur additional debt, including the available capacity under our Revolving Credit Facility, or result in a default. Further, current or future economic conditions could impact our tenants’ ability to meet capital improvement requirements or other obligations required in our Lease Agreements that could result in a decrease in the value of our properties.</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ability to raise funds through the issuance of debt and equity securities and access to other third-party sources of capital in the future will be dependent on, among other things, uncertainties related to COVID-19 and the impact of our response and our tenants’ responses to COVID-19,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six months ended June 30,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5"/>
          </w:tcPr>
          <w:p>
            <w:pPr>
              <w:ind w:left="460"/>
              <w:spacing w:after="0"/>
              <w:rPr>
                <w:sz w:val="20"/>
                <w:szCs w:val="20"/>
                <w:color w:val="auto"/>
              </w:rPr>
            </w:pPr>
            <w:r>
              <w:rPr>
                <w:rFonts w:ascii="Arial" w:cs="Arial" w:eastAsia="Arial" w:hAnsi="Arial"/>
                <w:sz w:val="16"/>
                <w:szCs w:val="16"/>
                <w:b w:val="1"/>
                <w:bCs w:val="1"/>
                <w:color w:val="auto"/>
              </w:rPr>
              <w:t>Six Months Ended June 30,</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4"/>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32"/>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3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ind w:right="472"/>
              <w:spacing w:after="0" w:line="175" w:lineRule="exact"/>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9"/>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410,470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318,497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91,973</w:t>
            </w: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Provided by (used in) investing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882,536</w:t>
            </w: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(Used in) provided by financing activities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(361,046)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3,100,577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(3,461,623)</w:t>
            </w:r>
          </w:p>
        </w:tc>
      </w:tr>
      <w:tr>
        <w:trPr>
          <w:trHeight w:val="222"/>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(2,487,114)</w:t>
            </w: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(785,900)</w:t>
            </w: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(3,273,014)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cash provided by operating activities increased $92.0 million for the six months ended June 30, 2021 compared with the six months ended June 30, 2020. The increase is primarily driven by an increase in cash rental and interest payments from the Eldorado Transaction in July 2020 and the addition of the Amended and Restated ROV Loan, the Chelsea Piers Mortgage Loan and the Forum Convention Center Mortgage Loan to our real estate portfolio in July 2020, August 2020 and September 2020,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Net cash provided by investing activities increased $882.5 million for the six months ended June 30, 2021 compared with the six months ended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the primary sources and uses of cash from investing activities included:</w:t>
      </w:r>
    </w:p>
    <w:p>
      <w:pPr>
        <w:spacing w:after="0" w:line="116" w:lineRule="exact"/>
        <w:rPr>
          <w:sz w:val="20"/>
          <w:szCs w:val="20"/>
          <w:color w:val="auto"/>
        </w:rPr>
      </w:pPr>
    </w:p>
    <w:p>
      <w:pPr>
        <w:ind w:left="640" w:hanging="30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partial repayment of the Amended and Restated ROV Loan and receipt of deferred fees of $30.4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$20.0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Final payment of the funding of a new gaming patio amenity at JACK Thistledown Racino of $6.0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Capitalized transaction costs of $1.9 million; and</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 of property and equipment costs of $1.5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 the primary sources and uses of cash from investing activities include:</w:t>
      </w:r>
    </w:p>
    <w:p>
      <w:pPr>
        <w:spacing w:after="0" w:line="116" w:lineRule="exact"/>
        <w:rPr>
          <w:sz w:val="20"/>
          <w:szCs w:val="20"/>
          <w:color w:val="auto"/>
        </w:rPr>
      </w:pPr>
    </w:p>
    <w:p>
      <w:pPr>
        <w:ind w:left="640" w:hanging="30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JACK Cleveland/Thistledown Acquisition for a total cost of $897.5 million, including acquisition costs;</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$59.5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Capitalized transaction costs of $1.1 million; and</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 of property and equipment costs of $2.2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Net cash used in financing activities decreased $3,461.6 million for the six months ended June 30, 2021, compared with the six months ended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the primary uses of cash in financing activities included:</w:t>
      </w:r>
    </w:p>
    <w:p>
      <w:pPr>
        <w:spacing w:after="0" w:line="116" w:lineRule="exact"/>
        <w:rPr>
          <w:sz w:val="20"/>
          <w:szCs w:val="20"/>
          <w:color w:val="auto"/>
        </w:rPr>
      </w:pPr>
    </w:p>
    <w:p>
      <w:pPr>
        <w:ind w:left="640" w:hanging="30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Dividend payments of $355.3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Distributions of $4.1 million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 the primary sources and uses of cash from financing activities included:</w:t>
      </w:r>
    </w:p>
    <w:p>
      <w:pPr>
        <w:spacing w:after="0" w:line="116" w:lineRule="exact"/>
        <w:rPr>
          <w:sz w:val="20"/>
          <w:szCs w:val="20"/>
          <w:color w:val="auto"/>
        </w:rPr>
      </w:pPr>
    </w:p>
    <w:p>
      <w:pPr>
        <w:ind w:left="660" w:right="20" w:hanging="329"/>
        <w:spacing w:after="0" w:line="27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proceeds from the sale of an aggregate of $1,476.7 million of our common stock pursuant to the full physical settlement of the forward sale agreements entered into in June 2019 and our at-the-market program;</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Gross proceeds from our February 2020 Senior Unsecured Notes offering of $2,500.0 million;</w:t>
      </w:r>
    </w:p>
    <w:p>
      <w:pPr>
        <w:spacing w:after="0" w:line="116" w:lineRule="exact"/>
        <w:rPr>
          <w:rFonts w:ascii="Arial" w:cs="Arial" w:eastAsia="Arial" w:hAnsi="Arial"/>
          <w:sz w:val="18"/>
          <w:szCs w:val="18"/>
          <w:color w:val="auto"/>
        </w:rPr>
      </w:pPr>
    </w:p>
    <w:p>
      <w:pPr>
        <w:ind w:left="660" w:hanging="329"/>
        <w:spacing w:after="0" w:line="27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Full redemption of the $498.5 million outstanding aggregate principal amount of our Second Lien Notes, as well as the $39.0 million Second Lien Notes Applicable Premium (as defined in the Second Lien Notes indenture), plus fees;</w:t>
      </w:r>
    </w:p>
    <w:p>
      <w:pPr>
        <w:spacing w:after="0" w:line="62" w:lineRule="exact"/>
        <w:rPr>
          <w:rFonts w:ascii="Arial" w:cs="Arial" w:eastAsia="Arial" w:hAnsi="Arial"/>
          <w:sz w:val="18"/>
          <w:szCs w:val="18"/>
          <w:color w:val="auto"/>
        </w:rPr>
      </w:pPr>
    </w:p>
    <w:p>
      <w:pPr>
        <w:ind w:left="640" w:hanging="30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Dividend payments of $276.5 million;</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issuance costs of $57.8 million; and</w:t>
      </w:r>
    </w:p>
    <w:p>
      <w:pPr>
        <w:spacing w:after="0" w:line="116" w:lineRule="exact"/>
        <w:rPr>
          <w:rFonts w:ascii="Arial" w:cs="Arial" w:eastAsia="Arial" w:hAnsi="Arial"/>
          <w:sz w:val="18"/>
          <w:szCs w:val="18"/>
          <w:color w:val="auto"/>
        </w:rPr>
      </w:pPr>
    </w:p>
    <w:p>
      <w:pPr>
        <w:ind w:left="640" w:hanging="309"/>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Distributions of $4.1 million to non-controlling 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summary of our debt obligations as of June 30, 2021, refer to </w:t>
      </w:r>
      <w:hyperlink w:anchor="page33">
        <w:r>
          <w:rPr>
            <w:rFonts w:ascii="Arial" w:cs="Arial" w:eastAsia="Arial" w:hAnsi="Arial"/>
            <w:sz w:val="18"/>
            <w:szCs w:val="18"/>
            <w:u w:val="single" w:color="auto"/>
            <w:color w:val="0000FF"/>
          </w:rPr>
          <w:t>Note 7 - Debt</w:t>
        </w:r>
      </w:hyperlink>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2021, we were in compliance with all debt-related covenants.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Non-Guarantor Subsidiaries of Senior Unsecured Notes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subsidiaries of the Operating Partnership that do not guarantee the Senior Unsecured Notes accounted for (i) 4.6% of the Operating Partnership’s revenue (or 4.5% of our consolidated revenue) for the six months ended June 30, 2021 and (ii) 3.8% of the Operating Partnership’s total assets (or 3.8% of our consolidated total assets) as of June 30, 2021.</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six months ended June 30, 2021 and 2020 were as follows: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Six Months Ended 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0"/>
              </w:rPr>
              <w:t>Payment Date</w:t>
            </w: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Dividend</w:t>
            </w: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 2021 - March 31, 2021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30"/>
        </w:trPr>
        <w:tc>
          <w:tcPr>
            <w:tcW w:w="20" w:type="dxa"/>
            <w:vAlign w:val="bottom"/>
          </w:tcPr>
          <w:p>
            <w:pPr>
              <w:spacing w:after="0"/>
              <w:rPr>
                <w:sz w:val="19"/>
                <w:szCs w:val="19"/>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June 10, 2021</w:t>
            </w:r>
          </w:p>
        </w:tc>
        <w:tc>
          <w:tcPr>
            <w:tcW w:w="20" w:type="dxa"/>
            <w:vAlign w:val="bottom"/>
          </w:tcPr>
          <w:p>
            <w:pPr>
              <w:spacing w:after="0"/>
              <w:rPr>
                <w:sz w:val="19"/>
                <w:szCs w:val="19"/>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June 24, 2021</w:t>
            </w:r>
          </w:p>
        </w:tc>
        <w:tc>
          <w:tcPr>
            <w:tcW w:w="20" w:type="dxa"/>
            <w:vAlign w:val="bottom"/>
          </w:tcPr>
          <w:p>
            <w:pPr>
              <w:spacing w:after="0"/>
              <w:rPr>
                <w:sz w:val="19"/>
                <w:szCs w:val="19"/>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July 8, 2021</w:t>
            </w:r>
          </w:p>
        </w:tc>
        <w:tc>
          <w:tcPr>
            <w:tcW w:w="20" w:type="dxa"/>
            <w:vAlign w:val="bottom"/>
          </w:tcPr>
          <w:p>
            <w:pPr>
              <w:spacing w:after="0"/>
              <w:rPr>
                <w:sz w:val="19"/>
                <w:szCs w:val="19"/>
                <w:color w:val="auto"/>
              </w:rPr>
            </w:pPr>
          </w:p>
        </w:tc>
        <w:tc>
          <w:tcPr>
            <w:tcW w:w="344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April 1, 2021 - June 30, 2021</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0.3300</w:t>
            </w:r>
          </w:p>
        </w:tc>
      </w:tr>
      <w:tr>
        <w:trPr>
          <w:trHeight w:val="333"/>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7"/>
          </w:tcPr>
          <w:p>
            <w:pPr>
              <w:ind w:left="480"/>
              <w:spacing w:after="0"/>
              <w:rPr>
                <w:sz w:val="20"/>
                <w:szCs w:val="20"/>
                <w:color w:val="auto"/>
              </w:rPr>
            </w:pPr>
            <w:r>
              <w:rPr>
                <w:rFonts w:ascii="Arial" w:cs="Arial" w:eastAsia="Arial" w:hAnsi="Arial"/>
                <w:sz w:val="16"/>
                <w:szCs w:val="16"/>
                <w:b w:val="1"/>
                <w:bCs w:val="1"/>
                <w:color w:val="auto"/>
              </w:rPr>
              <w:t>Six Months Ended June 30, 2020</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Declaration Date</w:t>
            </w:r>
          </w:p>
        </w:tc>
        <w:tc>
          <w:tcPr>
            <w:tcW w:w="2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Record Date</w:t>
            </w:r>
          </w:p>
        </w:tc>
        <w:tc>
          <w:tcPr>
            <w:tcW w:w="20" w:type="dxa"/>
            <w:vAlign w:val="bottom"/>
          </w:tcPr>
          <w:p>
            <w:pPr>
              <w:spacing w:after="0"/>
              <w:rPr>
                <w:sz w:val="18"/>
                <w:szCs w:val="18"/>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20" w:type="dxa"/>
            <w:vAlign w:val="bottom"/>
          </w:tcPr>
          <w:p>
            <w:pPr>
              <w:spacing w:after="0"/>
              <w:rPr>
                <w:sz w:val="18"/>
                <w:szCs w:val="18"/>
                <w:color w:val="auto"/>
              </w:rPr>
            </w:pPr>
          </w:p>
        </w:tc>
        <w:tc>
          <w:tcPr>
            <w:tcW w:w="3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493"/>
              <w:spacing w:after="0"/>
              <w:rPr>
                <w:sz w:val="20"/>
                <w:szCs w:val="20"/>
                <w:color w:val="auto"/>
              </w:rPr>
            </w:pPr>
            <w:r>
              <w:rPr>
                <w:rFonts w:ascii="Arial" w:cs="Arial" w:eastAsia="Arial" w:hAnsi="Arial"/>
                <w:sz w:val="16"/>
                <w:szCs w:val="16"/>
                <w:b w:val="1"/>
                <w:bCs w:val="1"/>
                <w:color w:val="auto"/>
              </w:rPr>
              <w:t>Dividend</w:t>
            </w:r>
          </w:p>
        </w:tc>
      </w:tr>
      <w:tr>
        <w:trPr>
          <w:trHeight w:val="225"/>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6"/>
              </w:rPr>
              <w:t>April 9, 2020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January 1, 2020 - March 31, 2020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r>
      <w:tr>
        <w:trPr>
          <w:trHeight w:val="230"/>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11, 2020</w:t>
            </w:r>
          </w:p>
        </w:tc>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30, 2020</w:t>
            </w:r>
          </w:p>
        </w:tc>
        <w:tc>
          <w:tcPr>
            <w:tcW w:w="20" w:type="dxa"/>
            <w:vAlign w:val="bottom"/>
          </w:tcPr>
          <w:p>
            <w:pPr>
              <w:spacing w:after="0"/>
              <w:rPr>
                <w:sz w:val="19"/>
                <w:szCs w:val="19"/>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July 10, 2020</w:t>
            </w:r>
          </w:p>
        </w:tc>
        <w:tc>
          <w:tcPr>
            <w:tcW w:w="20" w:type="dxa"/>
            <w:vAlign w:val="bottom"/>
          </w:tcPr>
          <w:p>
            <w:pPr>
              <w:spacing w:after="0"/>
              <w:rPr>
                <w:sz w:val="19"/>
                <w:szCs w:val="19"/>
                <w:color w:val="auto"/>
              </w:rPr>
            </w:pPr>
          </w:p>
        </w:tc>
        <w:tc>
          <w:tcPr>
            <w:tcW w:w="34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April 1, 2020 - June 30, 2020</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0.2975</w:t>
            </w:r>
          </w:p>
        </w:tc>
      </w:tr>
    </w:tbl>
    <w:p>
      <w:pPr>
        <w:spacing w:after="0" w:line="22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69" w:lineRule="exact"/>
        <w:rPr>
          <w:sz w:val="20"/>
          <w:szCs w:val="20"/>
          <w:color w:val="auto"/>
        </w:rPr>
      </w:pPr>
    </w:p>
    <w:p>
      <w:pPr>
        <w:jc w:val="both"/>
        <w:spacing w:after="0" w:line="276" w:lineRule="auto"/>
        <w:rPr>
          <w:rFonts w:ascii="Arial" w:cs="Arial" w:eastAsia="Arial" w:hAnsi="Arial"/>
          <w:sz w:val="18"/>
          <w:szCs w:val="18"/>
          <w:color w:val="0000FF"/>
        </w:rPr>
      </w:pPr>
      <w:hyperlink r:id="rId72">
        <w:r>
          <w:rPr>
            <w:rFonts w:ascii="Arial" w:cs="Arial" w:eastAsia="Arial" w:hAnsi="Arial"/>
            <w:sz w:val="18"/>
            <w:szCs w:val="18"/>
            <w:color w:val="auto"/>
          </w:rPr>
          <w:t xml:space="preserve">A complete discussion of our critical accounting policies and estimates is included in our </w:t>
        </w:r>
        <w:r>
          <w:rPr>
            <w:rFonts w:ascii="Arial" w:cs="Arial" w:eastAsia="Arial" w:hAnsi="Arial"/>
            <w:sz w:val="18"/>
            <w:szCs w:val="18"/>
            <w:u w:val="single" w:color="auto"/>
            <w:color w:val="0000FF"/>
          </w:rPr>
          <w:t>Annual Report on Form 10-K for the year ended December 31,</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FF"/>
          </w:rPr>
          <w:t>2020</w:t>
        </w:r>
        <w:r>
          <w:rPr>
            <w:rFonts w:ascii="Arial" w:cs="Arial" w:eastAsia="Arial" w:hAnsi="Arial"/>
            <w:sz w:val="18"/>
            <w:szCs w:val="18"/>
            <w:color w:val="000000"/>
          </w:rPr>
          <w:t>. There have been no significant changes in our critical policies and estimates for the six months ended June 30, 2021.</w:t>
        </w:r>
      </w:hyperlink>
    </w:p>
    <w:p>
      <w:pPr>
        <w:spacing w:after="0" w:line="17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June 30, 2021, we had $6.9 billion aggregate principal amount of outstanding indebtedness. Approximately $2.1 billion of our indebtedness has variable interest rates. We manage most of our interest rate risks related to variable rate borrowings by means of interest rate swap agreements. However, the REIT provisions of the Code substantially limit our ability to hedge our assets and liabilities. We also expect to manage our exposure to interest rate risk by maintaining a mix of fixed and variable rates for our indebtedness.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we had entered into interest rate swap agreements that hedge $1.5 billion of our variable rate debt. Accordingly, we have approximately $600.0 million in variable rate debt that is not hedged. A one percent increase or decrease in the interest rate on our variable-rate borrowings that are not hedged would increase or decrease our annual cash interest expense by approximately $6.0 million.</w:t>
      </w:r>
    </w:p>
    <w:p>
      <w:pPr>
        <w:spacing w:after="0" w:line="18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our principal executive officer and principal financial officer, as appropriate, to allow timely decisions regarding required disclosure.</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three months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June 30, 2021, we are not subject to any litigation that we believe could have, individually or in the aggregate, a material adverse effect on our business, financial condition or results of operations, liquidity or cash flows.</w:t>
      </w:r>
    </w:p>
    <w:p>
      <w:pPr>
        <w:spacing w:after="0" w:line="18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4" w:lineRule="exact"/>
        <w:rPr>
          <w:sz w:val="20"/>
          <w:szCs w:val="20"/>
          <w:color w:val="auto"/>
        </w:rPr>
      </w:pPr>
    </w:p>
    <w:p>
      <w:pPr>
        <w:jc w:val="both"/>
        <w:spacing w:after="0" w:line="263" w:lineRule="auto"/>
        <w:rPr>
          <w:rFonts w:ascii="Arial" w:cs="Arial" w:eastAsia="Arial" w:hAnsi="Arial"/>
          <w:sz w:val="18"/>
          <w:szCs w:val="18"/>
          <w:color w:val="0000FF"/>
        </w:rPr>
      </w:pPr>
      <w:hyperlink r:id="rId72">
        <w:r>
          <w:rPr>
            <w:rFonts w:ascii="Arial" w:cs="Arial" w:eastAsia="Arial" w:hAnsi="Arial"/>
            <w:sz w:val="18"/>
            <w:szCs w:val="18"/>
            <w:color w:val="auto"/>
          </w:rPr>
          <w:t xml:space="preserve">A description of certain factors that may affect our future results and risk factors is set forth in our </w:t>
        </w:r>
        <w:r>
          <w:rPr>
            <w:rFonts w:ascii="Arial" w:cs="Arial" w:eastAsia="Arial" w:hAnsi="Arial"/>
            <w:sz w:val="18"/>
            <w:szCs w:val="18"/>
            <w:u w:val="single" w:color="auto"/>
            <w:color w:val="0000FF"/>
          </w:rPr>
          <w:t>Annual Report on Form 10-K for the year ended</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December 31, 2020</w:t>
        </w:r>
        <w:r>
          <w:rPr>
            <w:rFonts w:ascii="Arial" w:cs="Arial" w:eastAsia="Arial" w:hAnsi="Arial"/>
            <w:sz w:val="18"/>
            <w:szCs w:val="18"/>
            <w:color w:val="000000"/>
          </w:rPr>
          <w:t>. There have been no material changes to those factors for the six months ended June 30, 2021 other than as set forth in our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Quarterly</w:t>
        </w:r>
      </w:hyperlink>
      <w:r>
        <w:rPr>
          <w:rFonts w:ascii="Arial" w:cs="Arial" w:eastAsia="Arial" w:hAnsi="Arial"/>
          <w:sz w:val="18"/>
          <w:szCs w:val="18"/>
          <w:color w:val="0000FF"/>
        </w:rPr>
        <w:t xml:space="preserve"> </w:t>
      </w:r>
      <w:hyperlink r:id="rId97">
        <w:r>
          <w:rPr>
            <w:rFonts w:ascii="Arial" w:cs="Arial" w:eastAsia="Arial" w:hAnsi="Arial"/>
            <w:sz w:val="18"/>
            <w:szCs w:val="18"/>
            <w:u w:val="single" w:color="auto"/>
            <w:color w:val="0000FF"/>
          </w:rPr>
          <w:t>Report on Form 10-Q for the quarter ended March 31, 2021</w:t>
        </w:r>
        <w:r>
          <w:rPr>
            <w:rFonts w:ascii="Arial" w:cs="Arial" w:eastAsia="Arial" w:hAnsi="Arial"/>
            <w:sz w:val="18"/>
            <w:szCs w:val="18"/>
            <w:color w:val="000000"/>
          </w:rPr>
          <w:t>, and such risk factors are incorporated by reference herein.</w:t>
        </w:r>
      </w:hyperlink>
    </w:p>
    <w:p>
      <w:pPr>
        <w:spacing w:after="0" w:line="182" w:lineRule="exact"/>
        <w:rPr>
          <w:rFonts w:ascii="Arial" w:cs="Arial" w:eastAsia="Arial" w:hAnsi="Arial"/>
          <w:sz w:val="18"/>
          <w:szCs w:val="18"/>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6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17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7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During the three months ended June 30, 2021, we did not repurchase any equity securities registered pursuant to Section 12 of the Exchange Act.</w:t>
      </w:r>
    </w:p>
    <w:p>
      <w:pPr>
        <w:spacing w:after="0" w:line="236" w:lineRule="exact"/>
        <w:rPr>
          <w:rFonts w:ascii="Arial" w:cs="Arial" w:eastAsia="Arial" w:hAnsi="Arial"/>
          <w:sz w:val="18"/>
          <w:szCs w:val="18"/>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24" w:lineRule="exact"/>
        <w:rPr>
          <w:rFonts w:ascii="Arial" w:cs="Arial" w:eastAsia="Arial" w:hAnsi="Arial"/>
          <w:sz w:val="18"/>
          <w:szCs w:val="18"/>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224" w:lineRule="exact"/>
        <w:rPr>
          <w:rFonts w:ascii="Arial" w:cs="Arial" w:eastAsia="Arial" w:hAnsi="Arial"/>
          <w:sz w:val="18"/>
          <w:szCs w:val="18"/>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0"/>
          <w:szCs w:val="20"/>
          <w:b w:val="1"/>
          <w:bCs w:val="1"/>
          <w:color w:val="auto"/>
        </w:rPr>
        <w:t>Other Information</w:t>
      </w:r>
    </w:p>
    <w:p>
      <w:pPr>
        <w:spacing w:after="0" w:line="16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5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20" w:type="dxa"/>
            <w:vAlign w:val="bottom"/>
            <w:gridSpan w:val="4"/>
          </w:tcPr>
          <w:p>
            <w:pPr>
              <w:spacing w:after="0"/>
              <w:rPr>
                <w:sz w:val="20"/>
                <w:szCs w:val="20"/>
                <w:color w:val="auto"/>
              </w:rPr>
            </w:pPr>
            <w:r>
              <w:rPr>
                <w:rFonts w:ascii="Arial" w:cs="Arial" w:eastAsia="Arial" w:hAnsi="Arial"/>
                <w:sz w:val="22"/>
                <w:szCs w:val="22"/>
                <w:b w:val="1"/>
                <w:bCs w:val="1"/>
                <w:color w:val="auto"/>
              </w:rPr>
              <w:t>Item 6.</w:t>
            </w:r>
          </w:p>
        </w:tc>
        <w:tc>
          <w:tcPr>
            <w:tcW w:w="20" w:type="dxa"/>
            <w:vAlign w:val="bottom"/>
          </w:tcPr>
          <w:p>
            <w:pPr>
              <w:spacing w:after="0"/>
              <w:rPr>
                <w:sz w:val="24"/>
                <w:szCs w:val="24"/>
                <w:color w:val="auto"/>
              </w:rPr>
            </w:pPr>
          </w:p>
        </w:tc>
        <w:tc>
          <w:tcPr>
            <w:tcW w:w="5660" w:type="dxa"/>
            <w:vAlign w:val="bottom"/>
            <w:gridSpan w:val="4"/>
          </w:tcPr>
          <w:p>
            <w:pPr>
              <w:ind w:left="160"/>
              <w:spacing w:after="0"/>
              <w:rPr>
                <w:sz w:val="20"/>
                <w:szCs w:val="20"/>
                <w:color w:val="auto"/>
              </w:rPr>
            </w:pPr>
            <w:r>
              <w:rPr>
                <w:rFonts w:ascii="Arial" w:cs="Arial" w:eastAsia="Arial" w:hAnsi="Arial"/>
                <w:sz w:val="22"/>
                <w:szCs w:val="22"/>
                <w:b w:val="1"/>
                <w:bCs w:val="1"/>
                <w:color w:val="auto"/>
              </w:rPr>
              <w:t>Exhibits</w:t>
            </w:r>
          </w:p>
        </w:tc>
        <w:tc>
          <w:tcPr>
            <w:tcW w:w="0" w:type="dxa"/>
            <w:vAlign w:val="bottom"/>
          </w:tcPr>
          <w:p>
            <w:pPr>
              <w:spacing w:after="0"/>
              <w:rPr>
                <w:sz w:val="1"/>
                <w:szCs w:val="1"/>
                <w:color w:val="auto"/>
              </w:rPr>
            </w:pPr>
          </w:p>
        </w:tc>
      </w:tr>
      <w:tr>
        <w:trPr>
          <w:trHeight w:val="502"/>
        </w:trPr>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5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Borders>
              <w:top w:val="single" w:sz="8" w:color="auto"/>
            </w:tcBorders>
            <w:gridSpan w:val="3"/>
          </w:tcPr>
          <w:p>
            <w:pPr>
              <w:jc w:val="center"/>
              <w:spacing w:after="0" w:line="183" w:lineRule="exact"/>
              <w:rPr>
                <w:rFonts w:ascii="Arial" w:cs="Arial" w:eastAsia="Arial" w:hAnsi="Arial"/>
                <w:sz w:val="18"/>
                <w:szCs w:val="18"/>
                <w:color w:val="0000FF"/>
                <w:w w:val="91"/>
              </w:rPr>
            </w:pPr>
            <w:hyperlink w:anchor="page6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0" w:type="dxa"/>
            <w:vAlign w:val="bottom"/>
          </w:tcPr>
          <w:p>
            <w:pPr>
              <w:spacing w:after="0"/>
              <w:rPr>
                <w:sz w:val="17"/>
                <w:szCs w:val="17"/>
                <w:color w:val="auto"/>
              </w:rPr>
            </w:pPr>
          </w:p>
        </w:tc>
        <w:tc>
          <w:tcPr>
            <w:tcW w:w="5680" w:type="dxa"/>
            <w:vAlign w:val="bottom"/>
            <w:tcBorders>
              <w:top w:val="single" w:sz="8" w:color="auto"/>
            </w:tcBorders>
            <w:gridSpan w:val="5"/>
          </w:tcPr>
          <w:p>
            <w:pPr>
              <w:ind w:left="20"/>
              <w:spacing w:after="0" w:line="183" w:lineRule="exact"/>
              <w:rPr>
                <w:rFonts w:ascii="Arial" w:cs="Arial" w:eastAsia="Arial" w:hAnsi="Arial"/>
                <w:sz w:val="18"/>
                <w:szCs w:val="18"/>
                <w:color w:val="0000FF"/>
                <w:w w:val="97"/>
              </w:rPr>
            </w:pPr>
            <w:hyperlink w:anchor="page69">
              <w:r>
                <w:rPr>
                  <w:rFonts w:ascii="Arial" w:cs="Arial" w:eastAsia="Arial" w:hAnsi="Arial"/>
                  <w:sz w:val="18"/>
                  <w:szCs w:val="18"/>
                  <w:color w:val="0000FF"/>
                  <w:w w:val="97"/>
                </w:rPr>
                <w:t>Certification of Principal Executive Officer Pursuant to Section 302 of the</w:t>
              </w:r>
            </w:hyperlink>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rPr>
            </w:pPr>
            <w:hyperlink w:anchor="page69">
              <w:r>
                <w:rPr>
                  <w:rFonts w:ascii="Arial" w:cs="Arial" w:eastAsia="Arial" w:hAnsi="Arial"/>
                  <w:sz w:val="15"/>
                  <w:szCs w:val="15"/>
                  <w:color w:val="0000FF"/>
                </w:rPr>
                <w:t>Sarbanes-Oxley Act of 2002.</w:t>
              </w:r>
            </w:hyperlink>
          </w:p>
        </w:tc>
        <w:tc>
          <w:tcPr>
            <w:tcW w:w="3240" w:type="dxa"/>
            <w:vAlign w:val="bottom"/>
            <w:tcBorders>
              <w:top w:val="single" w:sz="8" w:color="0000FF"/>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020" w:type="dxa"/>
            <w:vAlign w:val="bottom"/>
            <w:gridSpan w:val="3"/>
          </w:tcPr>
          <w:p>
            <w:pPr>
              <w:jc w:val="cente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0" w:type="dxa"/>
            <w:vAlign w:val="bottom"/>
          </w:tcPr>
          <w:p>
            <w:pPr>
              <w:spacing w:after="0"/>
              <w:rPr>
                <w:sz w:val="24"/>
                <w:szCs w:val="24"/>
                <w:color w:val="auto"/>
              </w:rPr>
            </w:pPr>
          </w:p>
        </w:tc>
        <w:tc>
          <w:tcPr>
            <w:tcW w:w="5680" w:type="dxa"/>
            <w:vAlign w:val="bottom"/>
            <w:gridSpan w:val="5"/>
          </w:tcPr>
          <w:p>
            <w:pPr>
              <w:ind w:left="20"/>
              <w:spacing w:after="0"/>
              <w:rPr>
                <w:rFonts w:ascii="Arial" w:cs="Arial" w:eastAsia="Arial" w:hAnsi="Arial"/>
                <w:sz w:val="18"/>
                <w:szCs w:val="18"/>
                <w:color w:val="0000FF"/>
                <w:w w:val="98"/>
              </w:rPr>
            </w:pPr>
            <w:hyperlink w:anchor="page70">
              <w:r>
                <w:rPr>
                  <w:rFonts w:ascii="Arial" w:cs="Arial" w:eastAsia="Arial" w:hAnsi="Arial"/>
                  <w:sz w:val="18"/>
                  <w:szCs w:val="18"/>
                  <w:color w:val="0000FF"/>
                  <w:w w:val="98"/>
                </w:rPr>
                <w:t>Certification of Principal Financial Officer Pursuant to Section 302 of the</w:t>
              </w:r>
            </w:hyperlink>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rPr>
            </w:pPr>
            <w:hyperlink w:anchor="page70">
              <w:r>
                <w:rPr>
                  <w:rFonts w:ascii="Arial" w:cs="Arial" w:eastAsia="Arial" w:hAnsi="Arial"/>
                  <w:sz w:val="15"/>
                  <w:szCs w:val="15"/>
                  <w:color w:val="0000FF"/>
                </w:rPr>
                <w:t>Sarbanes-Oxley Act of 2002.</w:t>
              </w:r>
            </w:hyperlink>
          </w:p>
        </w:tc>
        <w:tc>
          <w:tcPr>
            <w:tcW w:w="3180" w:type="dxa"/>
            <w:vAlign w:val="bottom"/>
            <w:tcBorders>
              <w:top w:val="single" w:sz="8" w:color="0000FF"/>
            </w:tcBorders>
          </w:tcPr>
          <w:p>
            <w:pPr>
              <w:spacing w:after="0"/>
              <w:rPr>
                <w:sz w:val="11"/>
                <w:szCs w:val="11"/>
                <w:color w:val="auto"/>
              </w:rPr>
            </w:pPr>
          </w:p>
        </w:tc>
        <w:tc>
          <w:tcPr>
            <w:tcW w:w="3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020" w:type="dxa"/>
            <w:vAlign w:val="bottom"/>
            <w:gridSpan w:val="3"/>
          </w:tcPr>
          <w:p>
            <w:pPr>
              <w:jc w:val="cente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0" w:type="dxa"/>
            <w:vAlign w:val="bottom"/>
          </w:tcPr>
          <w:p>
            <w:pPr>
              <w:spacing w:after="0"/>
              <w:rPr>
                <w:sz w:val="24"/>
                <w:szCs w:val="24"/>
                <w:color w:val="auto"/>
              </w:rPr>
            </w:pPr>
          </w:p>
        </w:tc>
        <w:tc>
          <w:tcPr>
            <w:tcW w:w="5680" w:type="dxa"/>
            <w:vAlign w:val="bottom"/>
            <w:gridSpan w:val="5"/>
          </w:tcPr>
          <w:p>
            <w:pPr>
              <w:ind w:left="20"/>
              <w:spacing w:after="0"/>
              <w:rPr>
                <w:rFonts w:ascii="Arial" w:cs="Arial" w:eastAsia="Arial" w:hAnsi="Arial"/>
                <w:sz w:val="18"/>
                <w:szCs w:val="18"/>
                <w:color w:val="0000FF"/>
                <w:w w:val="97"/>
              </w:rPr>
            </w:pPr>
            <w:hyperlink w:anchor="page71">
              <w:r>
                <w:rPr>
                  <w:rFonts w:ascii="Arial" w:cs="Arial" w:eastAsia="Arial" w:hAnsi="Arial"/>
                  <w:sz w:val="18"/>
                  <w:szCs w:val="18"/>
                  <w:color w:val="0000FF"/>
                  <w:w w:val="97"/>
                </w:rPr>
                <w:t>Certification of Principal Executive Officer Pursuant to Section 906 of the</w:t>
              </w:r>
            </w:hyperlink>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rPr>
            </w:pPr>
            <w:hyperlink w:anchor="page71">
              <w:r>
                <w:rPr>
                  <w:rFonts w:ascii="Arial" w:cs="Arial" w:eastAsia="Arial" w:hAnsi="Arial"/>
                  <w:sz w:val="15"/>
                  <w:szCs w:val="15"/>
                  <w:color w:val="0000FF"/>
                </w:rPr>
                <w:t>Sarbanes-Oxley Act of 2002.</w:t>
              </w:r>
            </w:hyperlink>
          </w:p>
        </w:tc>
        <w:tc>
          <w:tcPr>
            <w:tcW w:w="3240" w:type="dxa"/>
            <w:vAlign w:val="bottom"/>
            <w:tcBorders>
              <w:top w:val="single" w:sz="8" w:color="0000FF"/>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020" w:type="dxa"/>
            <w:vAlign w:val="bottom"/>
            <w:gridSpan w:val="3"/>
          </w:tcPr>
          <w:p>
            <w:pPr>
              <w:jc w:val="cente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0" w:type="dxa"/>
            <w:vAlign w:val="bottom"/>
          </w:tcPr>
          <w:p>
            <w:pPr>
              <w:spacing w:after="0"/>
              <w:rPr>
                <w:sz w:val="24"/>
                <w:szCs w:val="24"/>
                <w:color w:val="auto"/>
              </w:rPr>
            </w:pPr>
          </w:p>
        </w:tc>
        <w:tc>
          <w:tcPr>
            <w:tcW w:w="5680" w:type="dxa"/>
            <w:vAlign w:val="bottom"/>
            <w:gridSpan w:val="5"/>
          </w:tcPr>
          <w:p>
            <w:pPr>
              <w:ind w:left="20"/>
              <w:spacing w:after="0"/>
              <w:rPr>
                <w:rFonts w:ascii="Arial" w:cs="Arial" w:eastAsia="Arial" w:hAnsi="Arial"/>
                <w:sz w:val="18"/>
                <w:szCs w:val="18"/>
                <w:color w:val="0000FF"/>
                <w:w w:val="98"/>
              </w:rPr>
            </w:pPr>
            <w:hyperlink w:anchor="page72">
              <w:r>
                <w:rPr>
                  <w:rFonts w:ascii="Arial" w:cs="Arial" w:eastAsia="Arial" w:hAnsi="Arial"/>
                  <w:sz w:val="18"/>
                  <w:szCs w:val="18"/>
                  <w:color w:val="0000FF"/>
                  <w:w w:val="98"/>
                </w:rPr>
                <w:t>Certification of Principal Financial Officer Pursuant to Section 906 of the</w:t>
              </w:r>
            </w:hyperlink>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rPr>
            </w:pPr>
            <w:hyperlink w:anchor="page72">
              <w:r>
                <w:rPr>
                  <w:rFonts w:ascii="Arial" w:cs="Arial" w:eastAsia="Arial" w:hAnsi="Arial"/>
                  <w:sz w:val="15"/>
                  <w:szCs w:val="15"/>
                  <w:color w:val="0000FF"/>
                </w:rPr>
                <w:t>Sarbanes-Oxley Act of 2002.</w:t>
              </w:r>
            </w:hyperlink>
          </w:p>
        </w:tc>
        <w:tc>
          <w:tcPr>
            <w:tcW w:w="3180" w:type="dxa"/>
            <w:vAlign w:val="bottom"/>
            <w:tcBorders>
              <w:top w:val="single" w:sz="8" w:color="0000FF"/>
            </w:tcBorders>
          </w:tcPr>
          <w:p>
            <w:pPr>
              <w:spacing w:after="0"/>
              <w:rPr>
                <w:sz w:val="11"/>
                <w:szCs w:val="11"/>
                <w:color w:val="auto"/>
              </w:rPr>
            </w:pPr>
          </w:p>
        </w:tc>
        <w:tc>
          <w:tcPr>
            <w:tcW w:w="3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12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101.INS</w:t>
            </w:r>
          </w:p>
        </w:tc>
        <w:tc>
          <w:tcPr>
            <w:tcW w:w="5680" w:type="dxa"/>
            <w:vAlign w:val="bottom"/>
            <w:gridSpan w:val="5"/>
          </w:tcPr>
          <w:p>
            <w:pPr>
              <w:ind w:left="20"/>
              <w:spacing w:after="0"/>
              <w:rPr>
                <w:sz w:val="20"/>
                <w:szCs w:val="20"/>
                <w:color w:val="auto"/>
              </w:rPr>
            </w:pPr>
            <w:r>
              <w:rPr>
                <w:rFonts w:ascii="Arial" w:cs="Arial" w:eastAsia="Arial" w:hAnsi="Arial"/>
                <w:sz w:val="18"/>
                <w:szCs w:val="18"/>
                <w:color w:val="auto"/>
                <w:w w:val="95"/>
              </w:rPr>
              <w:t>XBRL Instance Document - the instance document does not appear in the</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8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4"/>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80" w:type="dxa"/>
            <w:vAlign w:val="bottom"/>
            <w:gridSpan w:val="5"/>
          </w:tcPr>
          <w:p>
            <w:pPr>
              <w:ind w:left="20"/>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282"/>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101.SCH</w:t>
            </w:r>
          </w:p>
        </w:tc>
        <w:tc>
          <w:tcPr>
            <w:tcW w:w="5680" w:type="dxa"/>
            <w:vAlign w:val="bottom"/>
            <w:gridSpan w:val="5"/>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101.CAL</w:t>
            </w:r>
          </w:p>
        </w:tc>
        <w:tc>
          <w:tcPr>
            <w:tcW w:w="5680" w:type="dxa"/>
            <w:vAlign w:val="bottom"/>
            <w:gridSpan w:val="5"/>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101.DEF</w:t>
            </w:r>
          </w:p>
        </w:tc>
        <w:tc>
          <w:tcPr>
            <w:tcW w:w="5680" w:type="dxa"/>
            <w:vAlign w:val="bottom"/>
            <w:gridSpan w:val="5"/>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101.LAB</w:t>
            </w:r>
          </w:p>
        </w:tc>
        <w:tc>
          <w:tcPr>
            <w:tcW w:w="5680" w:type="dxa"/>
            <w:vAlign w:val="bottom"/>
            <w:gridSpan w:val="5"/>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101.PRE</w:t>
            </w:r>
          </w:p>
        </w:tc>
        <w:tc>
          <w:tcPr>
            <w:tcW w:w="5680" w:type="dxa"/>
            <w:vAlign w:val="bottom"/>
            <w:gridSpan w:val="5"/>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40" w:right="80" w:hanging="762"/>
        <w:spacing w:after="0" w:line="234"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8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21"/>
        </w:trPr>
        <w:tc>
          <w:tcPr>
            <w:tcW w:w="1020" w:type="dxa"/>
            <w:vAlign w:val="bottom"/>
            <w:gridSpan w:val="2"/>
          </w:tcPr>
          <w:p>
            <w:pPr>
              <w:jc w:val="center"/>
              <w:ind w:right="100"/>
              <w:spacing w:after="0" w:line="121" w:lineRule="exact"/>
              <w:rPr>
                <w:sz w:val="20"/>
                <w:szCs w:val="20"/>
                <w:color w:val="auto"/>
              </w:rPr>
            </w:pPr>
            <w:r>
              <w:rPr>
                <w:rFonts w:ascii="Arial" w:cs="Arial" w:eastAsia="Arial" w:hAnsi="Arial"/>
                <w:sz w:val="14"/>
                <w:szCs w:val="14"/>
                <w:b w:val="1"/>
                <w:bCs w:val="1"/>
                <w:color w:val="auto"/>
                <w:w w:val="97"/>
              </w:rPr>
              <w:t>Filed</w:t>
            </w:r>
          </w:p>
        </w:tc>
        <w:tc>
          <w:tcPr>
            <w:tcW w:w="7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3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800" w:space="100"/>
            <w:col w:w="4340"/>
          </w:cols>
          <w:pgMar w:left="320" w:top="529"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VICI PROPERTIES INC.</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5"/>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July 28, 2021</w:t>
            </w:r>
          </w:p>
        </w:tc>
      </w:tr>
      <w:tr>
        <w:trPr>
          <w:trHeight w:val="227"/>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80" w:type="dxa"/>
            <w:vAlign w:val="bottom"/>
          </w:tcPr>
          <w:p>
            <w:pPr>
              <w:spacing w:after="0"/>
              <w:rPr>
                <w:sz w:val="19"/>
                <w:szCs w:val="19"/>
                <w:color w:val="auto"/>
              </w:rPr>
            </w:pPr>
          </w:p>
        </w:tc>
      </w:tr>
      <w:tr>
        <w:trPr>
          <w:trHeight w:val="480"/>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July 28, 2021</w:t>
            </w:r>
          </w:p>
        </w:tc>
      </w:tr>
      <w:tr>
        <w:trPr>
          <w:trHeight w:val="227"/>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80" w:type="dxa"/>
            <w:vAlign w:val="bottom"/>
          </w:tcPr>
          <w:p>
            <w:pPr>
              <w:spacing w:after="0"/>
              <w:rPr>
                <w:sz w:val="19"/>
                <w:szCs w:val="19"/>
                <w:color w:val="auto"/>
              </w:rPr>
            </w:pPr>
          </w:p>
        </w:tc>
      </w:tr>
      <w:tr>
        <w:trPr>
          <w:trHeight w:val="480"/>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July 28, 2021</w:t>
            </w:r>
          </w:p>
        </w:tc>
      </w:tr>
      <w:tr>
        <w:trPr>
          <w:trHeight w:val="227"/>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89"/>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Accounting Officer)</w:t>
            </w: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529"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0" w:lineRule="exact"/>
        <w:rPr>
          <w:sz w:val="20"/>
          <w:szCs w:val="20"/>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0" w:lineRule="exact"/>
        <w:rPr>
          <w:rFonts w:ascii="Arial" w:cs="Arial" w:eastAsia="Arial" w:hAnsi="Arial"/>
          <w:sz w:val="18"/>
          <w:szCs w:val="18"/>
          <w:color w:val="auto"/>
        </w:rPr>
      </w:pPr>
    </w:p>
    <w:p>
      <w:pPr>
        <w:jc w:val="both"/>
        <w:ind w:left="660" w:hanging="329"/>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9"/>
        <w:spacing w:after="0" w:line="30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7"/>
          <w:szCs w:val="17"/>
          <w:color w:val="auto"/>
        </w:rPr>
      </w:pPr>
    </w:p>
    <w:p>
      <w:pPr>
        <w:jc w:val="both"/>
        <w:ind w:left="660" w:hanging="329"/>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3"/>
        <w:spacing w:after="0" w:line="263" w:lineRule="auto"/>
        <w:tabs>
          <w:tab w:leader="none" w:pos="12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3"/>
        <w:spacing w:after="0" w:line="263"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3"/>
        <w:spacing w:after="0" w:line="341" w:lineRule="auto"/>
        <w:tabs>
          <w:tab w:leader="none" w:pos="12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3"/>
        <w:spacing w:after="0" w:line="263"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9"/>
        <w:spacing w:after="0" w:line="30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7"/>
          <w:szCs w:val="17"/>
          <w:color w:val="auto"/>
        </w:rPr>
      </w:pPr>
    </w:p>
    <w:p>
      <w:pPr>
        <w:ind w:left="1300" w:right="20" w:hanging="323"/>
        <w:spacing w:after="0" w:line="306" w:lineRule="auto"/>
        <w:tabs>
          <w:tab w:leader="none" w:pos="129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7"/>
          <w:szCs w:val="17"/>
          <w:color w:val="auto"/>
        </w:rPr>
      </w:pPr>
    </w:p>
    <w:p>
      <w:pPr>
        <w:ind w:left="1300" w:hanging="323"/>
        <w:spacing w:after="0" w:line="276" w:lineRule="auto"/>
        <w:tabs>
          <w:tab w:leader="none" w:pos="128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28, 2021</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13970</wp:posOffset>
            </wp:positionV>
            <wp:extent cx="39338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933825" cy="8255"/>
                    </a:xfrm>
                    <a:prstGeom prst="rect">
                      <a:avLst/>
                    </a:prstGeom>
                    <a:noFill/>
                  </pic:spPr>
                </pic:pic>
              </a:graphicData>
            </a:graphic>
          </wp:anchor>
        </w:drawing>
      </w:r>
    </w:p>
    <w:p>
      <w:pPr>
        <w:spacing w:after="0" w:line="10"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0" w:lineRule="exact"/>
        <w:rPr>
          <w:sz w:val="20"/>
          <w:szCs w:val="20"/>
          <w:color w:val="auto"/>
        </w:rPr>
      </w:pPr>
    </w:p>
    <w:p>
      <w:pPr>
        <w:ind w:left="660" w:hanging="32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0" w:lineRule="exact"/>
        <w:rPr>
          <w:rFonts w:ascii="Arial" w:cs="Arial" w:eastAsia="Arial" w:hAnsi="Arial"/>
          <w:sz w:val="18"/>
          <w:szCs w:val="18"/>
          <w:color w:val="auto"/>
        </w:rPr>
      </w:pPr>
    </w:p>
    <w:p>
      <w:pPr>
        <w:jc w:val="both"/>
        <w:ind w:left="660" w:hanging="329"/>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9"/>
        <w:spacing w:after="0" w:line="30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7"/>
          <w:szCs w:val="17"/>
          <w:color w:val="auto"/>
        </w:rPr>
      </w:pPr>
    </w:p>
    <w:p>
      <w:pPr>
        <w:jc w:val="both"/>
        <w:ind w:left="660" w:hanging="329"/>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3"/>
        <w:spacing w:after="0" w:line="263" w:lineRule="auto"/>
        <w:tabs>
          <w:tab w:leader="none" w:pos="12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3"/>
        <w:spacing w:after="0" w:line="263" w:lineRule="auto"/>
        <w:tabs>
          <w:tab w:leader="none" w:pos="12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3"/>
        <w:spacing w:after="0" w:line="341" w:lineRule="auto"/>
        <w:tabs>
          <w:tab w:leader="none" w:pos="129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3"/>
        <w:spacing w:after="0" w:line="263" w:lineRule="auto"/>
        <w:tabs>
          <w:tab w:leader="none" w:pos="12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9"/>
        <w:spacing w:after="0" w:line="30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7"/>
          <w:szCs w:val="17"/>
          <w:color w:val="auto"/>
        </w:rPr>
      </w:pPr>
    </w:p>
    <w:p>
      <w:pPr>
        <w:ind w:left="1300" w:right="20" w:hanging="323"/>
        <w:spacing w:after="0" w:line="306" w:lineRule="auto"/>
        <w:tabs>
          <w:tab w:leader="none" w:pos="129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7"/>
          <w:szCs w:val="17"/>
          <w:color w:val="auto"/>
        </w:rPr>
      </w:pPr>
    </w:p>
    <w:p>
      <w:pPr>
        <w:ind w:left="1300" w:hanging="323"/>
        <w:spacing w:after="0" w:line="276" w:lineRule="auto"/>
        <w:tabs>
          <w:tab w:leader="none" w:pos="128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Date:</w:t>
        <w:tab/>
        <w:t>July 28, 2021</w:t>
      </w:r>
    </w:p>
    <w:p>
      <w:pPr>
        <w:spacing w:after="0" w:line="23" w:lineRule="exact"/>
        <w:rPr>
          <w:sz w:val="20"/>
          <w:szCs w:val="20"/>
          <w:color w:val="auto"/>
        </w:rPr>
      </w:pPr>
    </w:p>
    <w:p>
      <w:pPr>
        <w:ind w:left="46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13970</wp:posOffset>
            </wp:positionV>
            <wp:extent cx="39338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933825" cy="8255"/>
                    </a:xfrm>
                    <a:prstGeom prst="rect">
                      <a:avLst/>
                    </a:prstGeom>
                    <a:noFill/>
                  </pic:spPr>
                </pic:pic>
              </a:graphicData>
            </a:graphic>
          </wp:anchor>
        </w:drawing>
      </w:r>
    </w:p>
    <w:p>
      <w:pPr>
        <w:spacing w:after="0" w:line="10"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7" w:lineRule="exact"/>
        <w:rPr>
          <w:sz w:val="20"/>
          <w:szCs w:val="20"/>
          <w:color w:val="auto"/>
        </w:rPr>
      </w:pPr>
    </w:p>
    <w:p>
      <w:pPr>
        <w:ind w:firstLine="412"/>
        <w:spacing w:after="0" w:line="276" w:lineRule="auto"/>
        <w:tabs>
          <w:tab w:leader="none" w:pos="6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2021 (the “Report”) fully complies with the requirements of Section 13(a) or Section 15(d), as applicable, of the Securities Exchange Act of 1934, as amended; and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28, 2021</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13970</wp:posOffset>
            </wp:positionV>
            <wp:extent cx="39338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933825" cy="8255"/>
                    </a:xfrm>
                    <a:prstGeom prst="rect">
                      <a:avLst/>
                    </a:prstGeom>
                    <a:noFill/>
                  </pic:spPr>
                </pic:pic>
              </a:graphicData>
            </a:graphic>
          </wp:anchor>
        </w:drawing>
      </w:r>
    </w:p>
    <w:p>
      <w:pPr>
        <w:spacing w:after="0" w:line="10"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7" w:lineRule="exact"/>
        <w:rPr>
          <w:sz w:val="20"/>
          <w:szCs w:val="20"/>
          <w:color w:val="auto"/>
        </w:rPr>
      </w:pPr>
    </w:p>
    <w:p>
      <w:pPr>
        <w:ind w:firstLine="412"/>
        <w:spacing w:after="0" w:line="276" w:lineRule="auto"/>
        <w:tabs>
          <w:tab w:leader="none" w:pos="6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2021 (the “Report”) fully complies with the requirements of Section 13(a) or Section 15(d), as applicable, of the Securities Exchange Act of 1934, as amended; and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28, 2021</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13970</wp:posOffset>
            </wp:positionV>
            <wp:extent cx="39338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933825" cy="8255"/>
                    </a:xfrm>
                    <a:prstGeom prst="rect">
                      <a:avLst/>
                    </a:prstGeom>
                    <a:noFill/>
                  </pic:spPr>
                </pic:pic>
              </a:graphicData>
            </a:graphic>
          </wp:anchor>
        </w:drawing>
      </w:r>
    </w:p>
    <w:p>
      <w:pPr>
        <w:spacing w:after="0" w:line="10"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5"/>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lowerRoman"/>
      <w:start w:val="3"/>
    </w:lvl>
  </w:abstractNum>
  <w:abstractNum w:abstractNumId="20">
    <w:nsid w:val="1E7FF521"/>
    <w:multiLevelType w:val="hybridMultilevel"/>
    <w:lvl w:ilvl="0">
      <w:lvlJc w:val="left"/>
      <w:lvlText w:val="(%1)"/>
      <w:numFmt w:val="lowerRoman"/>
      <w:start w:val="6"/>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2"/>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lvl w:ilvl="1">
      <w:lvlJc w:val="left"/>
      <w:lvlText w:val="%2"/>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jpe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20" Type="http://schemas.openxmlformats.org/officeDocument/2006/relationships/hyperlink" Target="http://www.sec.gov/ix?doc=/Archives/edgar/data/0001705696/000170569621000030/vici-20201231.htm" TargetMode="External"/><Relationship Id="rId72" Type="http://schemas.openxmlformats.org/officeDocument/2006/relationships/hyperlink" Target="http://www.sec.gov/Archives/edgar/data/0001705696/000170569621000030/vici-20201231.htm" TargetMode="External"/><Relationship Id="rId73" Type="http://schemas.openxmlformats.org/officeDocument/2006/relationships/hyperlink" Target="https://www.sec.gov/Archives/edgar/data/0001705696/000170569621000030/vici-20201231.htm" TargetMode="External"/><Relationship Id="rId97" Type="http://schemas.openxmlformats.org/officeDocument/2006/relationships/hyperlink" Target="http://www.sec.gov/Archives/edgar/data/1705696/000170569621000099/vici-2021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2021-07-28T16:08:27Z</dcterms:created>
  <dcterms:modified xsi:type="dcterms:W3CDTF">2021-07-28T16:08:27Z</dcterms:modified>
</cp:coreProperties>
</file>