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02" w:lineRule="exact"/>
        <w:rPr>
          <w:sz w:val="24"/>
          <w:szCs w:val="24"/>
          <w:color w:val="auto"/>
        </w:rPr>
      </w:pPr>
    </w:p>
    <w:p>
      <w:pPr>
        <w:ind w:left="1740" w:hanging="598"/>
        <w:spacing w:after="0"/>
        <w:tabs>
          <w:tab w:leader="none" w:pos="17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3680" w:right="1260" w:hanging="2538"/>
        <w:spacing w:after="0" w:line="383" w:lineRule="auto"/>
        <w:tabs>
          <w:tab w:leader="none" w:pos="173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 to 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001-38372 (VICI Properties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333-264352-01 (VICI Properties L.P.)</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2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9"/>
          <w:szCs w:val="29"/>
          <w:b w:val="1"/>
          <w:bCs w:val="1"/>
          <w:color w:val="auto"/>
        </w:rPr>
        <w:t>VICI Properties Inc.</w:t>
      </w:r>
    </w:p>
    <w:p>
      <w:pPr>
        <w:spacing w:after="0" w:line="7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9"/>
          <w:szCs w:val="29"/>
          <w:b w:val="1"/>
          <w:bCs w:val="1"/>
          <w:color w:val="auto"/>
        </w:rPr>
        <w:t>VICI Properties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3"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4040" w:type="dxa"/>
            <w:vAlign w:val="bottom"/>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(VICI Properties Inc.)</w:t>
            </w:r>
          </w:p>
        </w:tc>
        <w:tc>
          <w:tcPr>
            <w:tcW w:w="2900" w:type="dxa"/>
            <w:vAlign w:val="bottom"/>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8"/>
              </w:rPr>
              <w:t>81-4177147</w:t>
            </w:r>
          </w:p>
        </w:tc>
      </w:tr>
      <w:tr>
        <w:trPr>
          <w:trHeight w:val="243"/>
        </w:trPr>
        <w:tc>
          <w:tcPr>
            <w:tcW w:w="4040" w:type="dxa"/>
            <w:vAlign w:val="bottom"/>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(VICI Properties L.P.)</w:t>
            </w:r>
          </w:p>
        </w:tc>
        <w:tc>
          <w:tcPr>
            <w:tcW w:w="2900" w:type="dxa"/>
            <w:vAlign w:val="bottom"/>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8"/>
              </w:rPr>
              <w:t>35-2576503</w:t>
            </w:r>
          </w:p>
        </w:tc>
      </w:tr>
      <w:tr>
        <w:trPr>
          <w:trHeight w:val="193"/>
        </w:trPr>
        <w:tc>
          <w:tcPr>
            <w:tcW w:w="40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740" w:type="dxa"/>
            <w:vAlign w:val="bottom"/>
          </w:tcPr>
          <w:p>
            <w:pPr>
              <w:spacing w:after="0"/>
              <w:rPr>
                <w:sz w:val="16"/>
                <w:szCs w:val="16"/>
                <w:color w:val="auto"/>
              </w:rPr>
            </w:pPr>
          </w:p>
        </w:tc>
        <w:tc>
          <w:tcPr>
            <w:tcW w:w="2900" w:type="dxa"/>
            <w:vAlign w:val="bottom"/>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1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535 Madison Avenue New York, New York 10022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949-4631</w:t>
      </w:r>
    </w:p>
    <w:p>
      <w:pPr>
        <w:spacing w:after="0" w:line="3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1"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60"/>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0" w:type="dxa"/>
            <w:vAlign w:val="bottom"/>
          </w:tcPr>
          <w:p>
            <w:pPr>
              <w:spacing w:after="0"/>
              <w:rPr>
                <w:sz w:val="22"/>
                <w:szCs w:val="22"/>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40" w:type="dxa"/>
            <w:vAlign w:val="bottom"/>
          </w:tcPr>
          <w:p>
            <w:pPr>
              <w:spacing w:after="0"/>
              <w:rPr>
                <w:sz w:val="22"/>
                <w:szCs w:val="22"/>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8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VICI</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43" w:lineRule="exact"/>
        <w:rPr>
          <w:sz w:val="24"/>
          <w:szCs w:val="24"/>
          <w:color w:val="auto"/>
        </w:rPr>
      </w:pPr>
    </w:p>
    <w:p>
      <w:pPr>
        <w:jc w:val="both"/>
        <w:ind w:firstLine="324"/>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9"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Times New Roman" w:cs="Times New Roman" w:eastAsia="Times New Roman" w:hAnsi="Times New Roman"/>
          <w:sz w:val="16"/>
          <w:szCs w:val="16"/>
          <w:color w:val="auto"/>
        </w:rPr>
        <w:t xml:space="preserve">VICI Properties Inc.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jc w:val="both"/>
        <w:ind w:firstLine="324"/>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7"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Times New Roman" w:cs="Times New Roman" w:eastAsia="Times New Roman" w:hAnsi="Times New Roman"/>
          <w:sz w:val="16"/>
          <w:szCs w:val="16"/>
          <w:color w:val="auto"/>
        </w:rPr>
        <w:t xml:space="preserve">VICI Properties Inc.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3" w:lineRule="exact"/>
        <w:rPr>
          <w:sz w:val="24"/>
          <w:szCs w:val="24"/>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360" w:type="dxa"/>
        <w:tblCellMar>
          <w:top w:w="0" w:type="dxa"/>
          <w:left w:w="0" w:type="dxa"/>
          <w:bottom w:w="0" w:type="dxa"/>
          <w:right w:w="0" w:type="dxa"/>
        </w:tblCellMar>
      </w:tblPr>
      <w:tr>
        <w:trPr>
          <w:trHeight w:val="194"/>
        </w:trPr>
        <w:tc>
          <w:tcPr>
            <w:tcW w:w="1720" w:type="dxa"/>
            <w:vAlign w:val="bottom"/>
          </w:tcPr>
          <w:p>
            <w:pPr>
              <w:spacing w:after="0"/>
              <w:rPr>
                <w:sz w:val="16"/>
                <w:szCs w:val="16"/>
                <w:color w:val="auto"/>
              </w:rPr>
            </w:pP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VICI Properties Inc.</w:t>
            </w:r>
          </w:p>
        </w:tc>
        <w:tc>
          <w:tcPr>
            <w:tcW w:w="7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VICI Properties L.P.</w:t>
            </w:r>
          </w:p>
        </w:tc>
        <w:tc>
          <w:tcPr>
            <w:tcW w:w="460" w:type="dxa"/>
            <w:vAlign w:val="bottom"/>
          </w:tcPr>
          <w:p>
            <w:pPr>
              <w:spacing w:after="0"/>
              <w:rPr>
                <w:sz w:val="16"/>
                <w:szCs w:val="16"/>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Large Accelerated Filer</w:t>
            </w:r>
          </w:p>
        </w:tc>
        <w:tc>
          <w:tcPr>
            <w:tcW w:w="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Non-accelerated filer</w:t>
            </w:r>
          </w:p>
        </w:tc>
        <w:tc>
          <w:tcPr>
            <w:tcW w:w="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1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 w:lineRule="exact"/>
        <w:rPr>
          <w:sz w:val="24"/>
          <w:szCs w:val="24"/>
          <w:color w:val="auto"/>
        </w:rPr>
      </w:pPr>
    </w:p>
    <w:p>
      <w:pPr>
        <w:ind w:left="360"/>
        <w:spacing w:after="0" w:line="184" w:lineRule="exact"/>
        <w:tabs>
          <w:tab w:leader="none" w:pos="6560" w:val="left"/>
        </w:tabs>
        <w:rPr>
          <w:sz w:val="20"/>
          <w:szCs w:val="20"/>
          <w:color w:val="auto"/>
        </w:rPr>
      </w:pPr>
      <w:r>
        <w:rPr>
          <w:rFonts w:ascii="Times New Roman" w:cs="Times New Roman" w:eastAsia="Times New Roman" w:hAnsi="Times New Roman"/>
          <w:sz w:val="16"/>
          <w:szCs w:val="16"/>
          <w:color w:val="auto"/>
        </w:rPr>
        <w:t xml:space="preserve">VICI Properties Inc.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w:t>
      </w:r>
      <w:r>
        <w:rPr>
          <w:rFonts w:ascii="MS PGothic" w:cs="MS PGothic" w:eastAsia="MS PGothic" w:hAnsi="MS PGothic"/>
          <w:sz w:val="16"/>
          <w:szCs w:val="16"/>
          <w:color w:val="auto"/>
        </w:rPr>
        <w:t>☐</w:t>
      </w:r>
    </w:p>
    <w:p>
      <w:pPr>
        <w:spacing w:after="0" w:line="25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77" w:lineRule="exact"/>
        <w:rPr>
          <w:sz w:val="24"/>
          <w:szCs w:val="24"/>
          <w:color w:val="auto"/>
        </w:rPr>
      </w:pPr>
    </w:p>
    <w:p>
      <w:pPr>
        <w:ind w:left="360"/>
        <w:spacing w:after="0" w:line="184" w:lineRule="exact"/>
        <w:tabs>
          <w:tab w:leader="none" w:pos="2320" w:val="left"/>
          <w:tab w:leader="none" w:pos="6560" w:val="left"/>
        </w:tabs>
        <w:rPr>
          <w:sz w:val="20"/>
          <w:szCs w:val="20"/>
          <w:color w:val="auto"/>
        </w:rPr>
      </w:pPr>
      <w:r>
        <w:rPr>
          <w:rFonts w:ascii="Times New Roman" w:cs="Times New Roman" w:eastAsia="Times New Roman" w:hAnsi="Times New Roman"/>
          <w:sz w:val="16"/>
          <w:szCs w:val="16"/>
          <w:color w:val="auto"/>
        </w:rPr>
        <w:t xml:space="preserve">VICI Properties Inc.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ind w:right="20" w:firstLine="324"/>
        <w:spacing w:after="0" w:line="280" w:lineRule="auto"/>
        <w:rPr>
          <w:sz w:val="20"/>
          <w:szCs w:val="20"/>
          <w:color w:val="auto"/>
        </w:rPr>
      </w:pPr>
      <w:r>
        <w:rPr>
          <w:rFonts w:ascii="Times New Roman" w:cs="Times New Roman" w:eastAsia="Times New Roman" w:hAnsi="Times New Roman"/>
          <w:sz w:val="16"/>
          <w:szCs w:val="16"/>
          <w:color w:val="auto"/>
        </w:rPr>
        <w:t>As of October 27, 2026, VICI Properties Inc. had 1,101,085,584 shares of common stock, $0.01 par value per share, outstanding. VICI Properties L.P. has no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three and nine months ended September 30, 2026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are appropriate because the business is one enterprise and we operate substantially all of our business and own, either directly or through subsidiaries, substantially all of our assets through VICI LP.</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is a real estate investment trust (“REIT”) that is the sole owner of VICI Properties GP LLC, the sole general partner of VICI LP. As of September 30, 2026, VICI owns 100% of the limited liability company interests of VICI Properties HoldCo LLC (“HoldCo”), which in turn owns approximately 98.9% of the limited liability company interest of VICI OP (such interests, “VICI OP Units”), our operating partnership, which in turn owns 100% of the limited partnership interest in VICI LP. The balance of the VICI OP Units not held by HoldCo are held by third-party unit 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details VICI’s organizational structure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120015</wp:posOffset>
            </wp:positionV>
            <wp:extent cx="4286250" cy="2640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combining the quarterly reports on Form 10-Q of VICI and VICI LP into this single report:</w:t>
      </w:r>
    </w:p>
    <w:p>
      <w:pPr>
        <w:spacing w:after="0" w:line="171"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VICI and VICI LP by enabling investors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September 30, 2026,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investors understand the differences between VICI and VICI LP, this report provides:</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consolidated financial statements for VICI and VICI LP;</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set of notes to such consolidated financial statements that includes separate discussions of stockholders’ equity or partners’ equity and per share and per unit data, as applicable;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Management’s Discussion and Analysis of Financial Condition and Results of Operations section that also includes discrete information related to each entity, as applicable;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 Item 4. Controls and Procedures sections;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II, Item 2. Issuer Purchases of Equity Securities sections related to each entity;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Exhibits 31 and 32 certifications for each of VICI and VICI LP in order to establish that the requisite certifications have been made and that VICI and VICI LP are each compliant with Rule 13a-14(a) or Rule 15d-14(a) of the Securities Exchange Act of 1934 and 18 U.S.C. §1350.</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separate discussions of VICI and VICI LP in this report should be read in conjunction with each other to understand our results on a consolidated basis and how management operates our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 ENDED SEPTEMBER 30, 2026</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360" w:type="dxa"/>
            <w:vAlign w:val="bottom"/>
            <w:gridSpan w:val="3"/>
          </w:tcPr>
          <w:p>
            <w:pPr>
              <w:spacing w:after="0"/>
              <w:rPr>
                <w:sz w:val="15"/>
                <w:szCs w:val="15"/>
                <w:color w:val="auto"/>
              </w:rPr>
            </w:pPr>
          </w:p>
        </w:tc>
        <w:tc>
          <w:tcPr>
            <w:tcW w:w="240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240" w:type="dxa"/>
            <w:vAlign w:val="bottom"/>
            <w:gridSpan w:val="11"/>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520" w:type="dxa"/>
            <w:vAlign w:val="bottom"/>
            <w:gridSpan w:val="4"/>
          </w:tcPr>
          <w:p>
            <w:pPr>
              <w:spacing w:after="0"/>
              <w:rPr>
                <w:sz w:val="19"/>
                <w:szCs w:val="19"/>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of VICI Properties Inc. (Unaudited)</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Three and Nine Months Ended September 30, 2026</w:t>
            </w:r>
          </w:p>
        </w:tc>
        <w:tc>
          <w:tcPr>
            <w:tcW w:w="240" w:type="dxa"/>
            <w:vAlign w:val="bottom"/>
            <w:vMerge w:val="restart"/>
          </w:tcPr>
          <w:p>
            <w:pPr>
              <w:spacing w:after="0"/>
              <w:rPr>
                <w:sz w:val="19"/>
                <w:szCs w:val="19"/>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2025</w:t>
            </w:r>
          </w:p>
        </w:tc>
        <w:tc>
          <w:tcPr>
            <w:tcW w:w="8180" w:type="dxa"/>
            <w:vAlign w:val="bottom"/>
            <w:tcBorders>
              <w:top w:val="single" w:sz="8" w:color="0000FF"/>
            </w:tcBorders>
            <w:gridSpan w:val="14"/>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2026 and 2025</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rPr>
              <w:t>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w:t>
            </w:r>
          </w:p>
        </w:tc>
        <w:tc>
          <w:tcPr>
            <w:tcW w:w="1440" w:type="dxa"/>
            <w:vAlign w:val="bottom"/>
            <w:tcBorders>
              <w:top w:val="single" w:sz="8" w:color="0000FF"/>
            </w:tcBorders>
            <w:gridSpan w:val="2"/>
          </w:tcPr>
          <w:p>
            <w:pPr>
              <w:spacing w:after="0"/>
              <w:rPr>
                <w:sz w:val="19"/>
                <w:szCs w:val="19"/>
                <w:color w:val="auto"/>
              </w:rPr>
            </w:pPr>
          </w:p>
        </w:tc>
        <w:tc>
          <w:tcPr>
            <w:tcW w:w="76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of VICI Properties L.P. (Unaudited)</w:t>
            </w:r>
          </w:p>
        </w:tc>
        <w:tc>
          <w:tcPr>
            <w:tcW w:w="550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Three and Nine Months Ended September 30, 2026</w:t>
            </w:r>
          </w:p>
        </w:tc>
        <w:tc>
          <w:tcPr>
            <w:tcW w:w="3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2025</w:t>
            </w:r>
          </w:p>
        </w:tc>
        <w:tc>
          <w:tcPr>
            <w:tcW w:w="8180" w:type="dxa"/>
            <w:vAlign w:val="bottom"/>
            <w:tcBorders>
              <w:top w:val="single" w:sz="8" w:color="0000FF"/>
            </w:tcBorders>
            <w:gridSpan w:val="14"/>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2080" w:type="dxa"/>
            <w:vAlign w:val="bottom"/>
            <w:gridSpan w:val="2"/>
          </w:tcPr>
          <w:p>
            <w:pPr>
              <w:spacing w:after="0"/>
              <w:rPr>
                <w:sz w:val="2"/>
                <w:szCs w:val="2"/>
                <w:color w:val="auto"/>
              </w:rPr>
            </w:pPr>
          </w:p>
        </w:tc>
        <w:tc>
          <w:tcPr>
            <w:tcW w:w="2120" w:type="dxa"/>
            <w:vAlign w:val="bottom"/>
            <w:gridSpan w:val="2"/>
          </w:tcPr>
          <w:p>
            <w:pPr>
              <w:spacing w:after="0"/>
              <w:rPr>
                <w:sz w:val="2"/>
                <w:szCs w:val="2"/>
                <w:color w:val="auto"/>
              </w:rPr>
            </w:pPr>
          </w:p>
        </w:tc>
        <w:tc>
          <w:tcPr>
            <w:tcW w:w="1060" w:type="dxa"/>
            <w:vAlign w:val="bottom"/>
            <w:gridSpan w:val="3"/>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Partners’ Capital for the Three and Nine Months Ended September 30, 2026 and 2025</w:t>
            </w:r>
          </w:p>
        </w:tc>
        <w:tc>
          <w:tcPr>
            <w:tcW w:w="1060" w:type="dxa"/>
            <w:vAlign w:val="bottom"/>
            <w:gridSpan w:val="3"/>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w:t>
            </w:r>
          </w:p>
        </w:tc>
        <w:tc>
          <w:tcPr>
            <w:tcW w:w="1140" w:type="dxa"/>
            <w:vAlign w:val="bottom"/>
          </w:tcPr>
          <w:p>
            <w:pPr>
              <w:spacing w:after="0"/>
              <w:rPr>
                <w:sz w:val="19"/>
                <w:szCs w:val="19"/>
                <w:color w:val="auto"/>
              </w:rPr>
            </w:pPr>
          </w:p>
        </w:tc>
        <w:tc>
          <w:tcPr>
            <w:tcW w:w="1060" w:type="dxa"/>
            <w:vAlign w:val="bottom"/>
            <w:gridSpan w:val="3"/>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80" w:type="dxa"/>
            <w:vAlign w:val="bottom"/>
            <w:gridSpan w:val="10"/>
          </w:tcPr>
          <w:p>
            <w:pPr>
              <w:spacing w:after="0"/>
              <w:rPr>
                <w:sz w:val="24"/>
                <w:szCs w:val="24"/>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520" w:type="dxa"/>
            <w:vAlign w:val="bottom"/>
            <w:gridSpan w:val="4"/>
          </w:tcPr>
          <w:p>
            <w:pPr>
              <w:spacing w:after="0"/>
              <w:rPr>
                <w:sz w:val="19"/>
                <w:szCs w:val="19"/>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520" w:type="dxa"/>
            <w:vAlign w:val="bottom"/>
            <w:gridSpan w:val="4"/>
          </w:tcPr>
          <w:p>
            <w:pPr>
              <w:spacing w:after="0"/>
              <w:rPr>
                <w:sz w:val="19"/>
                <w:szCs w:val="19"/>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2"/>
          </w:tcPr>
          <w:p>
            <w:pPr>
              <w:spacing w:after="0"/>
              <w:rPr>
                <w:sz w:val="19"/>
                <w:szCs w:val="19"/>
                <w:color w:val="auto"/>
              </w:rPr>
            </w:pPr>
          </w:p>
        </w:tc>
        <w:tc>
          <w:tcPr>
            <w:tcW w:w="3180" w:type="dxa"/>
            <w:vAlign w:val="bottom"/>
            <w:gridSpan w:val="5"/>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520" w:type="dxa"/>
            <w:vAlign w:val="bottom"/>
            <w:gridSpan w:val="4"/>
          </w:tcPr>
          <w:p>
            <w:pPr>
              <w:spacing w:after="0"/>
              <w:rPr>
                <w:sz w:val="19"/>
                <w:szCs w:val="19"/>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600" w:type="dxa"/>
            <w:vAlign w:val="bottom"/>
            <w:gridSpan w:val="7"/>
          </w:tcPr>
          <w:p>
            <w:pPr>
              <w:spacing w:after="0"/>
              <w:rPr>
                <w:sz w:val="19"/>
                <w:szCs w:val="19"/>
                <w:color w:val="auto"/>
              </w:rPr>
            </w:pPr>
          </w:p>
        </w:tc>
        <w:tc>
          <w:tcPr>
            <w:tcW w:w="5260" w:type="dxa"/>
            <w:vAlign w:val="bottom"/>
            <w:gridSpan w:val="7"/>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220" w:type="dxa"/>
            <w:vAlign w:val="bottom"/>
            <w:tcBorders>
              <w:top w:val="single" w:sz="8" w:color="0000FF"/>
            </w:tcBorders>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0" w:type="dxa"/>
            <w:vAlign w:val="bottom"/>
            <w:tcBorders>
              <w:top w:val="single" w:sz="8" w:color="0000FF"/>
            </w:tcBorders>
            <w:gridSpan w:val="2"/>
          </w:tcPr>
          <w:p>
            <w:pPr>
              <w:spacing w:after="0"/>
              <w:rPr>
                <w:sz w:val="19"/>
                <w:szCs w:val="19"/>
                <w:color w:val="auto"/>
              </w:rPr>
            </w:pPr>
          </w:p>
        </w:tc>
        <w:tc>
          <w:tcPr>
            <w:tcW w:w="7620" w:type="dxa"/>
            <w:vAlign w:val="bottom"/>
            <w:gridSpan w:val="13"/>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80" w:type="dxa"/>
            <w:vAlign w:val="bottom"/>
            <w:tcBorders>
              <w:bottom w:val="single" w:sz="8" w:color="0000FF"/>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4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60" w:type="dxa"/>
            <w:vAlign w:val="bottom"/>
            <w:gridSpan w:val="7"/>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520" w:type="dxa"/>
            <w:vAlign w:val="bottom"/>
            <w:gridSpan w:val="4"/>
          </w:tcPr>
          <w:p>
            <w:pPr>
              <w:spacing w:after="0"/>
              <w:rPr>
                <w:sz w:val="19"/>
                <w:szCs w:val="19"/>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520" w:type="dxa"/>
            <w:vAlign w:val="bottom"/>
            <w:gridSpan w:val="4"/>
          </w:tcPr>
          <w:p>
            <w:pPr>
              <w:spacing w:after="0"/>
              <w:rPr>
                <w:sz w:val="19"/>
                <w:szCs w:val="19"/>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2"/>
          </w:tcPr>
          <w:p>
            <w:pPr>
              <w:spacing w:after="0"/>
              <w:rPr>
                <w:sz w:val="19"/>
                <w:szCs w:val="19"/>
                <w:color w:val="auto"/>
              </w:rPr>
            </w:pPr>
          </w:p>
        </w:tc>
        <w:tc>
          <w:tcPr>
            <w:tcW w:w="7320" w:type="dxa"/>
            <w:vAlign w:val="bottom"/>
            <w:gridSpan w:val="12"/>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5</w:t>
            </w:r>
            <w:r>
              <w:rPr>
                <w:rFonts w:ascii="Times New Roman" w:cs="Times New Roman" w:eastAsia="Times New Roman" w:hAnsi="Times New Roman"/>
                <w:sz w:val="18"/>
                <w:szCs w:val="18"/>
                <w:color w:val="000000"/>
                <w:w w:val="86"/>
              </w:rPr>
              <w:t>.</w:t>
            </w:r>
          </w:p>
        </w:tc>
        <w:tc>
          <w:tcPr>
            <w:tcW w:w="520" w:type="dxa"/>
            <w:vAlign w:val="bottom"/>
            <w:gridSpan w:val="4"/>
          </w:tcPr>
          <w:p>
            <w:pPr>
              <w:spacing w:after="0"/>
              <w:rPr>
                <w:sz w:val="19"/>
                <w:szCs w:val="19"/>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60" w:type="dxa"/>
            <w:vAlign w:val="bottom"/>
            <w:gridSpan w:val="14"/>
          </w:tcPr>
          <w:p>
            <w:pPr>
              <w:spacing w:after="0"/>
              <w:rPr>
                <w:sz w:val="19"/>
                <w:szCs w:val="19"/>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520" w:type="dxa"/>
            <w:vAlign w:val="bottom"/>
            <w:gridSpan w:val="4"/>
          </w:tcPr>
          <w:p>
            <w:pPr>
              <w:spacing w:after="0"/>
              <w:rPr>
                <w:sz w:val="19"/>
                <w:szCs w:val="19"/>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14"/>
          </w:tcPr>
          <w:p>
            <w:pPr>
              <w:ind w:left="456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PART I</w:t>
      </w:r>
      <w:r>
        <w:rPr>
          <w:sz w:val="20"/>
          <w:szCs w:val="20"/>
          <w:color w:val="auto"/>
        </w:rPr>
        <w:tab/>
      </w:r>
      <w:r>
        <w:rPr>
          <w:rFonts w:ascii="Times New Roman" w:cs="Times New Roman" w:eastAsia="Times New Roman" w:hAnsi="Times New Roman"/>
          <w:sz w:val="21"/>
          <w:szCs w:val="21"/>
          <w:b w:val="1"/>
          <w:bCs w:val="1"/>
          <w:color w:val="auto"/>
        </w:rPr>
        <w:t>FINANCIAL INFORMATION</w:t>
      </w:r>
    </w:p>
    <w:p>
      <w:pPr>
        <w:spacing w:after="0" w:line="1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23,706,563</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18,697,133</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and securities, net</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2,525,457</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 estate under development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148,002</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563,479</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w:t>
            </w:r>
          </w:p>
        </w:tc>
      </w:tr>
      <w:tr>
        <w:trPr>
          <w:trHeight w:val="243"/>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1,030,126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1,039,050</w:t>
            </w:r>
          </w:p>
        </w:tc>
      </w:tr>
      <w:tr>
        <w:trPr>
          <w:trHeight w:val="262"/>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46,724,168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16,916,934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16,773,241</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238,715</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payable</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486,259</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1,017,579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1,003,366</w:t>
            </w:r>
          </w:p>
        </w:tc>
      </w:tr>
      <w:tr>
        <w:trPr>
          <w:trHeight w:val="237"/>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18,624,646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18,501,581</w:t>
            </w:r>
          </w:p>
        </w:tc>
      </w:tr>
      <w:tr>
        <w:trPr>
          <w:trHeight w:val="196"/>
        </w:trPr>
        <w:tc>
          <w:tcPr>
            <w:tcW w:w="7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contingent liabilities (Note 10)</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6"/>
        </w:trPr>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189"/>
        </w:trPr>
        <w:tc>
          <w:tcPr>
            <w:tcW w:w="71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 $0.01 par value, 1,350,000,000 shares authorized and 1,101,083,124 and</w:t>
            </w: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76"/>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1,068,811,371 shares issued and outstanding at September 30, 2026 and December 31, 2025,</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r>
      <w:tr>
        <w:trPr>
          <w:trHeight w:val="189"/>
        </w:trPr>
        <w:tc>
          <w:tcPr>
            <w:tcW w:w="71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Preferred stock, $0.01 par value, 50,000,000 shares authorized and no shares outstanding at</w:t>
            </w: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22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25,859,760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24,898,868</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121,031</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3,025,489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2,767,053</w:t>
            </w:r>
          </w:p>
        </w:tc>
      </w:tr>
      <w:tr>
        <w:trPr>
          <w:trHeight w:val="237"/>
        </w:trPr>
        <w:tc>
          <w:tcPr>
            <w:tcW w:w="7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VICI stockholders’ equity</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29,011,715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27,797,640</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427,943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424,947</w:t>
            </w:r>
          </w:p>
        </w:tc>
      </w:tr>
      <w:tr>
        <w:trPr>
          <w:trHeight w:val="236"/>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29,439,658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28,222,587</w:t>
            </w:r>
          </w:p>
        </w:tc>
      </w:tr>
      <w:tr>
        <w:trPr>
          <w:trHeight w:val="262"/>
        </w:trPr>
        <w:tc>
          <w:tcPr>
            <w:tcW w:w="71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46,724,168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Note: As of September 30, 2026 and December 31, 2025, our Investments in leases - sales-type, Investments in leases - financing receivables, Investments in loans and securities, and Other assets (sales-type sub-leases) are net of allowance for credit losses of $1,282.4 million, $884.9 million, $159.0 million and $29.7 million, respectively, and $919.2 million, $769.9 million, $56.4 million and $23.9 million, respectively.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640" w:type="dxa"/>
            <w:vAlign w:val="bottom"/>
            <w:gridSpan w:val="4"/>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55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1,590,717</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from lease financing receivables, loans and securities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1,314,726</w:t>
            </w:r>
          </w:p>
        </w:tc>
      </w:tr>
      <w:tr>
        <w:trPr>
          <w:trHeight w:val="243"/>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Golf revenues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w:t>
            </w:r>
          </w:p>
        </w:tc>
      </w:tr>
      <w:tr>
        <w:trPr>
          <w:trHeight w:val="237"/>
        </w:trPr>
        <w:tc>
          <w:tcPr>
            <w:tcW w:w="55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1,065,484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3,142,510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2,993,026</w:t>
            </w:r>
          </w:p>
        </w:tc>
      </w:tr>
      <w:tr>
        <w:trPr>
          <w:trHeight w:val="250"/>
        </w:trPr>
        <w:tc>
          <w:tcPr>
            <w:tcW w:w="5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r>
      <w:tr>
        <w:trPr>
          <w:trHeight w:val="243"/>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r>
      <w:tr>
        <w:trPr>
          <w:trHeight w:val="243"/>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Golf expenses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r>
      <w:tr>
        <w:trPr>
          <w:trHeight w:val="243"/>
        </w:trPr>
        <w:tc>
          <w:tcPr>
            <w:tcW w:w="5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36"/>
        </w:trPr>
        <w:tc>
          <w:tcPr>
            <w:tcW w:w="5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741,720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159,062</w:t>
            </w:r>
          </w:p>
        </w:tc>
      </w:tr>
      <w:tr>
        <w:trPr>
          <w:trHeight w:val="250"/>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r>
      <w:tr>
        <w:trPr>
          <w:trHeight w:val="243"/>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2,211,246</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r>
      <w:tr>
        <w:trPr>
          <w:trHeight w:val="23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2,204,253</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(33,527)</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342,534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1,741,445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2,170,726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70"/>
        </w:trPr>
        <w:tc>
          <w:tcPr>
            <w:tcW w:w="5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shares of common stock outstanding</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1,100,560,183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1,067,253,644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1,086,503,368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1,059,870,808</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1,100,625,472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1,068,369,218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1,086,581,026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1,060,732,039</w:t>
            </w:r>
          </w:p>
        </w:tc>
      </w:tr>
      <w:tr>
        <w:trPr>
          <w:trHeight w:val="270"/>
        </w:trPr>
        <w:tc>
          <w:tcPr>
            <w:tcW w:w="5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2,204,253</w:t>
            </w:r>
          </w:p>
        </w:tc>
      </w:tr>
      <w:tr>
        <w:trPr>
          <w:trHeight w:val="243"/>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Reclassification of derivative gain to Interest expense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r>
      <w:tr>
        <w:trPr>
          <w:trHeight w:val="24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43"/>
        </w:trPr>
        <w:tc>
          <w:tcPr>
            <w:tcW w:w="5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2,184,658</w:t>
            </w:r>
          </w:p>
        </w:tc>
      </w:tr>
      <w:tr>
        <w:trPr>
          <w:trHeight w:val="243"/>
        </w:trPr>
        <w:tc>
          <w:tcPr>
            <w:tcW w:w="5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(33,308)</w:t>
            </w:r>
          </w:p>
        </w:tc>
      </w:tr>
      <w:tr>
        <w:trPr>
          <w:trHeight w:val="26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2,151,350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VICI</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106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24,898,868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2,767,053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27,797,640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28,222,587</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885,954</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(481,045)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(481,045)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(489,302)</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($0.4500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24,900,713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3,158,398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28,188,653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28,618,862</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535,311</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951,157</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(503,751)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($0.4500 per common share)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0" w:type="dxa"/>
            <w:vAlign w:val="bottom"/>
          </w:tcPr>
          <w:p>
            <w:pPr>
              <w:spacing w:after="0"/>
              <w:rPr>
                <w:sz w:val="1"/>
                <w:szCs w:val="1"/>
                <w:color w:val="auto"/>
              </w:rPr>
            </w:pPr>
          </w:p>
        </w:tc>
      </w:tr>
      <w:tr>
        <w:trPr>
          <w:trHeight w:val="22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2026</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25,854,906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3,189,420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29,170,749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431,962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29,602,711</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346,851</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(514,842)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($0.4600 per common share)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25,859,760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115,455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3,025,489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29,011,715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427,943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29,439,658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VICI</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24,515,417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26,537,955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26,951,801</w:t>
            </w: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552,265</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(456,883)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(456,883)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(464,869)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($0.4325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24,512,026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26,609,169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27,022,665</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878,368</w:t>
            </w:r>
          </w:p>
        </w:tc>
        <w:tc>
          <w:tcPr>
            <w:tcW w:w="0" w:type="dxa"/>
            <w:vAlign w:val="bottom"/>
          </w:tcPr>
          <w:p>
            <w:pPr>
              <w:spacing w:after="0"/>
              <w:rPr>
                <w:sz w:val="1"/>
                <w:szCs w:val="1"/>
                <w:color w:val="auto"/>
              </w:rPr>
            </w:pPr>
          </w:p>
        </w:tc>
      </w:tr>
      <w:tr>
        <w:trPr>
          <w:trHeight w:val="23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(457,027)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(457,027)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(465,021)</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($0.4325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22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24,515,601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136,107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2,362,176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27,024,451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419,661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27,444,112</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773,620</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375,350</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(480,965)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(480,965)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(489,169)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($0.4500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24,894,452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125,198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2,643,251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27,673,589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28,097,278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1,768,116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2,204,253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(393,076)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losses (gains)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Payment-in-kind interest</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Receipt of payment-in-kind interest</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2,015,249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1,818,047</w:t>
            </w: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(1,158,733)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(786,360)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loans and securities and receipts of deferred fees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real estate under development</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4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(1,164,990)</w:t>
            </w:r>
          </w:p>
        </w:tc>
        <w:tc>
          <w:tcPr>
            <w:tcW w:w="10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(765,460)</w:t>
            </w: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offering of common stock, net</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375,350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426,024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senior unsecured notes offerings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1,284,437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senior unsecured notes</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(1,457,533)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(1,372,727)</w:t>
            </w:r>
          </w:p>
        </w:tc>
        <w:tc>
          <w:tcPr>
            <w:tcW w:w="2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(1,142,937)</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(1,070,208)</w:t>
            </w:r>
          </w:p>
        </w:tc>
        <w:tc>
          <w:tcPr>
            <w:tcW w:w="20" w:type="dxa"/>
            <w:vAlign w:val="bottom"/>
          </w:tcPr>
          <w:p>
            <w:pPr>
              <w:spacing w:after="0"/>
              <w:rPr>
                <w:sz w:val="20"/>
                <w:szCs w:val="20"/>
                <w:color w:val="auto"/>
              </w:rPr>
            </w:pPr>
          </w:p>
        </w:tc>
      </w:tr>
      <w:tr>
        <w:trPr>
          <w:trHeight w:val="776"/>
        </w:trPr>
        <w:tc>
          <w:tcPr>
            <w:tcW w:w="71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70"/>
        </w:trPr>
        <w:tc>
          <w:tcPr>
            <w:tcW w:w="7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(293,158)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w:t>
            </w:r>
          </w:p>
        </w:tc>
      </w:tr>
      <w:tr>
        <w:trPr>
          <w:trHeight w:val="24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7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563,479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524,615</w:t>
            </w:r>
          </w:p>
        </w:tc>
      </w:tr>
      <w:tr>
        <w:trPr>
          <w:trHeight w:val="262"/>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649,022</w:t>
            </w:r>
          </w:p>
        </w:tc>
        <w:tc>
          <w:tcPr>
            <w:tcW w:w="100" w:type="dxa"/>
            <w:vAlign w:val="bottom"/>
          </w:tcPr>
          <w:p>
            <w:pPr>
              <w:spacing w:after="0"/>
              <w:rPr>
                <w:sz w:val="21"/>
                <w:szCs w:val="21"/>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620,778</w:t>
            </w:r>
          </w:p>
        </w:tc>
      </w:tr>
      <w:tr>
        <w:trPr>
          <w:trHeight w:val="24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capitalized interest</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activity:</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declared, not paid</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512,122</w:t>
            </w:r>
          </w:p>
        </w:tc>
        <w:tc>
          <w:tcPr>
            <w:tcW w:w="100" w:type="dxa"/>
            <w:vAlign w:val="bottom"/>
          </w:tcPr>
          <w:p>
            <w:pPr>
              <w:spacing w:after="0"/>
              <w:rPr>
                <w:sz w:val="21"/>
                <w:szCs w:val="21"/>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486,468</w:t>
            </w:r>
          </w:p>
        </w:tc>
      </w:tr>
      <w:tr>
        <w:trPr>
          <w:trHeight w:val="24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capitalized transaction costs</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43"/>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7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211,903</w:t>
            </w:r>
          </w:p>
        </w:tc>
      </w:tr>
      <w:tr>
        <w:trPr>
          <w:trHeight w:val="189"/>
        </w:trPr>
        <w:tc>
          <w:tcPr>
            <w:tcW w:w="708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Reclassification from Investments in leases - financing receivables to Investments in leases -</w:t>
            </w:r>
          </w:p>
        </w:tc>
        <w:tc>
          <w:tcPr>
            <w:tcW w:w="7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sales-type</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706,115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23,706,563</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18,697,133</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and securities, net</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2,525,457</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 estate under development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148,002</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553,412</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w:t>
            </w:r>
          </w:p>
        </w:tc>
      </w:tr>
      <w:tr>
        <w:trPr>
          <w:trHeight w:val="243"/>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950,990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961,227</w:t>
            </w:r>
          </w:p>
        </w:tc>
      </w:tr>
      <w:tr>
        <w:trPr>
          <w:trHeight w:val="262"/>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47,984,004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46,636,278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16,916,934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16,773,241</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236,424</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486,259</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1,004,809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990,176</w:t>
            </w:r>
          </w:p>
        </w:tc>
      </w:tr>
      <w:tr>
        <w:trPr>
          <w:trHeight w:val="236"/>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18,608,867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18,486,100</w:t>
            </w:r>
          </w:p>
        </w:tc>
      </w:tr>
      <w:tr>
        <w:trPr>
          <w:trHeight w:val="250"/>
        </w:trPr>
        <w:tc>
          <w:tcPr>
            <w:tcW w:w="7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contingent liabilities (Note 10)</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0"/>
        </w:trPr>
        <w:tc>
          <w:tcPr>
            <w:tcW w:w="7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Partners’ Capital</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189"/>
        </w:trPr>
        <w:tc>
          <w:tcPr>
            <w:tcW w:w="71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Partners’ capital, 1,113,314,497 and 1,081,042,744 operating partnership units issued and</w:t>
            </w: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2026 and December 31, 2025, respectively</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29,155,470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27,923,645</w:t>
            </w:r>
          </w:p>
        </w:tc>
      </w:tr>
      <w:tr>
        <w:trPr>
          <w:trHeight w:val="243"/>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120,090</w:t>
            </w:r>
          </w:p>
        </w:tc>
      </w:tr>
      <w:tr>
        <w:trPr>
          <w:trHeight w:val="237"/>
        </w:trPr>
        <w:tc>
          <w:tcPr>
            <w:tcW w:w="7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VICI LP’s capital</w:t>
            </w: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29,269,923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28,043,735</w:t>
            </w:r>
          </w:p>
        </w:tc>
      </w:tr>
      <w:tr>
        <w:trPr>
          <w:trHeight w:val="243"/>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106,443</w:t>
            </w:r>
          </w:p>
        </w:tc>
      </w:tr>
      <w:tr>
        <w:trPr>
          <w:trHeight w:val="237"/>
        </w:trPr>
        <w:tc>
          <w:tcPr>
            <w:tcW w:w="7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capital attributable to partners</w:t>
            </w: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29,375,137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28,150,178</w:t>
            </w:r>
          </w:p>
        </w:tc>
      </w:tr>
      <w:tr>
        <w:trPr>
          <w:trHeight w:val="236"/>
        </w:trPr>
        <w:tc>
          <w:tcPr>
            <w:tcW w:w="7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47,984,004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46,636,278</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Note: As of September 30, 2026 and December 31, 2025, our Investments in leases - sales-type, Investments in leases - financing receivables, Investments in loans and securities, and Other assets (sales-type sub-leases) are net of allowance for credit losses of $1,282.4 million, $884.9 million, $159.0 million and $29.7 million, respectively, and $919.2 million, $769.9 million, $56.4 million and $23.9 million, respectively.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2660" w:type="dxa"/>
            <w:vAlign w:val="bottom"/>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660" w:type="dxa"/>
            <w:vAlign w:val="bottom"/>
            <w:gridSpan w:val="4"/>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2"/>
        </w:trPr>
        <w:tc>
          <w:tcPr>
            <w:tcW w:w="54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556,749</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1,642,668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1,590,717</w:t>
            </w: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from lease financing receivables, loans and securities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1,412,990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1,314,726</w:t>
            </w:r>
          </w:p>
        </w:tc>
      </w:tr>
      <w:tr>
        <w:trPr>
          <w:trHeight w:val="243"/>
        </w:trPr>
        <w:tc>
          <w:tcPr>
            <w:tcW w:w="5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58,596</w:t>
            </w:r>
          </w:p>
        </w:tc>
      </w:tr>
      <w:tr>
        <w:trPr>
          <w:trHeight w:val="237"/>
        </w:trPr>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1,058,360</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999,298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3,112,441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2,964,039</w:t>
            </w:r>
          </w:p>
        </w:tc>
      </w:tr>
      <w:tr>
        <w:trPr>
          <w:trHeight w:val="237"/>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45,632</w:t>
            </w: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w:t>
            </w: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458,030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r>
      <w:tr>
        <w:trPr>
          <w:trHeight w:val="243"/>
        </w:trPr>
        <w:tc>
          <w:tcPr>
            <w:tcW w:w="5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37"/>
        </w:trPr>
        <w:tc>
          <w:tcPr>
            <w:tcW w:w="5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494,764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718,435</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136,909</w:t>
            </w:r>
          </w:p>
        </w:tc>
      </w:tr>
      <w:tr>
        <w:trPr>
          <w:trHeight w:val="237"/>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(634,272)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r>
      <w:tr>
        <w:trPr>
          <w:trHeight w:val="243"/>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2,204,016</w:t>
            </w: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2,198,582</w:t>
            </w: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346,716</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1,755,658</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2,190,024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Partnership unit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56"/>
        </w:trPr>
        <w:tc>
          <w:tcPr>
            <w:tcW w:w="5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Partnership units outstanding</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1,112,791,556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1,079,485,017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1,098,734,741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1,072,102,181</w:t>
            </w:r>
          </w:p>
        </w:tc>
      </w:tr>
      <w:tr>
        <w:trPr>
          <w:trHeight w:val="24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1,112,856,845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1,080,600,591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1,098,812,399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1,072,963,412</w:t>
            </w:r>
          </w:p>
        </w:tc>
      </w:tr>
      <w:tr>
        <w:trPr>
          <w:trHeight w:val="256"/>
        </w:trPr>
        <w:tc>
          <w:tcPr>
            <w:tcW w:w="5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2,190,024</w:t>
            </w:r>
          </w:p>
        </w:tc>
      </w:tr>
      <w:tr>
        <w:trPr>
          <w:trHeight w:val="24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derivative gain to Interest expense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r>
      <w:tr>
        <w:trPr>
          <w:trHeight w:val="24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43"/>
        </w:trPr>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r>
      <w:tr>
        <w:trPr>
          <w:trHeight w:val="261"/>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partners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346,759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1,750,021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2,170,429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STATEMENTS OF PARTNERS’ CAPITAL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60" w:type="dxa"/>
            <w:vAlign w:val="bottom"/>
          </w:tcPr>
          <w:p>
            <w:pPr>
              <w:spacing w:after="0"/>
              <w:rPr>
                <w:sz w:val="13"/>
                <w:szCs w:val="13"/>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460" w:type="dxa"/>
            <w:vAlign w:val="bottom"/>
          </w:tcPr>
          <w:p>
            <w:pPr>
              <w:spacing w:after="0"/>
              <w:rPr>
                <w:sz w:val="13"/>
                <w:szCs w:val="13"/>
                <w:color w:val="auto"/>
              </w:rPr>
            </w:pPr>
          </w:p>
        </w:tc>
        <w:tc>
          <w:tcPr>
            <w:tcW w:w="1480" w:type="dxa"/>
            <w:vAlign w:val="bottom"/>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27,923,645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106,443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28,150,178</w:t>
            </w: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883,079</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(486,569)</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179"/>
        </w:trPr>
        <w:tc>
          <w:tcPr>
            <w:tcW w:w="31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28,318,390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117,886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107,307</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28,543,583</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532,378</w:t>
            </w: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963,629</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(501,444)</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tcPr>
          <w:p>
            <w:pPr>
              <w:spacing w:after="0"/>
              <w:rPr>
                <w:sz w:val="15"/>
                <w:szCs w:val="15"/>
                <w:color w:val="auto"/>
              </w:rPr>
            </w:pPr>
          </w:p>
        </w:tc>
        <w:tc>
          <w:tcPr>
            <w:tcW w:w="1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Pr>
          <w:p>
            <w:pPr>
              <w:spacing w:after="0"/>
              <w:rPr>
                <w:sz w:val="21"/>
                <w:szCs w:val="21"/>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0" w:type="dxa"/>
            <w:vAlign w:val="bottom"/>
          </w:tcPr>
          <w:p>
            <w:pPr>
              <w:spacing w:after="0"/>
              <w:rPr>
                <w:sz w:val="1"/>
                <w:szCs w:val="1"/>
                <w:color w:val="auto"/>
              </w:rPr>
            </w:pPr>
          </w:p>
        </w:tc>
      </w:tr>
      <w:tr>
        <w:trPr>
          <w:trHeight w:val="22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2026</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29,314,663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107,457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29,536,530</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347,223</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(513,523)</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0" w:type="dxa"/>
            <w:vAlign w:val="bottom"/>
          </w:tcPr>
          <w:p>
            <w:pPr>
              <w:spacing w:after="0"/>
              <w:rPr>
                <w:sz w:val="1"/>
                <w:szCs w:val="1"/>
                <w:color w:val="auto"/>
              </w:rPr>
            </w:pPr>
          </w:p>
        </w:tc>
      </w:tr>
      <w:tr>
        <w:trPr>
          <w:trHeight w:val="178"/>
        </w:trPr>
        <w:tc>
          <w:tcPr>
            <w:tcW w:w="31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29,155,470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105,214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29,375,137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STATEMENTS OF PARTNERS’ CAPITAL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60" w:type="dxa"/>
            <w:vAlign w:val="bottom"/>
          </w:tcPr>
          <w:p>
            <w:pPr>
              <w:spacing w:after="0"/>
              <w:rPr>
                <w:sz w:val="13"/>
                <w:szCs w:val="13"/>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460" w:type="dxa"/>
            <w:vAlign w:val="bottom"/>
          </w:tcPr>
          <w:p>
            <w:pPr>
              <w:spacing w:after="0"/>
              <w:rPr>
                <w:sz w:val="13"/>
                <w:szCs w:val="13"/>
                <w:color w:val="auto"/>
              </w:rPr>
            </w:pPr>
          </w:p>
        </w:tc>
        <w:tc>
          <w:tcPr>
            <w:tcW w:w="1480" w:type="dxa"/>
            <w:vAlign w:val="bottom"/>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26,634,873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26,884,888</w:t>
            </w: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550,217</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(462,174)</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0" w:type="dxa"/>
            <w:vAlign w:val="bottom"/>
          </w:tcPr>
          <w:p>
            <w:pPr>
              <w:spacing w:after="0"/>
              <w:rPr>
                <w:sz w:val="1"/>
                <w:szCs w:val="1"/>
                <w:color w:val="auto"/>
              </w:rPr>
            </w:pPr>
          </w:p>
        </w:tc>
      </w:tr>
      <w:tr>
        <w:trPr>
          <w:trHeight w:val="178"/>
        </w:trPr>
        <w:tc>
          <w:tcPr>
            <w:tcW w:w="31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26,716,498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105,809</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26,953,947</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875,259</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(462,365)</w:t>
            </w:r>
          </w:p>
        </w:tc>
        <w:tc>
          <w:tcPr>
            <w:tcW w:w="0" w:type="dxa"/>
            <w:vAlign w:val="bottom"/>
          </w:tcPr>
          <w:p>
            <w:pPr>
              <w:spacing w:after="0"/>
              <w:rPr>
                <w:sz w:val="1"/>
                <w:szCs w:val="1"/>
                <w:color w:val="auto"/>
              </w:rPr>
            </w:pPr>
          </w:p>
        </w:tc>
      </w:tr>
      <w:tr>
        <w:trPr>
          <w:trHeight w:val="22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tcPr>
          <w:p>
            <w:pPr>
              <w:spacing w:after="0"/>
              <w:rPr>
                <w:sz w:val="15"/>
                <w:szCs w:val="15"/>
                <w:color w:val="auto"/>
              </w:rPr>
            </w:pPr>
          </w:p>
        </w:tc>
        <w:tc>
          <w:tcPr>
            <w:tcW w:w="1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22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27,130,572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135,345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106,448</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27,372,365</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773,106</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375,727</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(486,900)</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tcPr>
          <w:p>
            <w:pPr>
              <w:spacing w:after="0"/>
              <w:rPr>
                <w:sz w:val="15"/>
                <w:szCs w:val="15"/>
                <w:color w:val="auto"/>
              </w:rPr>
            </w:pPr>
          </w:p>
        </w:tc>
        <w:tc>
          <w:tcPr>
            <w:tcW w:w="1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27,794,086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106,573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28,024,963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2,198,582</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(393,076)</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losses (gains)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Payment-in-kind interest</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Receipt of payment-in-kind interest</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4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(41,601)</w:t>
            </w:r>
          </w:p>
        </w:tc>
      </w:tr>
      <w:tr>
        <w:trPr>
          <w:trHeight w:val="24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7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2,005,167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1,808,462</w:t>
            </w:r>
          </w:p>
        </w:tc>
      </w:tr>
      <w:tr>
        <w:trPr>
          <w:trHeight w:val="196"/>
        </w:trPr>
        <w:tc>
          <w:tcPr>
            <w:tcW w:w="7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(1,158,733)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(786,360)</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loans and securities and receipts of deferred fees</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real estate under development</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4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37"/>
        </w:trPr>
        <w:tc>
          <w:tcPr>
            <w:tcW w:w="7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(1,161,583)</w:t>
            </w:r>
          </w:p>
        </w:tc>
        <w:tc>
          <w:tcPr>
            <w:tcW w:w="10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(764,522)</w:t>
            </w:r>
          </w:p>
        </w:tc>
      </w:tr>
      <w:tr>
        <w:trPr>
          <w:trHeight w:val="196"/>
        </w:trPr>
        <w:tc>
          <w:tcPr>
            <w:tcW w:w="7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256,642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438,943</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parent</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(1,473,330)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(1,386,158)</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420,185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426,024</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(432,689)</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senior unsecured notes offerings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1,284,437</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senior unsecured notes</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36"/>
        </w:trPr>
        <w:tc>
          <w:tcPr>
            <w:tcW w:w="7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(1,127,359)</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(1,004,176)</w:t>
            </w: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7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40,273</w:t>
            </w:r>
          </w:p>
        </w:tc>
      </w:tr>
      <w:tr>
        <w:trPr>
          <w:trHeight w:val="24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553,412</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456,899</w:t>
            </w:r>
          </w:p>
        </w:tc>
      </w:tr>
      <w:tr>
        <w:trPr>
          <w:trHeight w:val="262"/>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649,022</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620,778</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capitalized interest</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activity:</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512,122</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486,468</w:t>
            </w: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capitalized transaction costs</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7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211,903</w:t>
            </w:r>
          </w:p>
        </w:tc>
      </w:tr>
      <w:tr>
        <w:trPr>
          <w:trHeight w:val="189"/>
        </w:trPr>
        <w:tc>
          <w:tcPr>
            <w:tcW w:w="714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Reclassification from Investments in leases - financing receivables to Investments in leases -</w:t>
            </w:r>
          </w:p>
        </w:tc>
        <w:tc>
          <w:tcPr>
            <w:tcW w:w="7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sales-type</w:t>
            </w:r>
          </w:p>
        </w:tc>
        <w:tc>
          <w:tcPr>
            <w:tcW w:w="7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706,115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these notes, the words the “Company,” “VICI,” “we,” “our,” and “us” refer to VICI Properties Inc. and its subsidiaries, including VICI LP, on a consolidated basis, unless otherwise stated or the context requires otherwise.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Business and Organization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primarily engaged in the business of owning and acquiring gaming, hospitality, wellness, entertainment and leisure destinations, subject to long-term triple-net leases. As of September 30, 2026, we own 103 experiential assets across a geographically diverse portfolio consisting of 63 gaming properties and 40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Properties Inc.,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substantially all of our net taxable income to stockholders and maintain our qualification as a REIT.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26"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27">
        <w:r>
          <w:rPr>
            <w:rFonts w:ascii="Times New Roman" w:cs="Times New Roman" w:eastAsia="Times New Roman" w:hAnsi="Times New Roman"/>
            <w:sz w:val="18"/>
            <w:szCs w:val="18"/>
            <w:u w:val="single" w:color="auto"/>
            <w:color w:val="0000FF"/>
          </w:rPr>
          <w:t>Annual Report on Form 10-K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updated from time to time in our other filings with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adjustments considered necessary for a fair statement of results for the interim period have been included and are of a normal and recurring 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2026 are not necessarily indicative of the results that may be expected for the year ending December 31,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Non-controlling Interest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include our accounts and the accounts of VICI LP, and the subsidiaries in which we or VICI LP has a controlling interest. The operating partnership, VICI OP, is a variable interest entity (“VIE”) of which we are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Substantially all of our assets and liabilities relate to VICI LP, whose limited partnership interest is 100% owned by VICI OP. Therefore, we consolidate the accounts of VICI LP and reflect the third-party ownership in VICI OP as a non-controlling interest on the Balance Sheet. All intercompany account balances and transactions have been eliminated in 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non-controlling interests and classify such interests as a component of consolidated stockholders’ equity or partners’ capital, separate from VICI stockholders’ equity and VICI LP partners’ capital. As of September 30, 2026, VICI’s non-controlling interests were comprised of (i) an approximately 1.1% third-party ownership of VICI OP in the form of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“Joliet Lease”) and (iii) a third-party minority equity interest, in the form of Class A Units, of VICI Bowl HoldCo LLC (“Lucky Strike OP Units”), the entity that (a) owns the portfolio of bowling entertainment centers leased to Lucky Strike Entertainment Corporation (“Lucky Strike Entertainment”) and (b) is the lessor under the related Lucky Strike Entertainment master lease agreement, which interest entitles the non-controlling interest holder to a preferred return that currently approximates 4.1% of the entity’s cash flows.</w:t>
      </w:r>
    </w:p>
    <w:p>
      <w:pPr>
        <w:spacing w:after="0" w:line="138" w:lineRule="exact"/>
        <w:rPr>
          <w:sz w:val="20"/>
          <w:szCs w:val="20"/>
          <w:color w:val="auto"/>
        </w:rPr>
      </w:pPr>
    </w:p>
    <w:p>
      <w:pPr>
        <w:ind w:right="120"/>
        <w:spacing w:after="0" w:line="438" w:lineRule="auto"/>
        <w:rPr>
          <w:sz w:val="20"/>
          <w:szCs w:val="20"/>
          <w:color w:val="auto"/>
        </w:rPr>
      </w:pPr>
      <w:r>
        <w:rPr>
          <w:rFonts w:ascii="Times New Roman" w:cs="Times New Roman" w:eastAsia="Times New Roman" w:hAnsi="Times New Roman"/>
          <w:sz w:val="18"/>
          <w:szCs w:val="18"/>
          <w:color w:val="auto"/>
        </w:rPr>
        <w:t xml:space="preserve">VICI LP’s non-controlling interests are the third-party ownership interests in Harrah’s Joliet LandCo LLC and VICI Bowl HoldCo LLC referenced above. </w:t>
      </w:r>
      <w:r>
        <w:rPr>
          <w:rFonts w:ascii="Times New Roman" w:cs="Times New Roman" w:eastAsia="Times New Roman" w:hAnsi="Times New Roman"/>
          <w:sz w:val="18"/>
          <w:szCs w:val="18"/>
          <w:b w:val="1"/>
          <w:bCs w:val="1"/>
          <w:i w:val="1"/>
          <w:iCs w:val="1"/>
          <w:color w:val="auto"/>
        </w:rPr>
        <w:t>Reportable Segments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consist of real estate investment activities, which represent substantially all of our business. The operating results are regularly reviewed, on a consolidated basis, by the Chief Operating Decision Maker (“CODM”) and are considered to be one operating segment. Accordingly, all operations have been considered to represent one reportable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14 - Segment Information</w:t>
      </w:r>
      <w:r>
        <w:rPr>
          <w:rFonts w:ascii="Times New Roman" w:cs="Times New Roman" w:eastAsia="Times New Roman" w:hAnsi="Times New Roman"/>
          <w:sz w:val="18"/>
          <w:szCs w:val="18"/>
          <w:color w:val="auto"/>
        </w:rPr>
        <w:t xml:space="preserve"> for further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consists of cash-on-hand and cash-in-bank. Highly liquid investments with an original maturity of three months or less from the date of purchase are considered cash equivalents and are carried at cost, which approximates fair value. As of September 30, 2026 and December 31, 2025, we did not have any restricted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with an original maturity of greater than three months and less than one year from the date of purchase are considered short-term investments and are stated at fair value.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$44.5 million of short-term investments as of December 31, 2025. We did not have any short-term investments as of September 30,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remaining interest of the joint venture that holds the real estate assets of MGM Grand Las Vegas and Mandalay Bay, existing leases and/or debt. Further, since all the components of our leases are classified as sales-type leases or financing receivables, as further described below, the assets acquired are transferred into the net investment in lease or financing receivable, as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Sales-type,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net of allowance for credit losses.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accordingly, no profit or loss is recognized. In addition, due to the long-term nature of our leases, the land and building components of an investment generally have the same lease classification.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Financing Receivables,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ASC 842, at the inception of a lease or upon a lease modification, we assess the noncancelable lease term, which includes any reasonably certain renewal periods. All of our lease agreements provide for an initial term, with one or more tenant renewal options.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our gaming assets and certain other irreplaceable real estate, upon lease inception or modification, we have generally concluded that the lease term includes all of the periods covered by extension options as it was reasonably certain at such time that our tenants would renew the lease agreements. At such time, we believed our tenants were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Leases and Lease Financing Receivables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related income from our sales-type leases and lease financing receivables on an effective interest basis at a constant rate of return over the terms of the applicable leases based on the future minimum lease payments.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Contingent rent, which is generally comprised of amounts in excess of specified floors or the variable rent portion of our leases, is recognized as income in the period in which the changes in facts and circumstances giving rise to such contingent rent or variable lease payments occur.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Initial direct costs incurred in connection with entering into investments classified as sales-type leases are included in the balance of the net investment in the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Origination fees and costs incurred in connection with entering into investments classified as lease financing receivables are included in the balance of the net investment and such amounts will be recognized as an adjustment to Income from investments in lease financing receivables, loans and securities over the life of the lease using the effective interest method.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Loans and Securities,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of our investments in loans contain provisions for paid-in-kind (“PIK”) interest, whereby contractual interest is added to the outstanding principal balance of the investment instead of being paid in cash when due. We recognize PIK interest as income in the period earned, with a corresponding increase to the carrying value of the related investment.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our loans on an individual basis to determine whether a loan should be placed on nonaccrual. We place loans on nonaccrual (i) if there is a significant deterioration in credit quality or (ii) once reasonable doubt exists about the collectability of the principal and interest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Leases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Expected losses within our cash flows are determined by estimating the probability of default (“PD”) and loss given default (“LGD”) of our tenants and their parent guarantors, as applicable, over the life of each individual lease or financial investment.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Loans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CECL allowance is recorded as a reduction to our net Investments in leases - sales-type, Investments in leases - financing receivables, Investments in loans and securities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Write-offs of our investments in leases and loans are deducted from the allowance in the period in which they are deemed uncollectible. Recoveries of amounts previously written off are recorded when received. There were no charge-offs or recoveries for the three and nine months ended September 30, 2026 and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 Certain balance sheet items, primarily equity and capital-related accounts, are reflected at the historical exchange rate. Income Statement accounts are translated using the average exchange rate for the period.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certain of our consolidated subsidiaries have intercompany and third-party debt that is denominated in foreign currencies, which are neither our nor our consolidated subsidiaries’ functional currency of USD. When the debt and related operating receivables and/or payables are remeasured to the functional currency of the entity, a gain or loss can result. The resulting adjustment is reflected in Other (losses) gains, net in the Statement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Other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primarily represents sub-lease income related to certain ground and use leases. Under our lease agreements, the tenants are required to pay all costs associated with such ground and use leases and the lease agreements provide for their direct payment to the landlord. This income and the related expenses are recorded on a gross basis in our Statement of Operations as we are the primary obligor under the ground and use leases.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9 - Fair Value</w:t>
      </w:r>
      <w:r>
        <w:rPr>
          <w:rFonts w:ascii="Times New Roman" w:cs="Times New Roman" w:eastAsia="Times New Roman" w:hAnsi="Times New Roman"/>
          <w:sz w:val="18"/>
          <w:szCs w:val="18"/>
          <w:color w:val="auto"/>
        </w:rPr>
        <w:t xml:space="preserve"> for further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our risk management objectives, strategy for undertaking the hedge transaction, and our evaluation of the effectiveness of the hedged transaction.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is recognized in earnings when the hedged transactions affect earnings. Changes in the fair value of our derivative instruments that qualify as hedges are reported as a component of Accumulated other comprehensive income in our Balance Sheet with a corresponding change in Unrealized gain (loss) on cash flow hedges within Other comprehensive income on our Statement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MGM Resorts International (together with, as the context requires, its subsidiaries, “MGM”) and Caesars are the guarantors of all of the lease payment obligations of the tenants under the applicable leases of the properties that they each respectively lease from us. The percentage of our total lease revenue and total contractual rent attributable to MGM and Caesars is presented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420" w:type="dxa"/>
            <w:vAlign w:val="bottom"/>
            <w:gridSpan w:val="4"/>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3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25"/>
        </w:trPr>
        <w:tc>
          <w:tcPr>
            <w:tcW w:w="6220" w:type="dxa"/>
            <w:vAlign w:val="bottom"/>
            <w:gridSpan w:val="2"/>
            <w:shd w:val="clear" w:color="auto" w:fill="CCEEFF"/>
          </w:tcPr>
          <w:p>
            <w:pPr>
              <w:ind w:left="58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MGM</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43"/>
        </w:trPr>
        <w:tc>
          <w:tcPr>
            <w:tcW w:w="6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revenue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Contractual rent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Caesars</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6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Contractual rent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our properties on the Las Vegas Strip generated approximately 48% and 49% of our lease revenues for each of the three and nine months ended September 30, 2026 and 2025, respectively, and 46% and 47% of our total contractual rent for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and nine months ended September 30, 2026, respectively, and 47% of our contractual rent for each of the three and nine months ended September 30, 2025. Other than having two tenants from which we derive and will continue to derive a substantial portion of our revenue and our concentration in the Las Vegas market, we do not believe there are any other significant concentrations of credit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(“ASU 2024-03”) </w:t>
      </w:r>
      <w:r>
        <w:rPr>
          <w:rFonts w:ascii="Times New Roman" w:cs="Times New Roman" w:eastAsia="Times New Roman" w:hAnsi="Times New Roman"/>
          <w:sz w:val="18"/>
          <w:szCs w:val="18"/>
          <w:color w:val="auto"/>
        </w:rPr>
        <w:t>which requires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in the notes to the financial statements on an interim and annual basis. ASU 2024-03 will be effective for the fiscal year ending December 31, 2027, with early adoption permitted. We have elected not to early adopt and are currently evaluating the potential impact of ASU 2024-03 on our financial statements and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Tax Legislation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proposed a global minimum tax of 15% of reported profits (“Pillar Two”) that various jurisdictions around the world have adopted or proposed to adopt in domestic legislation. The OECD has published further guidance that modifies key aspects of the Pillar Two Global Minimum Tax (“GMT”) framework on a prospective basis. The new guidance includes a comprehensive “side-by-side package” that provides a safe harbor for U.S.-parented Multinational Enterprises (“MNEs”). The side-by-side package provides that taxes imposed under the Qualified Domestic Minimum Top-up Tax element of the GMT framework continue to apply to foreign operations of U.S.-parented MNEs. The changes agreed to in the side-by-side package will not be effective until jurisdictions that have implemented the GMT adopt the side-by-side package.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evaluated Pillar Two (including the GMT framework) and, although the current status of the safe harbor for 2026 pursuant to the side-by-side package remains unclear, we do not expect it to have a material impact on our Financial Statements. However, there also remains some uncertainty as to the final Pillar Two rules, including their adoption in each jurisdiction’s law. We will continue to monitor the United States and global legislative actions related to Pillar Two for potential impacts.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Real Estate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Acquisitions and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Gamehost Transaction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24, 2026, we closed on the previously announced transaction to acquire the real estate assets of Deerfoot Inn &amp; Casino, Great Northern Casino and two limited-service hotels that are adjacent to Great Northern Casino (collectively, the “Gamehost Portfolio”) located in Alberta, Canada (the “Gamehost Transaction”), in connection with Pure Casino Entertainment Limited Partnership’s (“PURE”) take-private acquisition (the “PURE Gamehost Acquisition”) of Gamehost Inc. (“Gamehost”), for an aggregate purchase price of C$200.6 million (approximately US$141.0 million based on the exchange rate at the time of the transaction closing). We financed the Gamehost Transaction with a combination of cash on hand and a C$185.0 million (approximately US$130.0 million based on the exchange rate at the time of the transaction closing) draw under our Revolving Credit Facility.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Simultaneous with the closing of the PURE Gamehost Acquisition, the Gamehost Portfolio was added to the existing triple-net master lease agreement between us and PURE (the “PURE Master Lease”) and annual rent increased by C$16.1 million (US$11.3 million based on the exchange rate at the time of the transaction closing). The Gamehost Portfolio rent will escalate at 1.0% on February 1 following the first full 12 months post-closing (consistent with the timing of escalation under the PURE Master Lease), and subsequent escalation will conform to the PURE Master Lease thereafter at the greater of 1.5% or the change in Canadian CPI (capped at 2.5%). Additionally, the term of the PURE Master Lease was extended such that, as of closing of the PURE Gamehost Acquisition, the PURE Master Lease has a full 25 years remaining in the initial lease term, with four 5-year tenant renewal options. The tenant’s obligations under the PURE Master Lease continue to be guaranteed by Indigenous Gaming Partners Inc.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determined that (i) the Gamehost Transaction should be accounted for as an asset acquisition under ASC 805-50 and (ii) the Gamehost Portfolio component of the PURE Master Lease meets the definition of a separate contract under ASC 842. In accordance with this guidance, we are required to separately assess the lease classification apart from the other assets in the PURE Master Lease and determined that the land and building components of the Gamehost Portfolio under the PURE Master Lease meet the definition of a sales-type lease. Accordingly, the Gamehost Portfolio under the PURE Master Lease is accounted for as Investments in leases - sales-type on our Balance Sheet while the existing assets under the PURE Master Lease continue to be accounted for as Investments in leases - financing receivables.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Club Med St. Croix Transaction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15, 2026, we announced the acquisition and planned redevelopment of the Carambola Beach Resort (the “St. Croix Resort”), located in the U.S. Virgin Islands, in association with affiliates of Club Med Group (“Club Med”). Following our acquisition of the St. Croix Resort for $20.3 million, we entered into a triple-net lease with Club Med (the “Club Med Lease”) and have agreed to fund Club Med’s $55.2 million redevelopment of the St. Croix Resort through a build-to-suit structure (collectively with the acquisition, the “Club Med St. Croix Transaction”).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purchase and costs associated with the development and improvement of the asset, which include ongoing funding for improvements, capitalized interest and development fees, are capitalized as incurred and are accounted for as Real estate under development on our Balance Sheet. As the lessee does not have the right to control the use of the property during the development period, lease commencement under ASC 842 has not yet occurred.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Golden Entertainment Transaction</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30, 2026, we closed on the previously announced transaction to acquire 100% of the land, real property and improvements of seven casino properties (the “Golden Portfolio”) from Golden Entertainment, Inc. (“Golden Entertainment”) for $1.15 billion and entered into a triple-net master lease (the “Golden Entertainment Master Lease”) with a newly formed entity (“Golden OpCo”) owned and controlled by Blake L. Sartini, former chairman and chief executive officer of Golden Entertainment (the “Golden Entertainment Transaction”), which entity acquired the operating business of Golden Entertainment in connection with the closing of the transaction.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Entertainment Master Lease has an initial total annual rent of $87.0 million and an initial term of 30 years, with four 5-year tenant renewal options. Rent under the Golden Entertainment Master Lease will escalate annually at 2.0% beginning in Lease Year 3. The obligations of Golden OpCo under the Golden Entertainment Master Lease are guaranteed by a holding company owned and controlled by Mr. Sartini, which owns all of the gaming and operating assets formerly owned by Golden Entertainment, with additional credit support provided by financial covenants within the lease.</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master transaction agreement governing the Golden Entertainment Transaction, former Golden Entertainment shareholders received approximately 24.3 million shares of newly issued VICI stock in exchange for the outstanding shares of Golden Entertainment stock upon closing, which represented an agreed-upon exchange ratio of 0.902 shares of VICI’s common stock per share of Golden Entertainment’s common stock based on VICI’s 10-day volume weighted average price as of November 5, 2025, as well as cash consideration paid by an affiliate of Golden OpCo. In connection with the transaction, we repaid Golden Entertainment’s outstanding $426.0 million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determined that the Golden Entertainment Transaction should be accounted for as an asset acquisition under ASC 805-50, with $1.15 billion of total consideration transferred comprised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5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922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Merger Consideration </w:t>
            </w:r>
            <w:r>
              <w:rPr>
                <w:rFonts w:ascii="Times New Roman" w:cs="Times New Roman" w:eastAsia="Times New Roman" w:hAnsi="Times New Roman"/>
                <w:sz w:val="23"/>
                <w:szCs w:val="23"/>
                <w:i w:val="1"/>
                <w:iCs w:val="1"/>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709,468</w:t>
            </w:r>
          </w:p>
        </w:tc>
      </w:tr>
      <w:tr>
        <w:trPr>
          <w:trHeight w:val="243"/>
        </w:trPr>
        <w:tc>
          <w:tcPr>
            <w:tcW w:w="20" w:type="dxa"/>
            <w:vAlign w:val="bottom"/>
          </w:tcPr>
          <w:p>
            <w:pPr>
              <w:spacing w:after="0"/>
              <w:rPr>
                <w:sz w:val="21"/>
                <w:szCs w:val="21"/>
                <w:color w:val="auto"/>
              </w:rPr>
            </w:pPr>
          </w:p>
        </w:tc>
        <w:tc>
          <w:tcPr>
            <w:tcW w:w="92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Repayment of Golden Entertainment outstanding debt </w:t>
            </w:r>
            <w:r>
              <w:rPr>
                <w:rFonts w:ascii="Times New Roman" w:cs="Times New Roman" w:eastAsia="Times New Roman" w:hAnsi="Times New Roman"/>
                <w:sz w:val="23"/>
                <w:szCs w:val="23"/>
                <w:i w:val="1"/>
                <w:iCs w:val="1"/>
                <w:color w:val="auto"/>
                <w:vertAlign w:val="superscript"/>
              </w:rPr>
              <w:t>(2)</w:t>
            </w:r>
          </w:p>
        </w:tc>
        <w:tc>
          <w:tcPr>
            <w:tcW w:w="4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426,000</w:t>
            </w:r>
          </w:p>
        </w:tc>
      </w:tr>
      <w:tr>
        <w:trPr>
          <w:trHeight w:val="243"/>
        </w:trPr>
        <w:tc>
          <w:tcPr>
            <w:tcW w:w="20" w:type="dxa"/>
            <w:vAlign w:val="bottom"/>
            <w:shd w:val="clear" w:color="auto" w:fill="CCEEFF"/>
          </w:tcPr>
          <w:p>
            <w:pPr>
              <w:spacing w:after="0"/>
              <w:rPr>
                <w:sz w:val="21"/>
                <w:szCs w:val="21"/>
                <w:color w:val="auto"/>
              </w:rPr>
            </w:pPr>
          </w:p>
        </w:tc>
        <w:tc>
          <w:tcPr>
            <w:tcW w:w="92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23"/>
                <w:szCs w:val="23"/>
                <w:i w:val="1"/>
                <w:iCs w:val="1"/>
                <w:color w:val="auto"/>
                <w:vertAlign w:val="superscript"/>
              </w:rPr>
              <w:t>(3)</w:t>
            </w:r>
          </w:p>
        </w:tc>
        <w:tc>
          <w:tcPr>
            <w:tcW w:w="4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r>
      <w:tr>
        <w:trPr>
          <w:trHeight w:val="236"/>
        </w:trPr>
        <w:tc>
          <w:tcPr>
            <w:tcW w:w="2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1,148,698</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firstLine="8"/>
        <w:spacing w:after="0" w:line="241" w:lineRule="auto"/>
        <w:tabs>
          <w:tab w:leader="none" w:pos="204"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the dollar value of approximately 24.3 million shares of VICI common stock, multiplied by the VICI stock price at the time of closing of $29.20 per share, which were issued in exchange for the outstanding shares of Golden Entertainment stock.</w:t>
      </w:r>
    </w:p>
    <w:p>
      <w:pPr>
        <w:ind w:right="20" w:firstLine="8"/>
        <w:spacing w:after="0" w:line="251" w:lineRule="auto"/>
        <w:tabs>
          <w:tab w:leader="none" w:pos="207"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total amount paid to retire Golden Entertainment’s outstanding debt. In connection with the Golden Entertainment Transaction, such amount was repaid in full and the related credit agreements were terminated.</w:t>
      </w:r>
    </w:p>
    <w:p>
      <w:pPr>
        <w:ind w:firstLine="8"/>
        <w:spacing w:after="0" w:line="278" w:lineRule="auto"/>
        <w:tabs>
          <w:tab w:leader="none" w:pos="207"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accordance with ASC 805-50, all direct and incremental costs related to the Golden Entertainment Transaction, primarily related to success-based fees and third-party advisory fees, were included in the consideration transferred.</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assessed the lease classification under ASC 842 and determined the land and building components of the Golden Entertainment Master Lease meet the definition of a sales-type lease. Since we purchased and leased the assets back to an affiliate of the seller under a sale leaseback transaction, control is not considered to have transferred to us under GAAP and accordingly, the Golden Entertainment Master Lease is accounted for as Investments in leases - financing receivables on our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Century Casinos Canada Severance Lease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28, 2026, in connection with Century Casinos, Inc.’s (“Century Casinos”) agreement to sell the operations of Century Mile Racetrack and Century Downs Racetrack (together, the “Century Canada Racinos”), both located in Alberta, Canada, to a subsidiary of Highfield Investment Group, Inc. (“Highfield”), we announced an agreement to enter into (i) a new separate triple-net lease agreement with a subsidiary of Highfield with respect to the real property of the Century Canada Racinos (the “Highfield Master Lease”) and (ii) an amendment to the existing Century Master Lease in order to account for Century Casinos’ divestiture of the operations of the Century Canada Racinos and to reduce the annual base rent under the Century Master Lease by the initial base rent under the Highfield Master Lease. The Highfield Master Lease will have an initial annual base rent of C$10.7 million (approximately US$7.5 million as of the day prior to announcement) and, if closing occurs after January 1, 2027, such base rent shall escalate as provided for in the Century Master Lease on such date. Upon closing, the Highfield Master Lease will begin a new 20-year initial lease term with four 5-year renewal options, with other economic terms substantially similar to the terms for the Canadian assets under the Century Master Lease, including escalation equal to the greater of 1.25% and the change in Canadian CPI (capped at 2.5%) and a minimum capital expenditure requirement equal to 1.0% of annual net revenue at each property. The Highfield Master Lease will be guaranteed by Highfield Investment Group, Inc. The transaction is subject to customary closing conditions and regulatory approvals and is expected to be completed in the fourth quarter of 2026 or the first quarter of 2027.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Northfield Park Severance Lease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21, 2026, we entered into a new triple-net lease agreement (the “Northfield Park Lease”) with an affiliate of funds managed by Clairvest Group Inc. (“Clairvest”) with respect to the real property of MGM Northfield Park, located in Northfield, Ohio (“Northfield Park”), in connection with MGM’s previously announced agreement to sell the operations of Northfield Park to an affiliate of Clairvest. In connection with the closing, we entered into an amendment to the existing MGM Master Lease in order to account for MGM’s divestiture of the operations of Northfield Park and to reduce the annual base rent under the MGM Master Lease by the initial base rent under the Northfield Park Lease. The Northfield Park Lease has an initial annual base rent of $53.0 million. On May 1, 2026, concurrent with the escalation of the MGM Master Lease, the Northfield Park Lease escalated by 2.0%, resulting in an annual base rent of $54.0 million. The Northfield Park Lease has a 25-year lease term with three 10-year tenant renewal options, with other economic terms substantially similar to the MGM Master Lease, including escalation of 2.0% per annum on May 1st each year (with escalation equal to the greater of 2.0% and the change in CPI (capped at 3.0%) beginning at the same time as the MGM Master Lease in 2032) and a minimum capital expenditure requirement equal to 1.0% of annual net revenue. The Northfield Park Lease is guaranteed by an affiliate of funds managed by Clairvest that owns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operations of Northfield Park, with additional credit support provided by financial covenants within the lease.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assessed the lease classification of the land and building components of the Northfield Park Lease and determined it to be a sales-type lease. Accordingly, we reclassified the fair value of the Northfield Park Lease from Investments in leases - financing receivables to Investments in leases - sales-type as of the transaction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Debt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real estate debt investment activity during the nine months ended September 30, 2026: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Name</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Maximum Principal</w:t>
            </w:r>
          </w:p>
        </w:tc>
        <w:tc>
          <w:tcPr>
            <w:tcW w:w="1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00" w:type="dxa"/>
            <w:vAlign w:val="bottom"/>
            <w:vMerge w:val="restart"/>
          </w:tcPr>
          <w:p>
            <w:pPr>
              <w:spacing w:after="0"/>
              <w:rPr>
                <w:sz w:val="17"/>
                <w:szCs w:val="17"/>
                <w:color w:val="auto"/>
              </w:rPr>
            </w:pPr>
          </w:p>
        </w:tc>
        <w:tc>
          <w:tcPr>
            <w:tcW w:w="5580" w:type="dxa"/>
            <w:vAlign w:val="bottom"/>
            <w:vMerge w:val="restart"/>
          </w:tcPr>
          <w:p>
            <w:pPr>
              <w:ind w:left="244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0" w:type="dxa"/>
            <w:vAlign w:val="bottom"/>
          </w:tcPr>
          <w:p>
            <w:pPr>
              <w:spacing w:after="0"/>
              <w:rPr>
                <w:sz w:val="1"/>
                <w:szCs w:val="1"/>
                <w:color w:val="auto"/>
              </w:rPr>
            </w:pPr>
          </w:p>
        </w:tc>
      </w:tr>
      <w:tr>
        <w:trPr>
          <w:trHeight w:val="214"/>
        </w:trPr>
        <w:tc>
          <w:tcPr>
            <w:tcW w:w="2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5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Beverly Hills Loan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Mezzanine</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 experiential lifestyle hub in Beverly Hills, California</w:t>
            </w:r>
          </w:p>
        </w:tc>
        <w:tc>
          <w:tcPr>
            <w:tcW w:w="0" w:type="dxa"/>
            <w:vAlign w:val="bottom"/>
          </w:tcPr>
          <w:p>
            <w:pPr>
              <w:spacing w:after="0"/>
              <w:rPr>
                <w:sz w:val="1"/>
                <w:szCs w:val="1"/>
                <w:color w:val="auto"/>
              </w:rPr>
            </w:pPr>
          </w:p>
        </w:tc>
      </w:tr>
      <w:tr>
        <w:trPr>
          <w:trHeight w:val="18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Chelsea Piers Stamford Loan</w:t>
            </w:r>
          </w:p>
        </w:tc>
        <w:tc>
          <w:tcPr>
            <w:tcW w:w="12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Senior Secured</w:t>
            </w:r>
          </w:p>
        </w:tc>
        <w:tc>
          <w:tcPr>
            <w:tcW w:w="55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Certain equipment of the fitness club in Stamford, Connecticut</w:t>
            </w:r>
          </w:p>
        </w:tc>
        <w:tc>
          <w:tcPr>
            <w:tcW w:w="0" w:type="dxa"/>
            <w:vAlign w:val="bottom"/>
          </w:tcPr>
          <w:p>
            <w:pPr>
              <w:spacing w:after="0"/>
              <w:rPr>
                <w:sz w:val="1"/>
                <w:szCs w:val="1"/>
                <w:color w:val="auto"/>
              </w:rPr>
            </w:pPr>
          </w:p>
        </w:tc>
      </w:tr>
      <w:tr>
        <w:trPr>
          <w:trHeight w:val="148"/>
        </w:trPr>
        <w:tc>
          <w:tcPr>
            <w:tcW w:w="2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Loan</w:t>
            </w:r>
          </w:p>
        </w:tc>
        <w:tc>
          <w:tcPr>
            <w:tcW w:w="5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5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4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Chelsea Piers Jersey City Loan</w:t>
            </w:r>
          </w:p>
        </w:tc>
        <w:tc>
          <w:tcPr>
            <w:tcW w:w="12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Senior Secured</w:t>
            </w:r>
          </w:p>
        </w:tc>
        <w:tc>
          <w:tcPr>
            <w:tcW w:w="55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Certain equipment of the fitness club in Jersey City, New Jersey</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Loan</w:t>
            </w:r>
          </w:p>
        </w:tc>
        <w:tc>
          <w:tcPr>
            <w:tcW w:w="5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5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20" w:type="dxa"/>
            <w:vAlign w:val="bottom"/>
            <w:gridSpan w:val="2"/>
            <w:vMerge w:val="continue"/>
            <w:shd w:val="clear" w:color="auto" w:fill="CCEEFF"/>
          </w:tcPr>
          <w:p>
            <w:pPr>
              <w:spacing w:after="0"/>
              <w:rPr>
                <w:sz w:val="8"/>
                <w:szCs w:val="8"/>
                <w:color w:val="auto"/>
              </w:rPr>
            </w:pPr>
          </w:p>
        </w:tc>
        <w:tc>
          <w:tcPr>
            <w:tcW w:w="5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1,516,000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Beverly Hills Mezzanine Loan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23, 2026, we provided a $1.5 billion mezzanine loan that is subordinate to a $2.8 billion senior loan commitment led by J.P. Morgan as part of the construction financing for One Beverly Hills, a landmark 17.5-acre luxury experiential lifestyle hub in Beverly Hills, California (“One Beverly Hills”). The mezzanine loan represents a $1.05 billion incremental commitment beyond our previous $450.0 million investment in the project, which was repaid in connection with the refinancing. One Beverly Hills is being developed by Cain and will be anchored by Aman Beverly Hills, featuring an Aman Hotel and Aman-branded residences, and includes a full-scale refurbishment of The Beverly Hilton, additional retail, food and beverage offerings, and 10 acres of botanical gardens and open space. Construction of the development has commenced and is expected to be completed in 2028.</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mezzanine loan has an initial term of 4 years with one 12-month extension option, subject to certain conditions, and will be funded over the course of the initial term.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our real estate portfolio consisted of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sales-type, representing our investment in 29 casino assets leased on a triple-net basis to our tenants under eleven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financing receivables, representing our investment in 34 casino assets and 39 other experiential properties leased on a triple-net basis to our tenants under eleven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loans, representing our 20 debt investments in senior secured and mezzanine loans, and preferred equity;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under development, representing our construction in progress in connection with the Club Med St. Croix Transaction;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representing our investment in certain underdeveloped or undeveloped land adjacent to the Las Vegas Strip and non-operating, vacant land parcels.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balances of our real estate portfolio as of September 30, 2026 and December 31,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7"/>
                <w:szCs w:val="17"/>
                <w:color w:val="auto"/>
              </w:rPr>
            </w:pPr>
          </w:p>
        </w:tc>
        <w:tc>
          <w:tcPr>
            <w:tcW w:w="1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0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Investments in leases - sales-type, net </w:t>
            </w:r>
            <w:r>
              <w:rPr>
                <w:rFonts w:ascii="Times New Roman" w:cs="Times New Roman" w:eastAsia="Times New Roman" w:hAnsi="Times New Roman"/>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23,706,563</w:t>
            </w:r>
          </w:p>
        </w:tc>
      </w:tr>
      <w:tr>
        <w:trPr>
          <w:trHeight w:val="243"/>
        </w:trPr>
        <w:tc>
          <w:tcPr>
            <w:tcW w:w="20" w:type="dxa"/>
            <w:vAlign w:val="bottom"/>
            <w:tcBorders>
              <w:bottom w:val="single" w:sz="8" w:color="CCEEFF"/>
            </w:tcBorders>
          </w:tcPr>
          <w:p>
            <w:pPr>
              <w:spacing w:after="0"/>
              <w:rPr>
                <w:sz w:val="21"/>
                <w:szCs w:val="21"/>
                <w:color w:val="auto"/>
              </w:rPr>
            </w:pPr>
          </w:p>
        </w:tc>
        <w:tc>
          <w:tcPr>
            <w:tcW w:w="708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net </w:t>
            </w:r>
            <w:r>
              <w:rPr>
                <w:rFonts w:ascii="Times New Roman" w:cs="Times New Roman" w:eastAsia="Times New Roman" w:hAnsi="Times New Roman"/>
                <w:sz w:val="23"/>
                <w:szCs w:val="23"/>
                <w:i w:val="1"/>
                <w:i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19,235,774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18,697,133</w:t>
            </w:r>
          </w:p>
        </w:tc>
      </w:tr>
      <w:tr>
        <w:trPr>
          <w:trHeight w:val="237"/>
        </w:trPr>
        <w:tc>
          <w:tcPr>
            <w:tcW w:w="20" w:type="dxa"/>
            <w:vAlign w:val="bottom"/>
            <w:shd w:val="clear" w:color="auto" w:fill="CCEEFF"/>
          </w:tcPr>
          <w:p>
            <w:pPr>
              <w:spacing w:after="0"/>
              <w:rPr>
                <w:sz w:val="20"/>
                <w:szCs w:val="20"/>
                <w:color w:val="auto"/>
              </w:rPr>
            </w:pPr>
          </w:p>
        </w:tc>
        <w:tc>
          <w:tcPr>
            <w:tcW w:w="7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investments in leases, net</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43,606,346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42,403,696</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loans and securities, net</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2,525,457</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under development</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7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148,002</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real estate portfolio</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46,763,857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45,077,155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firstLine="8"/>
        <w:spacing w:after="0" w:line="263" w:lineRule="auto"/>
        <w:tabs>
          <w:tab w:leader="none" w:pos="215"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estimated residual values of the leased property (not guaranteed) under the respective lease agreements, which has a material impact on the determination of the rate implicit in the lease and the lease classification.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leases and lease financing receivables: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sales-type leases – fixed rent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528,004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503,040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1,556,716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1,505,431</w:t>
            </w:r>
          </w:p>
        </w:tc>
      </w:tr>
      <w:tr>
        <w:trPr>
          <w:trHeight w:val="243"/>
        </w:trPr>
        <w:tc>
          <w:tcPr>
            <w:tcW w:w="20" w:type="dxa"/>
            <w:vAlign w:val="bottom"/>
          </w:tcPr>
          <w:p>
            <w:pPr>
              <w:spacing w:after="0"/>
              <w:rPr>
                <w:sz w:val="21"/>
                <w:szCs w:val="21"/>
                <w:color w:val="auto"/>
              </w:rPr>
            </w:pPr>
          </w:p>
        </w:tc>
        <w:tc>
          <w:tcPr>
            <w:tcW w:w="548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Income from sales-type leases – contingent rent </w:t>
            </w:r>
            <w:r>
              <w:rPr>
                <w:rFonts w:ascii="Times New Roman" w:cs="Times New Roman" w:eastAsia="Times New Roman" w:hAnsi="Times New Roman"/>
                <w:sz w:val="23"/>
                <w:szCs w:val="23"/>
                <w:i w:val="1"/>
                <w:iCs w:val="1"/>
                <w:color w:val="auto"/>
                <w:vertAlign w:val="superscript"/>
              </w:rPr>
              <w:t>(1)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85,286</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lease financing receivables – fixed rent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400,937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1,193,115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1,150,865</w:t>
            </w:r>
          </w:p>
        </w:tc>
      </w:tr>
      <w:tr>
        <w:trPr>
          <w:trHeight w:val="243"/>
        </w:trPr>
        <w:tc>
          <w:tcPr>
            <w:tcW w:w="2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Income from lease financing receivables – contingent rent </w:t>
            </w:r>
            <w:r>
              <w:rPr>
                <w:rFonts w:ascii="Times New Roman" w:cs="Times New Roman" w:eastAsia="Times New Roman" w:hAnsi="Times New Roman"/>
                <w:sz w:val="23"/>
                <w:szCs w:val="23"/>
                <w:i w:val="1"/>
                <w:i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r>
      <w:tr>
        <w:trPr>
          <w:trHeight w:val="237"/>
        </w:trPr>
        <w:tc>
          <w:tcPr>
            <w:tcW w:w="2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leasing revenue</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960,253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2,843,457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2,747,275</w:t>
            </w:r>
          </w:p>
        </w:tc>
      </w:tr>
      <w:tr>
        <w:trPr>
          <w:trHeight w:val="243"/>
        </w:trPr>
        <w:tc>
          <w:tcPr>
            <w:tcW w:w="2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(2)</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(131,964)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(401,209)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(393,370)</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leasing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jc w:val="both"/>
        <w:ind w:firstLine="8"/>
        <w:spacing w:after="0" w:line="254" w:lineRule="auto"/>
        <w:tabs>
          <w:tab w:leader="none" w:pos="211"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is recognized as earned, both in accordance with ASC 842.</w:t>
      </w:r>
    </w:p>
    <w:p>
      <w:pPr>
        <w:spacing w:after="0" w:line="1" w:lineRule="exact"/>
        <w:rPr>
          <w:rFonts w:ascii="Times New Roman" w:cs="Times New Roman" w:eastAsia="Times New Roman" w:hAnsi="Times New Roman"/>
          <w:sz w:val="14"/>
          <w:szCs w:val="14"/>
          <w:i w:val="1"/>
          <w:iCs w:val="1"/>
          <w:color w:val="auto"/>
        </w:rPr>
      </w:pPr>
    </w:p>
    <w:p>
      <w:pPr>
        <w:ind w:firstLine="8"/>
        <w:spacing w:after="0" w:line="283" w:lineRule="auto"/>
        <w:tabs>
          <w:tab w:leader="none" w:pos="204"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the minimum lease payments from sales-type leases and lease financing receivables in order to recognize income on an effective interest basis at a constant rate of return over the term of the leases.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2026, minimum lease payments owed to us for each of the five succeeding years and thereafter under sales-type leases and our leases accounted for as financing receivables,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Minimum Lease Payments </w:t>
            </w:r>
            <w:r>
              <w:rPr>
                <w:rFonts w:ascii="Times New Roman" w:cs="Times New Roman" w:eastAsia="Times New Roman" w:hAnsi="Times New Roman"/>
                <w:sz w:val="21"/>
                <w:szCs w:val="21"/>
                <w:b w:val="1"/>
                <w:bCs w:val="1"/>
                <w:i w:val="1"/>
                <w:iCs w:val="1"/>
                <w:color w:val="auto"/>
                <w:vertAlign w:val="superscript"/>
              </w:rPr>
              <w:t>(1) (2)</w:t>
            </w: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4"/>
          </w:tcPr>
          <w:p>
            <w:pPr>
              <w:jc w:val="right"/>
              <w:ind w:right="1431"/>
              <w:spacing w:after="0"/>
              <w:rPr>
                <w:sz w:val="20"/>
                <w:szCs w:val="20"/>
                <w:color w:val="auto"/>
              </w:rPr>
            </w:pPr>
            <w:r>
              <w:rPr>
                <w:rFonts w:ascii="Times New Roman" w:cs="Times New Roman" w:eastAsia="Times New Roman" w:hAnsi="Times New Roman"/>
                <w:sz w:val="16"/>
                <w:szCs w:val="16"/>
                <w:b w:val="1"/>
                <w:bCs w:val="1"/>
                <w:color w:val="auto"/>
              </w:rPr>
              <w:t>Investments in Leases</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8"/>
                <w:szCs w:val="18"/>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Sales-Type</w:t>
            </w: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Financing Receivables</w:t>
            </w:r>
          </w:p>
        </w:tc>
        <w:tc>
          <w:tcPr>
            <w:tcW w:w="520" w:type="dxa"/>
            <w:vAlign w:val="bottom"/>
          </w:tcPr>
          <w:p>
            <w:pPr>
              <w:spacing w:after="0"/>
              <w:rPr>
                <w:sz w:val="18"/>
                <w:szCs w:val="18"/>
                <w:color w:val="auto"/>
              </w:rPr>
            </w:pPr>
          </w:p>
        </w:tc>
        <w:tc>
          <w:tcPr>
            <w:tcW w:w="170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329,434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799,767</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1,333,755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3,233,884</w:t>
            </w:r>
          </w:p>
        </w:tc>
      </w:tr>
      <w:tr>
        <w:trPr>
          <w:trHeight w:val="24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1,358,364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3,288,385</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1,384,033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3,344,987</w:t>
            </w:r>
          </w:p>
        </w:tc>
      </w:tr>
      <w:tr>
        <w:trPr>
          <w:trHeight w:val="24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5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1,992,601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1,410,204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3,402,805</w:t>
            </w:r>
          </w:p>
        </w:tc>
      </w:tr>
      <w:tr>
        <w:trPr>
          <w:trHeight w:val="243"/>
        </w:trPr>
        <w:tc>
          <w:tcPr>
            <w:tcW w:w="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80,429,518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90,377,716</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170,807,234</w:t>
            </w:r>
          </w:p>
        </w:tc>
      </w:tr>
      <w:tr>
        <w:trPr>
          <w:trHeight w:val="237"/>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4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88,683,556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96,193,506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184,877,062</w:t>
            </w:r>
          </w:p>
        </w:tc>
      </w:tr>
      <w:tr>
        <w:trPr>
          <w:trHeight w:val="243"/>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initial direct costs</w:t>
            </w:r>
          </w:p>
        </w:tc>
        <w:tc>
          <w:tcPr>
            <w:tcW w:w="4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93,147</w:t>
            </w:r>
          </w:p>
        </w:tc>
      </w:tr>
      <w:tr>
        <w:trPr>
          <w:trHeight w:val="243"/>
        </w:trPr>
        <w:tc>
          <w:tcPr>
            <w:tcW w:w="20" w:type="dxa"/>
            <w:vAlign w:val="bottom"/>
            <w:shd w:val="clear" w:color="auto" w:fill="CCEEFF"/>
          </w:tcPr>
          <w:p>
            <w:pPr>
              <w:spacing w:after="0"/>
              <w:rPr>
                <w:sz w:val="21"/>
                <w:szCs w:val="21"/>
                <w:color w:val="auto"/>
              </w:rPr>
            </w:pPr>
          </w:p>
        </w:tc>
        <w:tc>
          <w:tcPr>
            <w:tcW w:w="4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Less: Present value of lease payments </w:t>
            </w:r>
            <w:r>
              <w:rPr>
                <w:rFonts w:ascii="Times New Roman" w:cs="Times New Roman" w:eastAsia="Times New Roman" w:hAnsi="Times New Roman"/>
                <w:sz w:val="23"/>
                <w:szCs w:val="23"/>
                <w:i w:val="1"/>
                <w:iCs w:val="1"/>
                <w:color w:val="auto"/>
                <w:vertAlign w:val="superscript"/>
              </w:rPr>
              <w:t>(3)</w:t>
            </w: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(63,075,416)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(76,121,157)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(139,196,573)</w:t>
            </w:r>
          </w:p>
        </w:tc>
      </w:tr>
      <w:tr>
        <w:trPr>
          <w:trHeight w:val="243"/>
        </w:trPr>
        <w:tc>
          <w:tcPr>
            <w:tcW w:w="2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(1,282,396)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(884,894)</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(2,167,290)</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leases,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19,235,774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43,606,346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Minimum lease payments do not include contingent rent, as discussed above, that may be received under the lease agreements.</w:t>
      </w:r>
    </w:p>
    <w:p>
      <w:pPr>
        <w:spacing w:after="0" w:line="11" w:lineRule="exact"/>
        <w:rPr>
          <w:rFonts w:ascii="Times New Roman" w:cs="Times New Roman" w:eastAsia="Times New Roman" w:hAnsi="Times New Roman"/>
          <w:sz w:val="14"/>
          <w:szCs w:val="14"/>
          <w:i w:val="1"/>
          <w:iCs w:val="1"/>
          <w:color w:val="auto"/>
        </w:rPr>
      </w:pPr>
    </w:p>
    <w:p>
      <w:pPr>
        <w:ind w:firstLine="8"/>
        <w:spacing w:after="0" w:line="261" w:lineRule="auto"/>
        <w:tabs>
          <w:tab w:leader="none" w:pos="208"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minimum lease payments include the non-cancelable lease term and any tenant renewal options that we determined were reasonably assured, consistent with our conclusions under ASC 842 and ASC 310.</w:t>
      </w:r>
    </w:p>
    <w:p>
      <w:pPr>
        <w:ind w:left="220" w:hanging="212"/>
        <w:spacing w:after="0"/>
        <w:tabs>
          <w:tab w:leader="none" w:pos="2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present value of lease payments includes the unguaranteed residual value of $16.9 billion</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Provisions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we owned 103 assets leased under 20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As of September 30, 2026, our lease agreements had a weighted average lease term based on contractual rent, including extension options, of approximately 39.4 years.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lease provisions of our leases with Caesars and MGM, our two most significant tenants (each, as may be amended from time to time, and each individually, as defined in the respective header):</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92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Caesars Regional Master Lease</w:t>
            </w:r>
          </w:p>
        </w:tc>
        <w:tc>
          <w:tcPr>
            <w:tcW w:w="2160" w:type="dxa"/>
            <w:vAlign w:val="bottom"/>
          </w:tcPr>
          <w:p>
            <w:pPr>
              <w:spacing w:after="0"/>
              <w:rPr>
                <w:sz w:val="14"/>
                <w:szCs w:val="14"/>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Caesars Las Vegas</w:t>
            </w:r>
          </w:p>
        </w:tc>
        <w:tc>
          <w:tcPr>
            <w:tcW w:w="196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MGM Grand/</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Provision</w:t>
            </w:r>
          </w:p>
        </w:tc>
        <w:tc>
          <w:tcPr>
            <w:tcW w:w="2920" w:type="dxa"/>
            <w:vAlign w:val="bottom"/>
            <w:vMerge w:val="continue"/>
          </w:tcPr>
          <w:p>
            <w:pPr>
              <w:spacing w:after="0"/>
              <w:rPr>
                <w:sz w:val="4"/>
                <w:szCs w:val="4"/>
                <w:color w:val="auto"/>
              </w:rPr>
            </w:pPr>
          </w:p>
        </w:tc>
        <w:tc>
          <w:tcPr>
            <w:tcW w:w="21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MGM Master Lease</w:t>
            </w:r>
          </w:p>
        </w:tc>
        <w:tc>
          <w:tcPr>
            <w:tcW w:w="2280" w:type="dxa"/>
            <w:vAlign w:val="bottom"/>
            <w:vMerge w:val="continue"/>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580" w:type="dxa"/>
            <w:vAlign w:val="bottom"/>
            <w:gridSpan w:val="2"/>
            <w:vMerge w:val="continue"/>
          </w:tcPr>
          <w:p>
            <w:pPr>
              <w:spacing w:after="0"/>
              <w:rPr>
                <w:sz w:val="18"/>
                <w:szCs w:val="18"/>
                <w:color w:val="auto"/>
              </w:rPr>
            </w:pPr>
          </w:p>
        </w:tc>
        <w:tc>
          <w:tcPr>
            <w:tcW w:w="292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and Joliet Lease</w:t>
            </w:r>
          </w:p>
        </w:tc>
        <w:tc>
          <w:tcPr>
            <w:tcW w:w="2160" w:type="dxa"/>
            <w:vAlign w:val="bottom"/>
            <w:vMerge w:val="continue"/>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Master Lease</w:t>
            </w:r>
          </w:p>
        </w:tc>
        <w:tc>
          <w:tcPr>
            <w:tcW w:w="196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Mandalay Bay Lease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Initial term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Initial term maturity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Renewal terms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lease year</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annual rent</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Annual escalator </w:t>
      </w:r>
      <w:r>
        <w:rPr>
          <w:rFonts w:ascii="Times New Roman" w:cs="Times New Roman" w:eastAsia="Times New Roman" w:hAnsi="Times New Roman"/>
          <w:sz w:val="23"/>
          <w:szCs w:val="23"/>
          <w:i w:val="1"/>
          <w:iCs w:val="1"/>
          <w:color w:val="auto"/>
          <w:vertAlign w:val="superscript"/>
        </w:rPr>
        <w:t>(3)</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Variable rent adjustment</w:t>
      </w:r>
    </w:p>
    <w:p>
      <w:pPr>
        <w:ind w:left="20"/>
        <w:spacing w:after="0"/>
        <w:rPr>
          <w:sz w:val="20"/>
          <w:szCs w:val="20"/>
          <w:color w:val="auto"/>
        </w:rPr>
      </w:pPr>
      <w:r>
        <w:rPr>
          <w:rFonts w:ascii="Times New Roman" w:cs="Times New Roman" w:eastAsia="Times New Roman" w:hAnsi="Times New Roman"/>
          <w:sz w:val="12"/>
          <w:szCs w:val="12"/>
          <w:i w:val="1"/>
          <w:iCs w:val="1"/>
          <w:color w:val="auto"/>
        </w:rPr>
        <w:t>(4)</w:t>
      </w:r>
    </w:p>
    <w:p>
      <w:pPr>
        <w:spacing w:after="0" w:line="200" w:lineRule="exact"/>
        <w:rPr>
          <w:sz w:val="20"/>
          <w:szCs w:val="20"/>
          <w:color w:val="auto"/>
        </w:rPr>
      </w:pPr>
    </w:p>
    <w:p>
      <w:pPr>
        <w:spacing w:after="0" w:line="274"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Variable rent adjustment calculation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0" w:right="1600" w:hanging="10"/>
        <w:spacing w:after="0" w:line="298" w:lineRule="auto"/>
        <w:tabs>
          <w:tab w:leader="none" w:pos="2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7/31/2035</w:t>
      </w:r>
    </w:p>
    <w:p>
      <w:pPr>
        <w:ind w:left="1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Four, five-year terms</w:t>
      </w:r>
    </w:p>
    <w:p>
      <w:pPr>
        <w:spacing w:after="0" w:line="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11/1/25 - 10/31/26</w:t>
      </w:r>
    </w:p>
    <w:p>
      <w:pPr>
        <w:ind w:left="10"/>
        <w:spacing w:after="0"/>
        <w:rPr>
          <w:sz w:val="20"/>
          <w:szCs w:val="20"/>
          <w:color w:val="auto"/>
        </w:rPr>
      </w:pPr>
      <w:r>
        <w:rPr>
          <w:rFonts w:ascii="Times New Roman" w:cs="Times New Roman" w:eastAsia="Times New Roman" w:hAnsi="Times New Roman"/>
          <w:sz w:val="18"/>
          <w:szCs w:val="18"/>
          <w:color w:val="auto"/>
        </w:rPr>
        <w:t>(Lease Year 9)</w:t>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 xml:space="preserve">$740,548 </w:t>
      </w:r>
      <w:r>
        <w:rPr>
          <w:rFonts w:ascii="Times New Roman" w:cs="Times New Roman" w:eastAsia="Times New Roman" w:hAnsi="Times New Roman"/>
          <w:sz w:val="23"/>
          <w:szCs w:val="23"/>
          <w:i w:val="1"/>
          <w:iCs w:val="1"/>
          <w:color w:val="auto"/>
          <w:vertAlign w:val="superscript"/>
        </w:rPr>
        <w:t>(1)</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&gt; 2% / change in CPI</w:t>
      </w:r>
    </w:p>
    <w:p>
      <w:pPr>
        <w:spacing w:after="0" w:line="302" w:lineRule="exact"/>
        <w:rPr>
          <w:sz w:val="20"/>
          <w:szCs w:val="20"/>
          <w:color w:val="auto"/>
        </w:rPr>
      </w:pPr>
    </w:p>
    <w:p>
      <w:pPr>
        <w:ind w:left="10" w:right="60"/>
        <w:spacing w:after="0" w:line="239" w:lineRule="auto"/>
        <w:rPr>
          <w:sz w:val="20"/>
          <w:szCs w:val="20"/>
          <w:color w:val="auto"/>
        </w:rPr>
      </w:pPr>
      <w:r>
        <w:rPr>
          <w:rFonts w:ascii="Times New Roman" w:cs="Times New Roman" w:eastAsia="Times New Roman" w:hAnsi="Times New Roman"/>
          <w:sz w:val="18"/>
          <w:szCs w:val="18"/>
          <w:b w:val="1"/>
          <w:bCs w:val="1"/>
          <w:color w:val="auto"/>
        </w:rPr>
        <w:t>Years 11 &amp; 16</w:t>
      </w:r>
      <w:r>
        <w:rPr>
          <w:rFonts w:ascii="Times New Roman" w:cs="Times New Roman" w:eastAsia="Times New Roman" w:hAnsi="Times New Roman"/>
          <w:sz w:val="18"/>
          <w:szCs w:val="18"/>
          <w:color w:val="auto"/>
        </w:rPr>
        <w:t>: 80% base rent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 variable rent</w:t>
      </w:r>
    </w:p>
    <w:p>
      <w:pPr>
        <w:spacing w:after="0" w:line="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4% of revenue</w:t>
      </w:r>
    </w:p>
    <w:p>
      <w:pPr>
        <w:ind w:left="10"/>
        <w:spacing w:after="0" w:line="219" w:lineRule="auto"/>
        <w:rPr>
          <w:sz w:val="20"/>
          <w:szCs w:val="20"/>
          <w:color w:val="auto"/>
        </w:rPr>
      </w:pPr>
      <w:r>
        <w:rPr>
          <w:rFonts w:ascii="Times New Roman" w:cs="Times New Roman" w:eastAsia="Times New Roman" w:hAnsi="Times New Roman"/>
          <w:sz w:val="18"/>
          <w:szCs w:val="18"/>
          <w:u w:val="single" w:color="auto"/>
          <w:color w:val="auto"/>
        </w:rPr>
        <w:t>increase/decrease:</w:t>
      </w:r>
    </w:p>
    <w:p>
      <w:pPr>
        <w:ind w:left="10"/>
        <w:spacing w:after="0" w:line="203" w:lineRule="auto"/>
        <w:rPr>
          <w:sz w:val="20"/>
          <w:szCs w:val="20"/>
          <w:color w:val="auto"/>
        </w:rPr>
      </w:pPr>
      <w:r>
        <w:rPr>
          <w:rFonts w:ascii="Times New Roman" w:cs="Times New Roman" w:eastAsia="Times New Roman" w:hAnsi="Times New Roman"/>
          <w:sz w:val="18"/>
          <w:szCs w:val="18"/>
          <w:b w:val="1"/>
          <w:bCs w:val="1"/>
          <w:color w:val="auto"/>
        </w:rPr>
        <w:t>Year 11</w:t>
      </w:r>
      <w:r>
        <w:rPr>
          <w:rFonts w:ascii="Times New Roman" w:cs="Times New Roman" w:eastAsia="Times New Roman" w:hAnsi="Times New Roman"/>
          <w:sz w:val="18"/>
          <w:szCs w:val="18"/>
          <w:color w:val="auto"/>
        </w:rPr>
        <w:t>: Avg. of years 8-10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avg. of years 5-7</w:t>
      </w:r>
    </w:p>
    <w:p>
      <w:pPr>
        <w:spacing w:after="0" w:line="1" w:lineRule="exact"/>
        <w:rPr>
          <w:sz w:val="20"/>
          <w:szCs w:val="20"/>
          <w:color w:val="auto"/>
        </w:rPr>
      </w:pPr>
    </w:p>
    <w:p>
      <w:pPr>
        <w:ind w:left="10" w:right="220"/>
        <w:spacing w:after="0" w:line="233" w:lineRule="auto"/>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avg. of years 8-10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220" w:firstLine="7"/>
        <w:spacing w:after="0" w:line="281" w:lineRule="auto"/>
        <w:tabs>
          <w:tab w:leader="none" w:pos="2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4/30/2047</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ten-year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-136525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5/1/26 - 4/30/27</w:t>
      </w:r>
    </w:p>
    <w:p>
      <w:pPr>
        <w:spacing w:after="0"/>
        <w:rPr>
          <w:sz w:val="20"/>
          <w:szCs w:val="20"/>
          <w:color w:val="auto"/>
        </w:rPr>
      </w:pPr>
      <w:r>
        <w:rPr>
          <w:rFonts w:ascii="Times New Roman" w:cs="Times New Roman" w:eastAsia="Times New Roman" w:hAnsi="Times New Roman"/>
          <w:sz w:val="18"/>
          <w:szCs w:val="18"/>
          <w:color w:val="auto"/>
        </w:rPr>
        <w:t>(Lease Year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13335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$736,158 </w:t>
      </w:r>
      <w:r>
        <w:rPr>
          <w:rFonts w:ascii="Times New Roman" w:cs="Times New Roman" w:eastAsia="Times New Roman" w:hAnsi="Times New Roman"/>
          <w:sz w:val="23"/>
          <w:szCs w:val="23"/>
          <w:i w:val="1"/>
          <w:iCs w:val="1"/>
          <w:color w:val="auto"/>
          <w:vertAlign w:val="superscript"/>
        </w:rPr>
        <w:t>(2)</w:t>
      </w:r>
    </w:p>
    <w:p>
      <w:pPr>
        <w:spacing w:after="0" w:line="4"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Lease years 2-10 - 2% Lease years 11-end of term</w:t>
      </w:r>
    </w:p>
    <w:p>
      <w:pPr>
        <w:spacing w:after="0" w:line="1" w:lineRule="exact"/>
        <w:rPr>
          <w:sz w:val="20"/>
          <w:szCs w:val="20"/>
          <w:color w:val="auto"/>
        </w:rPr>
      </w:pPr>
    </w:p>
    <w:p>
      <w:pPr>
        <w:ind w:right="300" w:firstLine="7"/>
        <w:spacing w:after="0" w:line="226" w:lineRule="auto"/>
        <w:tabs>
          <w:tab w:leader="none" w:pos="1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 2% / change in CPI (capped at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0</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580" w:firstLine="1"/>
        <w:spacing w:after="0" w:line="281" w:lineRule="auto"/>
        <w:tabs>
          <w:tab w:leader="none" w:pos="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7/31/2035</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five-year terms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11/1/25 - 10/31/26</w:t>
      </w:r>
    </w:p>
    <w:p>
      <w:pPr>
        <w:spacing w:after="0"/>
        <w:rPr>
          <w:sz w:val="20"/>
          <w:szCs w:val="20"/>
          <w:color w:val="auto"/>
        </w:rPr>
      </w:pPr>
      <w:r>
        <w:rPr>
          <w:rFonts w:ascii="Times New Roman" w:cs="Times New Roman" w:eastAsia="Times New Roman" w:hAnsi="Times New Roman"/>
          <w:sz w:val="18"/>
          <w:szCs w:val="18"/>
          <w:color w:val="auto"/>
        </w:rPr>
        <w:t>(Lease Year 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$505,678</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 2% / change in CPI</w:t>
      </w:r>
    </w:p>
    <w:p>
      <w:pPr>
        <w:spacing w:after="0" w:line="30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b w:val="1"/>
          <w:bCs w:val="1"/>
          <w:color w:val="auto"/>
        </w:rPr>
        <w:t>Years 11 &amp; 16</w:t>
      </w:r>
      <w:r>
        <w:rPr>
          <w:rFonts w:ascii="Times New Roman" w:cs="Times New Roman" w:eastAsia="Times New Roman" w:hAnsi="Times New Roman"/>
          <w:sz w:val="18"/>
          <w:szCs w:val="18"/>
          <w:color w:val="auto"/>
        </w:rPr>
        <w:t>: 80% base rent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 variable rent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of revenue</w:t>
      </w:r>
    </w:p>
    <w:p>
      <w:pPr>
        <w:spacing w:after="0" w:line="219" w:lineRule="auto"/>
        <w:rPr>
          <w:sz w:val="20"/>
          <w:szCs w:val="20"/>
          <w:color w:val="auto"/>
        </w:rPr>
      </w:pPr>
      <w:r>
        <w:rPr>
          <w:rFonts w:ascii="Times New Roman" w:cs="Times New Roman" w:eastAsia="Times New Roman" w:hAnsi="Times New Roman"/>
          <w:sz w:val="18"/>
          <w:szCs w:val="18"/>
          <w:u w:val="single" w:color="auto"/>
          <w:color w:val="auto"/>
        </w:rPr>
        <w:t>increase/decrease:</w:t>
      </w:r>
    </w:p>
    <w:p>
      <w:pPr>
        <w:spacing w:after="0" w:line="203" w:lineRule="auto"/>
        <w:rPr>
          <w:sz w:val="20"/>
          <w:szCs w:val="20"/>
          <w:color w:val="auto"/>
        </w:rPr>
      </w:pPr>
      <w:r>
        <w:rPr>
          <w:rFonts w:ascii="Times New Roman" w:cs="Times New Roman" w:eastAsia="Times New Roman" w:hAnsi="Times New Roman"/>
          <w:sz w:val="18"/>
          <w:szCs w:val="18"/>
          <w:b w:val="1"/>
          <w:bCs w:val="1"/>
          <w:color w:val="auto"/>
        </w:rPr>
        <w:t>Year 11</w:t>
      </w:r>
      <w:r>
        <w:rPr>
          <w:rFonts w:ascii="Times New Roman" w:cs="Times New Roman" w:eastAsia="Times New Roman" w:hAnsi="Times New Roman"/>
          <w:sz w:val="18"/>
          <w:szCs w:val="18"/>
          <w:color w:val="auto"/>
        </w:rPr>
        <w:t>: Avg. of years 8-10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avg. of years 5-7</w:t>
      </w:r>
    </w:p>
    <w:p>
      <w:pPr>
        <w:spacing w:after="0" w:line="1"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avg. of years 8-10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8" w:right="1360" w:hanging="8"/>
        <w:spacing w:after="0" w:line="298" w:lineRule="auto"/>
        <w:tabs>
          <w:tab w:leader="none" w:pos="23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2/28/2050</w:t>
      </w:r>
    </w:p>
    <w:p>
      <w:pPr>
        <w:ind w:left="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Two, ten-year terms</w:t>
      </w:r>
    </w:p>
    <w:p>
      <w:pPr>
        <w:spacing w:after="0" w:line="36" w:lineRule="exact"/>
        <w:rPr>
          <w:sz w:val="20"/>
          <w:szCs w:val="20"/>
          <w:color w:val="auto"/>
        </w:rPr>
      </w:pPr>
    </w:p>
    <w:p>
      <w:pPr>
        <w:ind w:left="8" w:right="20"/>
        <w:spacing w:after="0" w:line="237" w:lineRule="auto"/>
        <w:rPr>
          <w:sz w:val="20"/>
          <w:szCs w:val="20"/>
          <w:color w:val="auto"/>
        </w:rPr>
      </w:pPr>
      <w:r>
        <w:rPr>
          <w:rFonts w:ascii="Times New Roman" w:cs="Times New Roman" w:eastAsia="Times New Roman" w:hAnsi="Times New Roman"/>
          <w:sz w:val="18"/>
          <w:szCs w:val="18"/>
          <w:color w:val="auto"/>
        </w:rPr>
        <w:t>3/1/26 - 2/28/27 (Lease Year 7)</w:t>
      </w:r>
    </w:p>
    <w:p>
      <w:pPr>
        <w:spacing w:after="0" w:line="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$328,839</w:t>
      </w:r>
    </w:p>
    <w:p>
      <w:pPr>
        <w:spacing w:after="0" w:line="36" w:lineRule="exact"/>
        <w:rPr>
          <w:sz w:val="20"/>
          <w:szCs w:val="20"/>
          <w:color w:val="auto"/>
        </w:rPr>
      </w:pPr>
    </w:p>
    <w:p>
      <w:pPr>
        <w:ind w:left="8" w:right="120"/>
        <w:spacing w:after="0" w:line="222" w:lineRule="auto"/>
        <w:rPr>
          <w:sz w:val="20"/>
          <w:szCs w:val="20"/>
          <w:color w:val="auto"/>
        </w:rPr>
      </w:pPr>
      <w:r>
        <w:rPr>
          <w:rFonts w:ascii="Times New Roman" w:cs="Times New Roman" w:eastAsia="Times New Roman" w:hAnsi="Times New Roman"/>
          <w:sz w:val="18"/>
          <w:szCs w:val="18"/>
          <w:color w:val="auto"/>
        </w:rPr>
        <w:t>Lease years 2-15 - 2% Lease years 16-end of term</w:t>
      </w:r>
    </w:p>
    <w:p>
      <w:pPr>
        <w:spacing w:after="0" w:line="2" w:lineRule="exact"/>
        <w:rPr>
          <w:sz w:val="20"/>
          <w:szCs w:val="20"/>
          <w:color w:val="auto"/>
        </w:rPr>
      </w:pPr>
    </w:p>
    <w:p>
      <w:pPr>
        <w:ind w:left="8" w:right="460"/>
        <w:spacing w:after="0" w:line="226" w:lineRule="auto"/>
        <w:rPr>
          <w:sz w:val="20"/>
          <w:szCs w:val="20"/>
          <w:color w:val="auto"/>
        </w:rPr>
      </w:pPr>
      <w:r>
        <w:rPr>
          <w:rFonts w:ascii="Times New Roman" w:cs="Times New Roman" w:eastAsia="Times New Roman" w:hAnsi="Times New Roman"/>
          <w:sz w:val="18"/>
          <w:szCs w:val="18"/>
          <w:color w:val="auto"/>
        </w:rPr>
        <w:t>– &gt;2% / change in CPI (capped at 3%)</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695" w:lineRule="exact"/>
        <w:rPr>
          <w:sz w:val="20"/>
          <w:szCs w:val="20"/>
          <w:color w:val="auto"/>
        </w:rPr>
      </w:pPr>
    </w:p>
    <w:p>
      <w:pPr>
        <w:sectPr>
          <w:pgSz w:w="11900" w:h="16838" w:orient="portrait"/>
          <w:cols w:equalWidth="0" w:num="5">
            <w:col w:w="1780" w:space="190"/>
            <w:col w:w="2330" w:space="160"/>
            <w:col w:w="1960" w:space="220"/>
            <w:col w:w="2320" w:space="192"/>
            <w:col w:w="2088"/>
          </w:cols>
          <w:pgMar w:left="320" w:top="283" w:right="339" w:bottom="1440" w:gutter="0" w:footer="0" w:header="0"/>
          <w:type w:val="continuous"/>
        </w:sectPr>
      </w:pPr>
    </w:p>
    <w:p>
      <w:pPr>
        <w:ind w:firstLine="8"/>
        <w:spacing w:after="0" w:line="231" w:lineRule="auto"/>
        <w:tabs>
          <w:tab w:leader="none" w:pos="216"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$730.9 million.</w:t>
      </w:r>
    </w:p>
    <w:p>
      <w:pPr>
        <w:ind w:firstLine="8"/>
        <w:spacing w:after="0" w:line="231" w:lineRule="auto"/>
        <w:tabs>
          <w:tab w:leader="none" w:pos="207"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April 21, 2026, we entered into an amendment to the existing MGM Master Lease in order to account for MGM’s divestiture of the operations of Northfield Park and to reduce the annual base rent under the MGM Master Lease by the initial base rent under the Northfield Park Lease of $53.0 million.</w:t>
      </w:r>
    </w:p>
    <w:p>
      <w:pPr>
        <w:ind w:left="220" w:hanging="212"/>
        <w:spacing w:after="0" w:line="221" w:lineRule="auto"/>
        <w:tabs>
          <w:tab w:leader="none" w:pos="2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Any amounts representing rents in excess of the CPI floors specified above are considered contingent rent in accordance with GAAP.</w:t>
      </w:r>
    </w:p>
    <w:p>
      <w:pPr>
        <w:ind w:left="220" w:hanging="212"/>
        <w:spacing w:after="0"/>
        <w:tabs>
          <w:tab w:leader="none" w:pos="22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Variable rent is not subject to the annual escalator.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Requirements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Caesars Regional</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Caesars Las Vegas</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MGM Grand/ Mandalay</w:t>
            </w:r>
          </w:p>
        </w:tc>
        <w:tc>
          <w:tcPr>
            <w:tcW w:w="1620" w:type="dxa"/>
            <w:vAlign w:val="bottom"/>
          </w:tcPr>
          <w:p>
            <w:pPr>
              <w:spacing w:after="0"/>
              <w:rPr>
                <w:sz w:val="18"/>
                <w:szCs w:val="18"/>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 Other Gaming</w:t>
            </w:r>
          </w:p>
        </w:tc>
        <w:tc>
          <w:tcPr>
            <w:tcW w:w="0" w:type="dxa"/>
            <w:vAlign w:val="bottom"/>
          </w:tcPr>
          <w:p>
            <w:pPr>
              <w:spacing w:after="0"/>
              <w:rPr>
                <w:sz w:val="1"/>
                <w:szCs w:val="1"/>
                <w:color w:val="auto"/>
              </w:rPr>
            </w:pPr>
          </w:p>
        </w:tc>
      </w:tr>
      <w:tr>
        <w:trPr>
          <w:trHeight w:val="175"/>
        </w:trPr>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00" w:type="dxa"/>
            <w:vAlign w:val="bottom"/>
            <w:vMerge w:val="restart"/>
          </w:tcPr>
          <w:p>
            <w:pPr>
              <w:spacing w:after="0"/>
              <w:rPr>
                <w:sz w:val="15"/>
                <w:szCs w:val="15"/>
                <w:color w:val="auto"/>
              </w:rPr>
            </w:pPr>
          </w:p>
        </w:tc>
        <w:tc>
          <w:tcPr>
            <w:tcW w:w="18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Master Lease and</w:t>
            </w:r>
          </w:p>
        </w:tc>
        <w:tc>
          <w:tcPr>
            <w:tcW w:w="1840" w:type="dxa"/>
            <w:vAlign w:val="bottom"/>
            <w:gridSpan w:val="2"/>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Venetian Lease</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Joliet Lease</w:t>
            </w: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Master Lease</w:t>
            </w:r>
          </w:p>
        </w:tc>
        <w:tc>
          <w:tcPr>
            <w:tcW w:w="10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Bay Lease</w:t>
            </w:r>
          </w:p>
        </w:tc>
        <w:tc>
          <w:tcPr>
            <w:tcW w:w="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Leases </w:t>
            </w:r>
            <w:r>
              <w:rPr>
                <w:rFonts w:ascii="Times New Roman" w:cs="Times New Roman" w:eastAsia="Times New Roman" w:hAnsi="Times New Roman"/>
                <w:sz w:val="23"/>
                <w:szCs w:val="23"/>
                <w:b w:val="1"/>
                <w:bCs w:val="1"/>
                <w:i w:val="1"/>
                <w:iCs w:val="1"/>
                <w:color w:val="auto"/>
                <w:w w:val="92"/>
                <w:vertAlign w:val="superscript"/>
              </w:rPr>
              <w:t>(1)</w:t>
            </w:r>
          </w:p>
        </w:tc>
        <w:tc>
          <w:tcPr>
            <w:tcW w:w="0" w:type="dxa"/>
            <w:vAlign w:val="bottom"/>
          </w:tcPr>
          <w:p>
            <w:pPr>
              <w:spacing w:after="0"/>
              <w:rPr>
                <w:sz w:val="1"/>
                <w:szCs w:val="1"/>
                <w:color w:val="auto"/>
              </w:rPr>
            </w:pPr>
          </w:p>
        </w:tc>
      </w:tr>
      <w:tr>
        <w:trPr>
          <w:trHeight w:val="183"/>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Yearly minimum</w:t>
            </w:r>
          </w:p>
        </w:tc>
        <w:tc>
          <w:tcPr>
            <w:tcW w:w="18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xml:space="preserve">1% of net revenues </w:t>
            </w:r>
            <w:r>
              <w:rPr>
                <w:rFonts w:ascii="Times New Roman" w:cs="Times New Roman" w:eastAsia="Times New Roman" w:hAnsi="Times New Roman"/>
                <w:sz w:val="23"/>
                <w:szCs w:val="23"/>
                <w:i w:val="1"/>
                <w:iCs w:val="1"/>
                <w:color w:val="auto"/>
                <w:w w:val="98"/>
                <w:vertAlign w:val="superscript"/>
              </w:rPr>
              <w:t>(2)</w:t>
            </w:r>
          </w:p>
        </w:tc>
        <w:tc>
          <w:tcPr>
            <w:tcW w:w="18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 xml:space="preserve">1% of net revenues </w:t>
            </w:r>
            <w:r>
              <w:rPr>
                <w:rFonts w:ascii="Times New Roman" w:cs="Times New Roman" w:eastAsia="Times New Roman" w:hAnsi="Times New Roman"/>
                <w:sz w:val="23"/>
                <w:szCs w:val="23"/>
                <w:i w:val="1"/>
                <w:iCs w:val="1"/>
                <w:color w:val="auto"/>
                <w:w w:val="96"/>
                <w:vertAlign w:val="superscript"/>
              </w:rPr>
              <w:t>(2)</w:t>
            </w:r>
          </w:p>
        </w:tc>
        <w:tc>
          <w:tcPr>
            <w:tcW w:w="2180" w:type="dxa"/>
            <w:vAlign w:val="bottom"/>
            <w:gridSpan w:val="2"/>
            <w:shd w:val="clear" w:color="auto" w:fill="CCEEFF"/>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rPr>
              <w:t>3.5% of net revenues based</w:t>
            </w:r>
          </w:p>
        </w:tc>
        <w:tc>
          <w:tcPr>
            <w:tcW w:w="16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 of net revenues</w:t>
            </w:r>
          </w:p>
        </w:tc>
        <w:tc>
          <w:tcPr>
            <w:tcW w:w="1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of net revenues</w:t>
            </w:r>
          </w:p>
        </w:tc>
        <w:tc>
          <w:tcPr>
            <w:tcW w:w="0" w:type="dxa"/>
            <w:vAlign w:val="bottom"/>
          </w:tcPr>
          <w:p>
            <w:pPr>
              <w:spacing w:after="0"/>
              <w:rPr>
                <w:sz w:val="1"/>
                <w:szCs w:val="1"/>
                <w:color w:val="auto"/>
              </w:rPr>
            </w:pPr>
          </w:p>
        </w:tc>
      </w:tr>
      <w:tr>
        <w:trPr>
          <w:trHeight w:val="175"/>
        </w:trPr>
        <w:tc>
          <w:tcPr>
            <w:tcW w:w="2000" w:type="dxa"/>
            <w:vAlign w:val="bottom"/>
            <w:gridSpan w:val="2"/>
            <w:vMerge w:val="continue"/>
            <w:shd w:val="clear" w:color="auto" w:fill="CCEEFF"/>
          </w:tcPr>
          <w:p>
            <w:pPr>
              <w:spacing w:after="0"/>
              <w:rPr>
                <w:sz w:val="15"/>
                <w:szCs w:val="15"/>
                <w:color w:val="auto"/>
              </w:rPr>
            </w:pPr>
          </w:p>
        </w:tc>
        <w:tc>
          <w:tcPr>
            <w:tcW w:w="1840" w:type="dxa"/>
            <w:vAlign w:val="bottom"/>
            <w:gridSpan w:val="2"/>
            <w:vMerge w:val="continue"/>
            <w:shd w:val="clear" w:color="auto" w:fill="CCEEFF"/>
          </w:tcPr>
          <w:p>
            <w:pPr>
              <w:spacing w:after="0"/>
              <w:rPr>
                <w:sz w:val="15"/>
                <w:szCs w:val="15"/>
                <w:color w:val="auto"/>
              </w:rPr>
            </w:pPr>
          </w:p>
        </w:tc>
        <w:tc>
          <w:tcPr>
            <w:tcW w:w="1840" w:type="dxa"/>
            <w:vAlign w:val="bottom"/>
            <w:gridSpan w:val="2"/>
            <w:vMerge w:val="continue"/>
            <w:shd w:val="clear" w:color="auto" w:fill="CCEEFF"/>
          </w:tcPr>
          <w:p>
            <w:pPr>
              <w:spacing w:after="0"/>
              <w:rPr>
                <w:sz w:val="15"/>
                <w:szCs w:val="15"/>
                <w:color w:val="auto"/>
              </w:rPr>
            </w:pPr>
          </w:p>
        </w:tc>
        <w:tc>
          <w:tcPr>
            <w:tcW w:w="21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on 5-year rolling test, 1.5%</w:t>
            </w:r>
          </w:p>
        </w:tc>
        <w:tc>
          <w:tcPr>
            <w:tcW w:w="1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based on rolling</w:t>
            </w:r>
          </w:p>
        </w:tc>
        <w:tc>
          <w:tcPr>
            <w:tcW w:w="1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expenditure</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monthly reserves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three-year basis</w:t>
            </w:r>
          </w:p>
        </w:tc>
        <w:tc>
          <w:tcPr>
            <w:tcW w:w="1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Rolling three-year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 xml:space="preserve">$286 million </w:t>
            </w:r>
            <w:r>
              <w:rPr>
                <w:rFonts w:ascii="Times New Roman" w:cs="Times New Roman" w:eastAsia="Times New Roman" w:hAnsi="Times New Roman"/>
                <w:sz w:val="23"/>
                <w:szCs w:val="23"/>
                <w:i w:val="1"/>
                <w:iCs w:val="1"/>
                <w:color w:val="auto"/>
                <w:w w:val="95"/>
                <w:vertAlign w:val="superscript"/>
              </w:rPr>
              <w:t>(3)</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 xml:space="preserve">$84 million </w:t>
            </w:r>
            <w:r>
              <w:rPr>
                <w:rFonts w:ascii="Times New Roman" w:cs="Times New Roman" w:eastAsia="Times New Roman" w:hAnsi="Times New Roman"/>
                <w:sz w:val="23"/>
                <w:szCs w:val="23"/>
                <w:i w:val="1"/>
                <w:iCs w:val="1"/>
                <w:color w:val="auto"/>
                <w:w w:val="96"/>
                <w:vertAlign w:val="superscript"/>
              </w:rPr>
              <w:t>(3)</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tenants under our other gaming lease agreements not specifically outlined in the table, as specified in the respective lease agreements.</w:t>
      </w:r>
    </w:p>
    <w:p>
      <w:pPr>
        <w:spacing w:after="0" w:line="11" w:lineRule="exact"/>
        <w:rPr>
          <w:rFonts w:ascii="Times New Roman" w:cs="Times New Roman" w:eastAsia="Times New Roman" w:hAnsi="Times New Roman"/>
          <w:sz w:val="14"/>
          <w:szCs w:val="14"/>
          <w:i w:val="1"/>
          <w:iCs w:val="1"/>
          <w:color w:val="auto"/>
        </w:rPr>
      </w:pPr>
    </w:p>
    <w:p>
      <w:pPr>
        <w:ind w:right="20" w:firstLine="8"/>
        <w:spacing w:after="0" w:line="261" w:lineRule="auto"/>
        <w:tabs>
          <w:tab w:leader="none" w:pos="205"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jc w:val="both"/>
        <w:ind w:firstLine="8"/>
        <w:spacing w:after="0" w:line="262" w:lineRule="auto"/>
        <w:tabs>
          <w:tab w:leader="none" w:pos="214"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spend a minimum of $531.9 million on capital expenditures (including gaming equipment) across certain of its affiliates and other assets, together with the $380.3 million requirement.</w:t>
      </w:r>
    </w:p>
    <w:p>
      <w:pPr>
        <w:sectPr>
          <w:pgSz w:w="11900" w:h="16838" w:orient="portrait"/>
          <w:cols w:equalWidth="0" w:num="1">
            <w:col w:w="11240"/>
          </w:cols>
          <w:pgMar w:left="320" w:top="283"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Loans and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investments in loans and securities as of September 30, 2026 and December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3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8"/>
              </w:rPr>
              <w:t xml:space="preserve">Carrying Value </w:t>
            </w:r>
            <w:r>
              <w:rPr>
                <w:rFonts w:ascii="Times New Roman" w:cs="Times New Roman" w:eastAsia="Times New Roman" w:hAnsi="Times New Roman"/>
                <w:sz w:val="21"/>
                <w:szCs w:val="21"/>
                <w:b w:val="1"/>
                <w:bCs w:val="1"/>
                <w:i w:val="1"/>
                <w:iCs w:val="1"/>
                <w:color w:val="auto"/>
                <w:w w:val="98"/>
                <w:vertAlign w:val="superscript"/>
              </w:rPr>
              <w:t>(1)</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Commitments </w:t>
            </w:r>
            <w:r>
              <w:rPr>
                <w:rFonts w:ascii="Times New Roman" w:cs="Times New Roman" w:eastAsia="Times New Roman" w:hAnsi="Times New Roman"/>
                <w:sz w:val="21"/>
                <w:szCs w:val="21"/>
                <w:b w:val="1"/>
                <w:bCs w:val="1"/>
                <w:i w:val="1"/>
                <w:i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Interest Rate </w:t>
            </w:r>
            <w:r>
              <w:rPr>
                <w:rFonts w:ascii="Times New Roman" w:cs="Times New Roman" w:eastAsia="Times New Roman" w:hAnsi="Times New Roman"/>
                <w:sz w:val="21"/>
                <w:szCs w:val="21"/>
                <w:b w:val="1"/>
                <w:bCs w:val="1"/>
                <w:i w:val="1"/>
                <w:iCs w:val="1"/>
                <w:color w:val="auto"/>
                <w:w w:val="98"/>
                <w:vertAlign w:val="superscript"/>
              </w:rPr>
              <w:t>(3)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(4)</w:t>
            </w:r>
          </w:p>
        </w:tc>
        <w:tc>
          <w:tcPr>
            <w:tcW w:w="0" w:type="dxa"/>
            <w:vAlign w:val="bottom"/>
          </w:tcPr>
          <w:p>
            <w:pPr>
              <w:spacing w:after="0"/>
              <w:rPr>
                <w:sz w:val="1"/>
                <w:szCs w:val="1"/>
                <w:color w:val="auto"/>
              </w:rPr>
            </w:pPr>
          </w:p>
        </w:tc>
      </w:tr>
      <w:tr>
        <w:trPr>
          <w:trHeight w:val="237"/>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162,452</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4.1 years</w:t>
            </w:r>
          </w:p>
        </w:tc>
        <w:tc>
          <w:tcPr>
            <w:tcW w:w="0" w:type="dxa"/>
            <w:vAlign w:val="bottom"/>
          </w:tcPr>
          <w:p>
            <w:pPr>
              <w:spacing w:after="0"/>
              <w:rPr>
                <w:sz w:val="1"/>
                <w:szCs w:val="1"/>
                <w:color w:val="auto"/>
              </w:rPr>
            </w:pPr>
          </w:p>
        </w:tc>
      </w:tr>
      <w:tr>
        <w:trPr>
          <w:trHeight w:val="189"/>
        </w:trPr>
        <w:tc>
          <w:tcPr>
            <w:tcW w:w="24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Mezzanine Loans and Preferred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1,814,898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1,750,981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803,111</w:t>
            </w: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3.4 years</w:t>
            </w:r>
          </w:p>
        </w:tc>
        <w:tc>
          <w:tcPr>
            <w:tcW w:w="0" w:type="dxa"/>
            <w:vAlign w:val="bottom"/>
          </w:tcPr>
          <w:p>
            <w:pPr>
              <w:spacing w:after="0"/>
              <w:rPr>
                <w:sz w:val="1"/>
                <w:szCs w:val="1"/>
                <w:color w:val="auto"/>
              </w:rPr>
            </w:pPr>
          </w:p>
        </w:tc>
      </w:tr>
      <w:tr>
        <w:trPr>
          <w:trHeight w:val="26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965,563</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3.7 years</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3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w w:val="98"/>
              </w:rPr>
              <w:t xml:space="preserve">Carrying Value </w:t>
            </w:r>
            <w:r>
              <w:rPr>
                <w:rFonts w:ascii="Times New Roman" w:cs="Times New Roman" w:eastAsia="Times New Roman" w:hAnsi="Times New Roman"/>
                <w:sz w:val="21"/>
                <w:szCs w:val="21"/>
                <w:b w:val="1"/>
                <w:bCs w:val="1"/>
                <w:i w:val="1"/>
                <w:iCs w:val="1"/>
                <w:color w:val="auto"/>
                <w:w w:val="98"/>
                <w:vertAlign w:val="superscript"/>
              </w:rPr>
              <w:t>(1)</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Commitments </w:t>
            </w:r>
            <w:r>
              <w:rPr>
                <w:rFonts w:ascii="Times New Roman" w:cs="Times New Roman" w:eastAsia="Times New Roman" w:hAnsi="Times New Roman"/>
                <w:sz w:val="21"/>
                <w:szCs w:val="21"/>
                <w:b w:val="1"/>
                <w:bCs w:val="1"/>
                <w:i w:val="1"/>
                <w:i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Interest Rate </w:t>
            </w:r>
            <w:r>
              <w:rPr>
                <w:rFonts w:ascii="Times New Roman" w:cs="Times New Roman" w:eastAsia="Times New Roman" w:hAnsi="Times New Roman"/>
                <w:sz w:val="21"/>
                <w:szCs w:val="21"/>
                <w:b w:val="1"/>
                <w:bCs w:val="1"/>
                <w:i w:val="1"/>
                <w:iCs w:val="1"/>
                <w:color w:val="auto"/>
                <w:w w:val="98"/>
                <w:vertAlign w:val="superscript"/>
              </w:rPr>
              <w:t>(3)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(4)</w:t>
            </w:r>
          </w:p>
        </w:tc>
        <w:tc>
          <w:tcPr>
            <w:tcW w:w="0" w:type="dxa"/>
            <w:vAlign w:val="bottom"/>
          </w:tcPr>
          <w:p>
            <w:pPr>
              <w:spacing w:after="0"/>
              <w:rPr>
                <w:sz w:val="1"/>
                <w:szCs w:val="1"/>
                <w:color w:val="auto"/>
              </w:rPr>
            </w:pPr>
          </w:p>
        </w:tc>
      </w:tr>
      <w:tr>
        <w:trPr>
          <w:trHeight w:val="236"/>
        </w:trPr>
        <w:tc>
          <w:tcPr>
            <w:tcW w:w="244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Senior Secured Notes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5.2 years</w:t>
            </w:r>
          </w:p>
        </w:tc>
        <w:tc>
          <w:tcPr>
            <w:tcW w:w="0" w:type="dxa"/>
            <w:vAlign w:val="bottom"/>
          </w:tcPr>
          <w:p>
            <w:pPr>
              <w:spacing w:after="0"/>
              <w:rPr>
                <w:sz w:val="1"/>
                <w:szCs w:val="1"/>
                <w:color w:val="auto"/>
              </w:rPr>
            </w:pP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Loans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399,942</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1"/>
                <w:szCs w:val="21"/>
                <w:color w:val="auto"/>
              </w:rPr>
            </w:pPr>
          </w:p>
        </w:tc>
        <w:tc>
          <w:tcPr>
            <w:tcW w:w="16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4.4 years</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Mezzanine Loans and Preferred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1,396,839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223,553</w:t>
            </w:r>
          </w:p>
        </w:tc>
        <w:tc>
          <w:tcPr>
            <w:tcW w:w="100" w:type="dxa"/>
            <w:vAlign w:val="bottom"/>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2.5 years</w:t>
            </w:r>
          </w:p>
        </w:tc>
        <w:tc>
          <w:tcPr>
            <w:tcW w:w="0" w:type="dxa"/>
            <w:vAlign w:val="bottom"/>
          </w:tcPr>
          <w:p>
            <w:pPr>
              <w:spacing w:after="0"/>
              <w:rPr>
                <w:sz w:val="1"/>
                <w:szCs w:val="1"/>
                <w:color w:val="auto"/>
              </w:rPr>
            </w:pPr>
          </w:p>
        </w:tc>
      </w:tr>
      <w:tr>
        <w:trPr>
          <w:trHeight w:val="237"/>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2,580,087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2,525,457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623,495</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0"/>
                <w:szCs w:val="20"/>
                <w:color w:val="auto"/>
              </w:rPr>
            </w:pPr>
          </w:p>
        </w:tc>
        <w:tc>
          <w:tcPr>
            <w:tcW w:w="16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3.4 years</w:t>
            </w:r>
          </w:p>
        </w:tc>
        <w:tc>
          <w:tcPr>
            <w:tcW w:w="0" w:type="dxa"/>
            <w:vAlign w:val="bottom"/>
          </w:tcPr>
          <w:p>
            <w:pPr>
              <w:spacing w:after="0"/>
              <w:rPr>
                <w:sz w:val="1"/>
                <w:szCs w:val="1"/>
                <w:color w:val="auto"/>
              </w:rPr>
            </w:pPr>
          </w:p>
        </w:tc>
      </w:tr>
      <w:tr>
        <w:trPr>
          <w:trHeight w:val="21"/>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includes unamortized loan origination fees and costs and are net of allowance for credit losses.</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future funding commitments are subject to our borrowers’ compliance with the financial covenants and other applicable provisions of each respective loan agreement.</w:t>
      </w:r>
    </w:p>
    <w:p>
      <w:pPr>
        <w:spacing w:after="0" w:line="4"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weighted average interest rate is based on current outstanding principal balance and SOFR, as applicable for floating rate loans, as of September 30, 2026 and December 31, 2025.</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all extension options are exercised; however, our loans may be repaid, subject to certain conditions, prior to such date.</w:t>
      </w:r>
    </w:p>
    <w:p>
      <w:pPr>
        <w:spacing w:after="0" w:line="4"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Senior Secured Notes were repaid in full during the three months ended September 30, 2026.</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of our investments in loans and securities for the nine months ended September 30, 2026 and 2025:</w:t>
      </w:r>
    </w:p>
    <w:p>
      <w:pPr>
        <w:spacing w:after="0" w:line="22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21590</wp:posOffset>
            </wp:positionV>
            <wp:extent cx="26231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3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2,525,457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fundings</w:t>
            </w:r>
          </w:p>
        </w:tc>
        <w:tc>
          <w:tcPr>
            <w:tcW w:w="3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1,158,733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783,604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Payment-in-kind interest</w:t>
            </w:r>
          </w:p>
        </w:tc>
        <w:tc>
          <w:tcPr>
            <w:tcW w:w="3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w:t>
            </w:r>
          </w:p>
        </w:tc>
        <w:tc>
          <w:tcPr>
            <w:tcW w:w="3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fees</w:t>
            </w:r>
          </w:p>
        </w:tc>
        <w:tc>
          <w:tcPr>
            <w:tcW w:w="3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CECL allowance</w:t>
            </w:r>
          </w:p>
        </w:tc>
        <w:tc>
          <w:tcPr>
            <w:tcW w:w="3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September 30,</w:t>
            </w:r>
          </w:p>
        </w:tc>
        <w:tc>
          <w:tcPr>
            <w:tcW w:w="3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2,984,010</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6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Allowance for Credit Losses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ASC 326, we are required to estimate and record a non-cash allowance for current expected credit losses, or CECL allowance, related to our historical and any future investments in sales-type leases, lease financing receivables, and loans, over the life of each respective investment as determined under GAAP (including tenant renewal options under lease agreements,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allowance for credit losses as of September 30, 2026 and December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Allowance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Pr>
          <w:p>
            <w:pPr>
              <w:spacing w:after="0"/>
              <w:rPr>
                <w:sz w:val="14"/>
                <w:szCs w:val="14"/>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8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25,652,968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(1,282,396)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24,370,572</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20,120,668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19,235,774</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2,984,010</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860,599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830,895</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49,777,270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(2,356,019)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47,421,251</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Allowance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Pr>
          <w:p>
            <w:pPr>
              <w:spacing w:after="0"/>
              <w:rPr>
                <w:sz w:val="14"/>
                <w:szCs w:val="14"/>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8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24,625,749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(919,186)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23,706,563</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19,467,011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18,697,133</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2,581,839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2,525,457</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862,845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838,936</w:t>
            </w:r>
          </w:p>
        </w:tc>
        <w:tc>
          <w:tcPr>
            <w:tcW w:w="10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47,537,444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(1,769,355)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45,768,089</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firstLine="8"/>
        <w:spacing w:after="0" w:line="258" w:lineRule="auto"/>
        <w:tabs>
          <w:tab w:leader="none" w:pos="212"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allowance excludes the CECL allowance for unfunded commitments of our loans and for unfunded commitments made to our tenants to fund the development and construction of improvements at our properties. As of September 30, 2026 and December 31, 2025, such allowance was $27.7 million and $6.4 million, respectively, and is recorded in Other liabilities.</w:t>
      </w: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roll-forward of the allowance for credit losses on our real estate portfolio for the three and nine months ended September 30, 2026 and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1,925,823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1,775,753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1,594,931</w:t>
            </w:r>
          </w:p>
        </w:tc>
      </w:tr>
      <w:tr>
        <w:trPr>
          <w:trHeight w:val="243"/>
        </w:trPr>
        <w:tc>
          <w:tcPr>
            <w:tcW w:w="2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allowance from current period investments</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in credit allowance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457,862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495,442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r>
      <w:tr>
        <w:trPr>
          <w:trHeight w:val="243"/>
        </w:trPr>
        <w:tc>
          <w:tcPr>
            <w:tcW w:w="2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Charge-offs</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2,383,685</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1,621,927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2,383,685</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1,621,927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2026, we recognized a $458.0 million increase in our allowance for credit losses. Of this amount, approximately $313.2 million related to Caesars, reflecting (i) an increase in the estimate for the Long-Term Period PD for Caesars as a result of a rating agency’s downgrade of the credit rating of Caesars’ senior secured debt, which reflected the rating agency’s assessment of Caesars’ anticipated capital structure upon completion of its pending acquisition, and (ii) an increase in the allowance on the Caesars Regional Master Lease and the Joliet Lease.</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change in allowance of the Caesars Regional Master Lease and the Joliet Lease for the quarter is primarily driven by revised estimates of future credit losses during the tenant renewal periods, commencing on August 1, 2035, which are included in the lease term under GAAP and required to be included in the CECL estimate (refer to Note 2 – Summary of Significant</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 Lease Term for further details). The change accounts for the current operating performance of the properties, and assumptions regarding the future operating performance and estimated market rent at the time of renewal.</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remaining increase was primarily driven by (i) the equity market performance of certain of our tenants, which impacts the reasonable and supportable period, or R&amp;S Period, probability of default, or PD, (ii) updated assumptions relating to certain of our loans, including estimated recoveries, as applicable, and (iii) standard annual updates to the CECL model and certain related inputs and negative changes in the macroeconomic forecast during the current quarter.</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the nine months ended September 30, 2026, we recognized a $610.3 million increase in our allowance for credit losses primarily driven by (i) the factors listed above, (ii) the initial CECL allowance of $72.6 million upon completing the acquisitions of the Gamehost Portfolio and Golden Portfolio, (iii) the initial CECL allowance of $39.9 million on our net debt investment activity, and (iv) an increase in the estimate for the Long-Term Period PD for one of our tenants during the second quarter as a result of the tenant issuing new senior secured debt with a lower credit rating than our prior estimate. The increase was partially offset by the equity market performance of our tenants and positive changes in the macroeconomic forecast during the first half of the year, both of which impact the R&amp;S Period PD.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recognized a $20.2 million decrease in our allowance for credit losses primarily driven by a decrease in the volatility of the equity market performance of our tenants partially offset by negative changes in the macroeconomic forecast during the quarter, both of which impact the R&amp;S Period PD.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a $24.8 million increase in our allowance for credit losses primarily driven by the equity market performance of our tenants and negative changes in the macroeconomic forecast during the period. In addition, we recorded an initial CECL allowance of $8.1 million on our $960.0 million of debt investment activity during the period. The increase was partially offset by standard annual updates to the CECL model used and certain related inputs, which decreased the estimate used for the Long-Term Period PD.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we modified one loan by reducing the current interest rate and extending the initial maturity date in connection with the underlying asset experiencing operational challenges. In return, the borrower agreed to increase the required principal amortization and provided additional real estate collateral. As of September 30, 2026, the modified loan had an unpaid principal balance of $89.5 million, or 2.8% of our total loan portfolio and was performing in accordance with its modified terms. As of September 30, 2026, we have one fully funded senior secured loan collateralized by a luxury golf-resort development with an unpaid principal balance of $80.7 million on non-accrual status.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detail the amortized cost basis and year of origination of our Investments in leases - sales-type and financing receivables, Investments in loans and securities and Other assets by the credit quality indicator we assigned to each lease or loan guarantor as of September 30, 2026 and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320" w:type="dxa"/>
            <w:vAlign w:val="bottom"/>
            <w:tcBorders>
              <w:bottom w:val="single" w:sz="8" w:color="auto"/>
            </w:tcBorders>
            <w:gridSpan w:val="14"/>
          </w:tcPr>
          <w:p>
            <w:pPr>
              <w:ind w:left="480"/>
              <w:spacing w:after="0"/>
              <w:rPr>
                <w:sz w:val="20"/>
                <w:szCs w:val="20"/>
                <w:color w:val="auto"/>
              </w:rPr>
            </w:pPr>
            <w:r>
              <w:rPr>
                <w:rFonts w:ascii="Times New Roman" w:cs="Times New Roman" w:eastAsia="Times New Roman" w:hAnsi="Times New Roman"/>
                <w:sz w:val="16"/>
                <w:szCs w:val="16"/>
                <w:b w:val="1"/>
                <w:bCs w:val="1"/>
                <w:color w:val="auto"/>
              </w:rPr>
              <w:t xml:space="preserve">Amortized Cost Basis by Year of Origination as of September 30, 2026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4"/>
                <w:szCs w:val="14"/>
                <w:color w:val="auto"/>
              </w:rPr>
            </w:pPr>
          </w:p>
        </w:tc>
        <w:tc>
          <w:tcPr>
            <w:tcW w:w="940" w:type="dxa"/>
            <w:vAlign w:val="bottom"/>
          </w:tcPr>
          <w:p>
            <w:pPr>
              <w:jc w:val="right"/>
              <w:ind w:right="351"/>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51"/>
              <w:spacing w:after="0" w:line="15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71"/>
              <w:spacing w:after="0" w:line="155"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7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b w:val="1"/>
                <w:bCs w:val="1"/>
                <w:color w:val="auto"/>
              </w:rPr>
              <w:t>Prior</w:t>
            </w:r>
          </w:p>
        </w:tc>
        <w:tc>
          <w:tcPr>
            <w:tcW w:w="220" w:type="dxa"/>
            <w:vAlign w:val="bottom"/>
          </w:tcPr>
          <w:p>
            <w:pPr>
              <w:spacing w:after="0"/>
              <w:rPr>
                <w:sz w:val="14"/>
                <w:szCs w:val="14"/>
                <w:color w:val="auto"/>
              </w:rPr>
            </w:pPr>
          </w:p>
        </w:tc>
        <w:tc>
          <w:tcPr>
            <w:tcW w:w="1000" w:type="dxa"/>
            <w:vAlign w:val="bottom"/>
          </w:tcPr>
          <w:p>
            <w:pPr>
              <w:jc w:val="right"/>
              <w:ind w:right="351"/>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12,554,492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6,740,424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19,294,916</w:t>
            </w: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B1</w:t>
            </w:r>
          </w:p>
        </w:tc>
        <w:tc>
          <w:tcPr>
            <w:tcW w:w="2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2,428,335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17,392,440</w:t>
            </w: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B2</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4,933,225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6,090,209</w:t>
            </w: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B3</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301,936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2,702,693</w:t>
            </w: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Caa1</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393,573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739,558</w:t>
            </w:r>
          </w:p>
        </w:tc>
      </w:tr>
      <w:tr>
        <w:trPr>
          <w:trHeight w:val="243"/>
        </w:trPr>
        <w:tc>
          <w:tcPr>
            <w:tcW w:w="20" w:type="dxa"/>
            <w:vAlign w:val="bottom"/>
          </w:tcPr>
          <w:p>
            <w:pPr>
              <w:spacing w:after="0"/>
              <w:rPr>
                <w:sz w:val="21"/>
                <w:szCs w:val="21"/>
                <w:color w:val="auto"/>
              </w:rPr>
            </w:pPr>
          </w:p>
        </w:tc>
        <w:tc>
          <w:tcPr>
            <w:tcW w:w="21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i w:val="1"/>
                <w:iCs w:val="1"/>
                <w:color w:val="auto"/>
                <w:vertAlign w:val="superscript"/>
              </w:rPr>
              <w:t>(2)</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3,557,454</w:t>
            </w: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2,173,611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21,068,103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22,946,327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49,777,270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gridSpan w:val="14"/>
          </w:tcPr>
          <w:p>
            <w:pPr>
              <w:ind w:left="500"/>
              <w:spacing w:after="0"/>
              <w:rPr>
                <w:sz w:val="20"/>
                <w:szCs w:val="20"/>
                <w:color w:val="auto"/>
              </w:rPr>
            </w:pPr>
            <w:r>
              <w:rPr>
                <w:rFonts w:ascii="Times New Roman" w:cs="Times New Roman" w:eastAsia="Times New Roman" w:hAnsi="Times New Roman"/>
                <w:sz w:val="16"/>
                <w:szCs w:val="16"/>
                <w:b w:val="1"/>
                <w:bCs w:val="1"/>
                <w:color w:val="auto"/>
              </w:rPr>
              <w:t xml:space="preserve">Amortized Cost Basis by Year of Origination as of December 31, 2025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69"/>
        </w:trPr>
        <w:tc>
          <w:tcPr>
            <w:tcW w:w="20" w:type="dxa"/>
            <w:vAlign w:val="bottom"/>
          </w:tcPr>
          <w:p>
            <w:pPr>
              <w:spacing w:after="0"/>
              <w:rPr>
                <w:sz w:val="14"/>
                <w:szCs w:val="14"/>
                <w:color w:val="auto"/>
              </w:rPr>
            </w:pPr>
          </w:p>
        </w:tc>
        <w:tc>
          <w:tcPr>
            <w:tcW w:w="20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4"/>
                <w:szCs w:val="14"/>
                <w:color w:val="auto"/>
              </w:rPr>
            </w:pPr>
          </w:p>
        </w:tc>
        <w:tc>
          <w:tcPr>
            <w:tcW w:w="940" w:type="dxa"/>
            <w:vAlign w:val="bottom"/>
          </w:tcPr>
          <w:p>
            <w:pPr>
              <w:jc w:val="right"/>
              <w:ind w:right="35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51"/>
              <w:spacing w:after="0" w:line="15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1"/>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71"/>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6"/>
                <w:szCs w:val="16"/>
                <w:b w:val="1"/>
                <w:bCs w:val="1"/>
                <w:color w:val="auto"/>
              </w:rPr>
              <w:t>Prior</w:t>
            </w:r>
          </w:p>
        </w:tc>
        <w:tc>
          <w:tcPr>
            <w:tcW w:w="220" w:type="dxa"/>
            <w:vAlign w:val="bottom"/>
          </w:tcPr>
          <w:p>
            <w:pPr>
              <w:spacing w:after="0"/>
              <w:rPr>
                <w:sz w:val="14"/>
                <w:szCs w:val="14"/>
                <w:color w:val="auto"/>
              </w:rPr>
            </w:pPr>
          </w:p>
        </w:tc>
        <w:tc>
          <w:tcPr>
            <w:tcW w:w="1000" w:type="dxa"/>
            <w:vAlign w:val="bottom"/>
          </w:tcPr>
          <w:p>
            <w:pPr>
              <w:jc w:val="right"/>
              <w:ind w:right="351"/>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4,873,999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4,873,999</w:t>
            </w:r>
          </w:p>
        </w:tc>
      </w:tr>
      <w:tr>
        <w:trPr>
          <w:trHeight w:val="243"/>
        </w:trPr>
        <w:tc>
          <w:tcPr>
            <w:tcW w:w="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Ba3</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13,095,110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33,748,562</w:t>
            </w:r>
          </w:p>
        </w:tc>
      </w:tr>
      <w:tr>
        <w:trPr>
          <w:trHeight w:val="243"/>
        </w:trPr>
        <w:tc>
          <w:tcPr>
            <w:tcW w:w="2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B1</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2,398,728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3,326,155</w:t>
            </w:r>
          </w:p>
        </w:tc>
      </w:tr>
      <w:tr>
        <w:trPr>
          <w:trHeight w:val="243"/>
        </w:trPr>
        <w:tc>
          <w:tcPr>
            <w:tcW w:w="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B2</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449,694</w:t>
            </w:r>
          </w:p>
        </w:tc>
      </w:tr>
      <w:tr>
        <w:trPr>
          <w:trHeight w:val="243"/>
        </w:trPr>
        <w:tc>
          <w:tcPr>
            <w:tcW w:w="2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B3</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301,167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1,483,873</w:t>
            </w:r>
          </w:p>
        </w:tc>
      </w:tr>
      <w:tr>
        <w:trPr>
          <w:trHeight w:val="243"/>
        </w:trPr>
        <w:tc>
          <w:tcPr>
            <w:tcW w:w="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Caa1</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743,007</w:t>
            </w:r>
          </w:p>
        </w:tc>
      </w:tr>
      <w:tr>
        <w:trPr>
          <w:trHeight w:val="243"/>
        </w:trPr>
        <w:tc>
          <w:tcPr>
            <w:tcW w:w="2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i w:val="1"/>
                <w:iCs w:val="1"/>
                <w:color w:val="auto"/>
                <w:vertAlign w:val="superscript"/>
              </w:rPr>
              <w:t>(2)</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671,696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800,717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2,912,154</w:t>
            </w:r>
          </w:p>
        </w:tc>
      </w:tr>
      <w:tr>
        <w:trPr>
          <w:trHeight w:val="237"/>
        </w:trPr>
        <w:tc>
          <w:tcPr>
            <w:tcW w:w="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671,696</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350,183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2,228,294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21,469,721</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2,194,863</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20,622,687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47,537,444</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left="340" w:hanging="332"/>
        <w:spacing w:after="0" w:line="259" w:lineRule="auto"/>
        <w:tabs>
          <w:tab w:leader="none" w:pos="332"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the CECL allowance for unfunded commitments recorded in Other liabilities as such commitments are not currently reflected on our Balance Sheet, rather the CECL allowance is based on our current best estimate of future funding commitments.</w:t>
      </w:r>
    </w:p>
    <w:p>
      <w:pPr>
        <w:ind w:left="340" w:right="20" w:hanging="332"/>
        <w:spacing w:after="0" w:line="283" w:lineRule="auto"/>
        <w:tabs>
          <w:tab w:leader="none" w:pos="332"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estimate the CECL allowance for our loan investments, and certain of our lease investments with similar credit characteristics, using a traditional commercial real estate model based on standardized credit metrics to estimate potential losses.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Other Assets and Other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assets as of September 30, 2026 and December 31,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Sales-type sub-leases, net </w:t>
            </w:r>
            <w:r>
              <w:rPr>
                <w:rFonts w:ascii="Times New Roman" w:cs="Times New Roman" w:eastAsia="Times New Roman" w:hAnsi="Times New Roman"/>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838,936</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68,045</w:t>
            </w: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and sub-lease right of use assets</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53,945</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w:t>
            </w: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w:t>
            </w: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costs</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reimbursement receivables</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37"/>
        </w:trPr>
        <w:tc>
          <w:tcPr>
            <w:tcW w:w="20" w:type="dxa"/>
            <w:vAlign w:val="bottom"/>
          </w:tcPr>
          <w:p>
            <w:pPr>
              <w:spacing w:after="0"/>
              <w:rPr>
                <w:sz w:val="20"/>
                <w:szCs w:val="20"/>
                <w:color w:val="auto"/>
              </w:rPr>
            </w:pPr>
          </w:p>
        </w:tc>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1,030,126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1,039,050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38" w:lineRule="exact"/>
        <w:rPr>
          <w:sz w:val="20"/>
          <w:szCs w:val="20"/>
          <w:color w:val="auto"/>
        </w:rPr>
      </w:pPr>
    </w:p>
    <w:p>
      <w:pPr>
        <w:ind w:right="20" w:firstLine="8"/>
        <w:spacing w:after="0" w:line="305" w:lineRule="auto"/>
        <w:tabs>
          <w:tab w:leader="none" w:pos="204"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As of September 30, 2026 and December 31, 2025, sales-type sub-leases are net of $29.7 million and $23.9 million of Allowance for credit losses, respectively. Refer to </w:t>
      </w:r>
      <w:r>
        <w:rPr>
          <w:rFonts w:ascii="Times New Roman" w:cs="Times New Roman" w:eastAsia="Times New Roman" w:hAnsi="Times New Roman"/>
          <w:sz w:val="14"/>
          <w:szCs w:val="14"/>
          <w:i w:val="1"/>
          <w:iCs w:val="1"/>
          <w:u w:val="single" w:color="auto"/>
          <w:color w:val="0000FF"/>
        </w:rPr>
        <w:t>Note 5 –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Credit Losses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 further details.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liabilities as of September 30, 2026 and December 31,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sub-lease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862,845</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liabilities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and sub-lease liabilities</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53,654</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CECL allowance for unfunded commitments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r>
      <w:tr>
        <w:trPr>
          <w:trHeight w:val="243"/>
        </w:trPr>
        <w:tc>
          <w:tcPr>
            <w:tcW w:w="20" w:type="dxa"/>
            <w:vAlign w:val="bottom"/>
            <w:tcBorders>
              <w:bottom w:val="single" w:sz="8" w:color="CCEEFF"/>
            </w:tcBorders>
          </w:tcPr>
          <w:p>
            <w:pPr>
              <w:spacing w:after="0"/>
              <w:rPr>
                <w:sz w:val="21"/>
                <w:szCs w:val="21"/>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Debt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our debt obligations as of September 30, 2026 and 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gridSpan w:val="2"/>
          </w:tcPr>
          <w:p>
            <w:pPr>
              <w:ind w:left="40"/>
              <w:spacing w:after="0" w:line="223" w:lineRule="exact"/>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3"/>
                <w:szCs w:val="23"/>
                <w:i w:val="1"/>
                <w:iCs w:val="1"/>
                <w:color w:val="auto"/>
                <w:w w:val="97"/>
                <w:vertAlign w:val="superscript"/>
              </w:rPr>
              <w:t>(1)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USD Borrowings </w:t>
            </w:r>
            <w:r>
              <w:rPr>
                <w:rFonts w:ascii="Times New Roman" w:cs="Times New Roman" w:eastAsia="Times New Roman" w:hAnsi="Times New Roman"/>
                <w:sz w:val="23"/>
                <w:szCs w:val="23"/>
                <w:i w:val="1"/>
                <w:iCs w:val="1"/>
                <w:color w:val="auto"/>
                <w:vertAlign w:val="superscript"/>
              </w:rPr>
              <w:t>(2)</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3, 2029</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SOFR + 0.85%</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CAD Borrowings </w:t>
            </w:r>
            <w:r>
              <w:rPr>
                <w:rFonts w:ascii="Times New Roman" w:cs="Times New Roman" w:eastAsia="Times New Roman" w:hAnsi="Times New Roman"/>
                <w:sz w:val="23"/>
                <w:szCs w:val="23"/>
                <w:i w:val="1"/>
                <w:iCs w:val="1"/>
                <w:color w:val="auto"/>
                <w:vertAlign w:val="superscript"/>
              </w:rPr>
              <w:t>(2)</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3, 2029</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CORRA + 0.85%</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GBP Borrowings </w:t>
            </w:r>
            <w:r>
              <w:rPr>
                <w:rFonts w:ascii="Times New Roman" w:cs="Times New Roman" w:eastAsia="Times New Roman" w:hAnsi="Times New Roman"/>
                <w:sz w:val="23"/>
                <w:szCs w:val="23"/>
                <w:i w:val="1"/>
                <w:iCs w:val="1"/>
                <w:color w:val="auto"/>
                <w:vertAlign w:val="superscript"/>
              </w:rPr>
              <w:t>(2)</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3, 2029</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SONIA + 0.85%</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5, 2032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2027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1, 2027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3.750%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749,371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Maturities</w:t>
            </w: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15, 2028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346,677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2028</w:t>
            </w:r>
          </w:p>
        </w:tc>
        <w:tc>
          <w:tcPr>
            <w:tcW w:w="16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4.516%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2028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Maturities</w:t>
            </w: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3.875%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722,408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2030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4.950%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2030</w:t>
            </w:r>
          </w:p>
        </w:tc>
        <w:tc>
          <w:tcPr>
            <w:tcW w:w="16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4.541%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4.125%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15, 2030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994,220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Maturities</w:t>
            </w: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5.400% Notes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October 15, 2031</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 xml:space="preserve">5.406% </w:t>
            </w:r>
            <w:r>
              <w:rPr>
                <w:rFonts w:ascii="Times New Roman" w:cs="Times New Roman" w:eastAsia="Times New Roman" w:hAnsi="Times New Roman"/>
                <w:sz w:val="23"/>
                <w:szCs w:val="23"/>
                <w:i w:val="1"/>
                <w:iCs w:val="1"/>
                <w:color w:val="auto"/>
                <w:w w:val="92"/>
                <w:vertAlign w:val="superscript"/>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891,799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15, 2031</w:t>
            </w:r>
          </w:p>
        </w:tc>
        <w:tc>
          <w:tcPr>
            <w:tcW w:w="16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4.969%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2032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2032</w:t>
            </w:r>
          </w:p>
        </w:tc>
        <w:tc>
          <w:tcPr>
            <w:tcW w:w="16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3.980%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2034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2034</w:t>
            </w:r>
          </w:p>
        </w:tc>
        <w:tc>
          <w:tcPr>
            <w:tcW w:w="16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5.689%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2035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2035</w:t>
            </w:r>
          </w:p>
        </w:tc>
        <w:tc>
          <w:tcPr>
            <w:tcW w:w="16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5.601%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2036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15, 2036</w:t>
            </w:r>
          </w:p>
        </w:tc>
        <w:tc>
          <w:tcPr>
            <w:tcW w:w="16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2"/>
              </w:rPr>
              <w:t xml:space="preserve">5.440% </w:t>
            </w:r>
            <w:r>
              <w:rPr>
                <w:rFonts w:ascii="Times New Roman" w:cs="Times New Roman" w:eastAsia="Times New Roman" w:hAnsi="Times New Roman"/>
                <w:sz w:val="23"/>
                <w:szCs w:val="23"/>
                <w:i w:val="1"/>
                <w:iCs w:val="1"/>
                <w:color w:val="auto"/>
                <w:w w:val="92"/>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2052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2052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2054 Maturities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2054</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color w:val="auto"/>
                <w:w w:val="92"/>
              </w:rPr>
              <w:t xml:space="preserve">4.567% </w:t>
            </w:r>
            <w:r>
              <w:rPr>
                <w:rFonts w:ascii="Times New Roman" w:cs="Times New Roman" w:eastAsia="Times New Roman" w:hAnsi="Times New Roman"/>
                <w:sz w:val="23"/>
                <w:szCs w:val="23"/>
                <w:i w:val="1"/>
                <w:iCs w:val="1"/>
                <w:color w:val="auto"/>
                <w:w w:val="92"/>
                <w:vertAlign w:val="superscript"/>
              </w:rPr>
              <w:t>(4)</w:t>
            </w:r>
          </w:p>
        </w:tc>
        <w:tc>
          <w:tcPr>
            <w:tcW w:w="10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17,217,832</w:t>
            </w:r>
          </w:p>
        </w:tc>
        <w:tc>
          <w:tcPr>
            <w:tcW w:w="12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16,916,934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85"/>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3"/>
                <w:szCs w:val="23"/>
                <w:i w:val="1"/>
                <w:iCs w:val="1"/>
                <w:color w:val="auto"/>
                <w:w w:val="97"/>
                <w:vertAlign w:val="superscript"/>
              </w:rPr>
              <w:t>(1)</w:t>
            </w:r>
          </w:p>
        </w:tc>
      </w:tr>
      <w:tr>
        <w:trPr>
          <w:trHeight w:val="237"/>
        </w:trPr>
        <w:tc>
          <w:tcPr>
            <w:tcW w:w="20" w:type="dxa"/>
            <w:vAlign w:val="bottom"/>
            <w:shd w:val="clear" w:color="auto" w:fill="CCEEFF"/>
          </w:tcPr>
          <w:p>
            <w:pPr>
              <w:spacing w:after="0"/>
              <w:rPr>
                <w:sz w:val="20"/>
                <w:szCs w:val="20"/>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USD Borrowings </w:t>
            </w:r>
            <w:r>
              <w:rPr>
                <w:rFonts w:ascii="Times New Roman" w:cs="Times New Roman" w:eastAsia="Times New Roman" w:hAnsi="Times New Roman"/>
                <w:sz w:val="23"/>
                <w:szCs w:val="23"/>
                <w:i w:val="1"/>
                <w:iCs w:val="1"/>
                <w:color w:val="auto"/>
                <w:vertAlign w:val="superscript"/>
              </w:rPr>
              <w:t>(2)</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3, 2029</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SOFR + 0.85%</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CAD Borrowings </w:t>
            </w:r>
            <w:r>
              <w:rPr>
                <w:rFonts w:ascii="Times New Roman" w:cs="Times New Roman" w:eastAsia="Times New Roman" w:hAnsi="Times New Roman"/>
                <w:sz w:val="23"/>
                <w:szCs w:val="23"/>
                <w:i w:val="1"/>
                <w:iCs w:val="1"/>
                <w:color w:val="auto"/>
                <w:vertAlign w:val="superscript"/>
              </w:rPr>
              <w:t>(2)</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3, 2029</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CORRA + 0.85%</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120,219</w:t>
            </w:r>
          </w:p>
        </w:tc>
      </w:tr>
      <w:tr>
        <w:trPr>
          <w:trHeight w:val="243"/>
        </w:trPr>
        <w:tc>
          <w:tcPr>
            <w:tcW w:w="20" w:type="dxa"/>
            <w:vAlign w:val="bottom"/>
          </w:tcPr>
          <w:p>
            <w:pPr>
              <w:spacing w:after="0"/>
              <w:rPr>
                <w:sz w:val="21"/>
                <w:szCs w:val="21"/>
                <w:color w:val="auto"/>
              </w:rPr>
            </w:pPr>
          </w:p>
        </w:tc>
        <w:tc>
          <w:tcPr>
            <w:tcW w:w="45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GBP Borrowings </w:t>
            </w:r>
            <w:r>
              <w:rPr>
                <w:rFonts w:ascii="Times New Roman" w:cs="Times New Roman" w:eastAsia="Times New Roman" w:hAnsi="Times New Roman"/>
                <w:sz w:val="23"/>
                <w:szCs w:val="23"/>
                <w:i w:val="1"/>
                <w:iCs w:val="1"/>
                <w:color w:val="auto"/>
                <w:vertAlign w:val="superscript"/>
              </w:rPr>
              <w:t>(2)</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3, 2029</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SONIA + 0.85%</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5, 2032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2,827,515</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2026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1, 2026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496,596</w:t>
            </w:r>
          </w:p>
        </w:tc>
      </w:tr>
      <w:tr>
        <w:trPr>
          <w:trHeight w:val="243"/>
        </w:trPr>
        <w:tc>
          <w:tcPr>
            <w:tcW w:w="20" w:type="dxa"/>
            <w:vAlign w:val="bottom"/>
          </w:tcPr>
          <w:p>
            <w:pPr>
              <w:spacing w:after="0"/>
              <w:rPr>
                <w:sz w:val="21"/>
                <w:szCs w:val="21"/>
                <w:color w:val="auto"/>
              </w:rPr>
            </w:pPr>
          </w:p>
        </w:tc>
        <w:tc>
          <w:tcPr>
            <w:tcW w:w="4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4.250%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1,247,385</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Maturities</w:t>
            </w: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752,382</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2027</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748,114</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2028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15, 2028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344,756</w:t>
            </w:r>
          </w:p>
        </w:tc>
      </w:tr>
      <w:tr>
        <w:trPr>
          <w:trHeight w:val="243"/>
        </w:trPr>
        <w:tc>
          <w:tcPr>
            <w:tcW w:w="20" w:type="dxa"/>
            <w:vAlign w:val="bottom"/>
          </w:tcPr>
          <w:p>
            <w:pPr>
              <w:spacing w:after="0"/>
              <w:rPr>
                <w:sz w:val="21"/>
                <w:szCs w:val="21"/>
                <w:color w:val="auto"/>
              </w:rPr>
            </w:pPr>
          </w:p>
        </w:tc>
        <w:tc>
          <w:tcPr>
            <w:tcW w:w="4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2028</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4.516% </w:t>
            </w:r>
            <w:r>
              <w:rPr>
                <w:rFonts w:ascii="Times New Roman" w:cs="Times New Roman" w:eastAsia="Times New Roman" w:hAnsi="Times New Roman"/>
                <w:sz w:val="23"/>
                <w:szCs w:val="23"/>
                <w:i w:val="1"/>
                <w:iCs w:val="1"/>
                <w:color w:val="auto"/>
                <w:w w:val="94"/>
                <w:vertAlign w:val="superscript"/>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1,244,632</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2028</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397,012</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2029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3.875%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713,898</w:t>
            </w:r>
          </w:p>
        </w:tc>
      </w:tr>
      <w:tr>
        <w:trPr>
          <w:trHeight w:val="243"/>
        </w:trPr>
        <w:tc>
          <w:tcPr>
            <w:tcW w:w="20" w:type="dxa"/>
            <w:vAlign w:val="bottom"/>
          </w:tcPr>
          <w:p>
            <w:pPr>
              <w:spacing w:after="0"/>
              <w:rPr>
                <w:sz w:val="21"/>
                <w:szCs w:val="21"/>
                <w:color w:val="auto"/>
              </w:rPr>
            </w:pPr>
          </w:p>
        </w:tc>
        <w:tc>
          <w:tcPr>
            <w:tcW w:w="4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993,732</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Maturities</w:t>
            </w: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4.950%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2030</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4.541% </w:t>
            </w:r>
            <w:r>
              <w:rPr>
                <w:rFonts w:ascii="Times New Roman" w:cs="Times New Roman" w:eastAsia="Times New Roman" w:hAnsi="Times New Roman"/>
                <w:sz w:val="23"/>
                <w:szCs w:val="23"/>
                <w:i w:val="1"/>
                <w:iCs w:val="1"/>
                <w:color w:val="auto"/>
                <w:w w:val="94"/>
                <w:vertAlign w:val="superscript"/>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992,815</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2030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993,101</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2031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15, 2031</w:t>
            </w:r>
          </w:p>
        </w:tc>
        <w:tc>
          <w:tcPr>
            <w:tcW w:w="17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4.969%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741,828</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2032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2032</w:t>
            </w:r>
          </w:p>
        </w:tc>
        <w:tc>
          <w:tcPr>
            <w:tcW w:w="17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3.980%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1,486,918</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2034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2034</w:t>
            </w:r>
          </w:p>
        </w:tc>
        <w:tc>
          <w:tcPr>
            <w:tcW w:w="17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5.689%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541,956</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2035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2035</w:t>
            </w:r>
          </w:p>
        </w:tc>
        <w:tc>
          <w:tcPr>
            <w:tcW w:w="17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5.601%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885,409</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2052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2052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5.625%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736,842</w:t>
            </w: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2054 Maturities</w:t>
            </w: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2054</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6.125%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485,897</w:t>
            </w:r>
          </w:p>
        </w:tc>
      </w:tr>
      <w:tr>
        <w:trPr>
          <w:trHeight w:val="236"/>
        </w:trPr>
        <w:tc>
          <w:tcPr>
            <w:tcW w:w="2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color w:val="auto"/>
                <w:w w:val="92"/>
              </w:rPr>
              <w:t xml:space="preserve">4.464% </w:t>
            </w:r>
            <w:r>
              <w:rPr>
                <w:rFonts w:ascii="Times New Roman" w:cs="Times New Roman" w:eastAsia="Times New Roman" w:hAnsi="Times New Roman"/>
                <w:sz w:val="23"/>
                <w:szCs w:val="23"/>
                <w:i w:val="1"/>
                <w:iCs w:val="1"/>
                <w:color w:val="auto"/>
                <w:w w:val="92"/>
                <w:vertAlign w:val="superscript"/>
              </w:rPr>
              <w:t>(4)</w:t>
            </w:r>
          </w:p>
        </w:tc>
        <w:tc>
          <w:tcPr>
            <w:tcW w:w="10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17,092,453</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16,773,241</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is net of unamortized original issue discount and unamortized debt issuance costs incurred in conjunction with debt.</w:t>
      </w:r>
    </w:p>
    <w:p>
      <w:pPr>
        <w:spacing w:after="0" w:line="11" w:lineRule="exact"/>
        <w:rPr>
          <w:rFonts w:ascii="Times New Roman" w:cs="Times New Roman" w:eastAsia="Times New Roman" w:hAnsi="Times New Roman"/>
          <w:sz w:val="14"/>
          <w:szCs w:val="14"/>
          <w:i w:val="1"/>
          <w:iCs w:val="1"/>
          <w:color w:val="auto"/>
        </w:rPr>
      </w:pPr>
    </w:p>
    <w:p>
      <w:pPr>
        <w:jc w:val="both"/>
        <w:ind w:left="340" w:hanging="332"/>
        <w:spacing w:after="0" w:line="256" w:lineRule="auto"/>
        <w:tabs>
          <w:tab w:leader="none" w:pos="332"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Borrowings under the Revolving Credit Facility bear interest at a rate based on a credit rating-based pricing grid with a range of 0.70% to 1.40% margin plus SOFR (or Canadian Overnight Repo Rate Average (“CORRA”) or Sterling Overnight Index Average (“SONIA”), as applicable), depending on our credit ratings and total leverage ratio. Additionally, the facility fees under the Revolving Credit Facility are calculated on a credit rating-based pricing grid with a range of 0.10% to 0.30%, depending on our credit ratings and total leverage ratio. For the three and nine months ended September 30, 2026, the commitment fee for the Revolving Credit Facility averaged 0.20%.</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61" w:lineRule="auto"/>
        <w:tabs>
          <w:tab w:leader="none" w:pos="332"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Interest rates represent the contractual interest rates adjusted to account for the impact of the forward-starting interest rate swaps and treasury locks (as further described in </w:t>
      </w:r>
      <w:r>
        <w:rPr>
          <w:rFonts w:ascii="Times New Roman" w:cs="Times New Roman" w:eastAsia="Times New Roman" w:hAnsi="Times New Roman"/>
          <w:sz w:val="14"/>
          <w:szCs w:val="14"/>
          <w:i w:val="1"/>
          <w:iCs w:val="1"/>
          <w:u w:val="single" w:color="auto"/>
          <w:color w:val="0000FF"/>
        </w:rPr>
        <w:t>Note 8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Derivatives</w:t>
      </w:r>
      <w:r>
        <w:rPr>
          <w:rFonts w:ascii="Times New Roman" w:cs="Times New Roman" w:eastAsia="Times New Roman" w:hAnsi="Times New Roman"/>
          <w:sz w:val="14"/>
          <w:szCs w:val="14"/>
          <w:i w:val="1"/>
          <w:iCs w:val="1"/>
          <w:color w:val="000000"/>
        </w:rPr>
        <w:t>).</w:t>
      </w:r>
    </w:p>
    <w:p>
      <w:pPr>
        <w:jc w:val="both"/>
        <w:ind w:left="340" w:hanging="332"/>
        <w:spacing w:after="0" w:line="262" w:lineRule="auto"/>
        <w:tabs>
          <w:tab w:leader="none" w:pos="332"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The interest rate represents the weighted average interest rates of the Senior Unsecured Notes adjusted to account for the impact of the forward-starting interest rate swaps (as further described in </w:t>
      </w:r>
      <w:r>
        <w:rPr>
          <w:rFonts w:ascii="Times New Roman" w:cs="Times New Roman" w:eastAsia="Times New Roman" w:hAnsi="Times New Roman"/>
          <w:sz w:val="14"/>
          <w:szCs w:val="14"/>
          <w:i w:val="1"/>
          <w:iCs w:val="1"/>
          <w:u w:val="single" w:color="auto"/>
          <w:color w:val="0000FF"/>
        </w:rPr>
        <w:t>Note 8 – Derivatives</w:t>
      </w:r>
      <w:r>
        <w:rPr>
          <w:rFonts w:ascii="Times New Roman" w:cs="Times New Roman" w:eastAsia="Times New Roman" w:hAnsi="Times New Roman"/>
          <w:sz w:val="14"/>
          <w:szCs w:val="14"/>
          <w:i w:val="1"/>
          <w:iCs w:val="1"/>
          <w:color w:val="auto"/>
        </w:rPr>
        <w:t>), as applicable. The contractual weighted average interest rate as of September 30, 2026, which excludes the impact of the forward-starting interest rate swaps and treasury locks, was 4.73%.</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40" w:type="dxa"/>
            <w:vAlign w:val="bottom"/>
          </w:tcPr>
          <w:p>
            <w:pPr>
              <w:jc w:val="center"/>
              <w:ind w:left="1021"/>
              <w:spacing w:after="0"/>
              <w:rPr>
                <w:sz w:val="20"/>
                <w:szCs w:val="20"/>
                <w:color w:val="auto"/>
              </w:rPr>
            </w:pPr>
            <w:r>
              <w:rPr>
                <w:rFonts w:ascii="Times New Roman" w:cs="Times New Roman" w:eastAsia="Times New Roman" w:hAnsi="Times New Roman"/>
                <w:sz w:val="20"/>
                <w:szCs w:val="20"/>
                <w:b w:val="1"/>
                <w:bCs w:val="1"/>
                <w:color w:val="auto"/>
                <w:w w:val="98"/>
              </w:rPr>
              <w:t>VICI PROPERTIES INC. AND VICI PROPERTIES L.P.</w:t>
            </w: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40" w:type="dxa"/>
            <w:vAlign w:val="bottom"/>
          </w:tcPr>
          <w:p>
            <w:pPr>
              <w:jc w:val="center"/>
              <w:ind w:left="1021"/>
              <w:spacing w:after="0"/>
              <w:rPr>
                <w:sz w:val="20"/>
                <w:szCs w:val="20"/>
                <w:color w:val="auto"/>
              </w:rPr>
            </w:pPr>
            <w:r>
              <w:rPr>
                <w:rFonts w:ascii="Times New Roman" w:cs="Times New Roman" w:eastAsia="Times New Roman" w:hAnsi="Times New Roman"/>
                <w:sz w:val="20"/>
                <w:szCs w:val="20"/>
                <w:b w:val="1"/>
                <w:bCs w:val="1"/>
                <w:color w:val="auto"/>
                <w:w w:val="98"/>
              </w:rPr>
              <w:t>NOTES TO CONSOLIDATED FINANCIAL STATEMENTS (Continued)</w:t>
            </w: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340" w:type="dxa"/>
            <w:vAlign w:val="bottom"/>
          </w:tcPr>
          <w:p>
            <w:pPr>
              <w:jc w:val="center"/>
              <w:ind w:left="1001"/>
              <w:spacing w:after="0"/>
              <w:rPr>
                <w:sz w:val="20"/>
                <w:szCs w:val="20"/>
                <w:color w:val="auto"/>
              </w:rPr>
            </w:pPr>
            <w:r>
              <w:rPr>
                <w:rFonts w:ascii="Times New Roman" w:cs="Times New Roman" w:eastAsia="Times New Roman" w:hAnsi="Times New Roman"/>
                <w:sz w:val="20"/>
                <w:szCs w:val="20"/>
                <w:b w:val="1"/>
                <w:bCs w:val="1"/>
                <w:color w:val="auto"/>
                <w:w w:val="98"/>
              </w:rPr>
              <w:t>(UNAUDITED)</w:t>
            </w:r>
          </w:p>
        </w:tc>
        <w:tc>
          <w:tcPr>
            <w:tcW w:w="3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912"/>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is a schedule of future minimum principal payments of our debt obligations as of September 30, 2026:</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Future Minimum Principal</w:t>
            </w:r>
          </w:p>
        </w:tc>
      </w:tr>
      <w:tr>
        <w:trPr>
          <w:trHeight w:val="162"/>
        </w:trPr>
        <w:tc>
          <w:tcPr>
            <w:tcW w:w="20" w:type="dxa"/>
            <w:vAlign w:val="bottom"/>
          </w:tcPr>
          <w:p>
            <w:pPr>
              <w:spacing w:after="0"/>
              <w:rPr>
                <w:sz w:val="14"/>
                <w:szCs w:val="14"/>
                <w:color w:val="auto"/>
              </w:rPr>
            </w:pPr>
          </w:p>
        </w:tc>
        <w:tc>
          <w:tcPr>
            <w:tcW w:w="9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4"/>
                <w:szCs w:val="14"/>
                <w:color w:val="auto"/>
              </w:rPr>
            </w:pPr>
          </w:p>
        </w:tc>
        <w:tc>
          <w:tcPr>
            <w:tcW w:w="162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6"/>
                <w:szCs w:val="16"/>
                <w:b w:val="1"/>
                <w:bCs w:val="1"/>
                <w:color w:val="auto"/>
              </w:rPr>
              <w:t>Payments</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4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2,017,832</w:t>
            </w:r>
          </w:p>
        </w:tc>
      </w:tr>
      <w:tr>
        <w:trPr>
          <w:trHeight w:val="24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4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8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w:t>
            </w:r>
          </w:p>
        </w:tc>
      </w:tr>
      <w:tr>
        <w:trPr>
          <w:trHeight w:val="243"/>
        </w:trPr>
        <w:tc>
          <w:tcPr>
            <w:tcW w:w="20" w:type="dxa"/>
            <w:vAlign w:val="bottom"/>
            <w:shd w:val="clear" w:color="auto" w:fill="CCEEFF"/>
          </w:tcPr>
          <w:p>
            <w:pPr>
              <w:spacing w:after="0"/>
              <w:rPr>
                <w:sz w:val="21"/>
                <w:szCs w:val="21"/>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8,050,000</w:t>
            </w:r>
          </w:p>
        </w:tc>
      </w:tr>
      <w:tr>
        <w:trPr>
          <w:trHeight w:val="237"/>
        </w:trPr>
        <w:tc>
          <w:tcPr>
            <w:tcW w:w="2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principal payments</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17,217,832</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set forth in the above table, as of September 30, 2026, our outstanding senior unsecured notes consist of (i) $1.00 billion aggregate principal amount of Senior Notes issued on November 26, 2019 (the “November 2019 Notes”), (ii) $1.75 billion aggregate principal amount of Senior Notes issued on February 5, 2020 (the “February 2020 Notes”), (iii) $4.50 billion aggregate principal amount of Senior Notes issued on April 29, 2022 (the “April 2022 Notes”), (iv) approximately $1.81 billion aggregate principal amount of Senior Notes issued on April 29, 2022, in each case issued by VICI LP and VICI Note Co. Inc. (the “Exchange Notes”), (v) approximately $44.1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 (vi) $1.05 billion aggregate principal amount of Senior Notes issued on March 18, 2024 (the “March 2024 Notes”), (vii) $750.0 million aggregate principal amount of Senior Notes issued on December 19, 2024 (the “December 2024 Notes”), (viii) $1.30 billion aggregate principal amount of Senior Notes issued on April 7, 2025 (the “April 2025 Notes”), and (ix) $1.75 billion aggregate principal amount of Senior Notes issued on August 14, 2026 (the “August 2026 Notes”). The outstanding November 2019 Notes, February 2020 Notes, April 2022 Notes, Exchange Notes, MGP OP Notes, March 2024 Notes, December 2024 Notes, April 2025 Notes and August 2026 Notes are collectively referred to as the “Senior Unsecured Notes”.</w:t>
      </w: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14, 2026, VICI LP issued the August 2026 Notes comprised of (i) $900.0 million aggregate principal amount of 5.400% Senior Notes due 2031, which mature on October 15, 2031, and (ii) $850.0 million aggregate principal amount of 5.750% Senior Notes due 2036, which mature on October 15, 2036, in each case pursuant to an indenture dated as of April 29, 2022, as supplemented by a supplemental indenture dated as of August 14, 2026, between VICI LP and UMB Bank, National Association, as the trustee. We used the net proceeds of the August 2026 Notes to redeem our then-outstanding (i) $480.5 million aggregate principal amount of 4.500% Exchange Notes due 2026, (ii) $1.25 billion aggregate principal amount of 4.250% November 2019 Notes due 2026, and (iii) $19.5 million aggregate principal amount of 4.500% MGP OP Notes due 2026.</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applicable indentures (including supplemental indentures, collectively “indentures”), each series of Senior Unsecured Notes is redeemable at our option, in whole or in part, at any time for a specified period prior to the maturity date of such series at the redemption prices set forth in the applicable indenture. In addition, we may redeem some or all of such notes prior to such respective dates at a price equal to 100% of the principal amount thereof plus a “make-whole” premium or on such other terms as specified in the applicable indenture.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Financial Covenants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the Senior Unsecured Notes are guaranteed by any subsidiaries of VICI LP. The Exchange Notes, the MGP OP Notes, the April 2022 Notes, the March 2024 Notes, the December 2024 Notes, the April 2025 Notes and the August 2026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currently are not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governing each of the April 2022 Notes, March 2024 Notes, December 2024 Notes, April 2025 Notes and August 2026 Notes contain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Credit Facilities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Revolving Credit Facility includes two six-month maturity extension options (or one twelve-month extension option), the exercise of which in each case is subject to customary conditions and the payment of an extension fee of (i) 0.0625% on the extended commitments, in the case of each six-month extension of the Revolving Credit Facility, and (ii) 0.125% on the extended commitments, in the case of a twelve-month extension of the Revolving Credit Facility. The Revolving Credit Facility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Revolving Credit Facility requires the payment of a facility fee ranging from 0.10% to 0.30% (depending on VICI LP’s debt ratings and total leverage ratio) of total commitments. The Revolving Credit Facility may be voluntarily prepaid in full or in part at any time, subject to customary breakage costs, if applicable.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negative and financial covenants. 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 VICI LP under the Credit Agreement to be immediately due and payable. The Credit Agreement is consistent with certain tax-related requirements related to security for our debt.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we had C$350.0 million and £16.5 million (US$245.9 million and US$21.9 million, respectively, based on applicable exchange rates) outstanding on the Revolving Credit Facility in connection with the funding of a portion of our Canadian investments and our United Kingdom investments,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MGM Grand/Mandalay Bay CMBS Debt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 in the real estate assets of the MGM Grand and Mandalay Bay, through an entity that holds these assets (the “MGM Grand/Mandalay Bay PropCo”), is financed with CMBS debt (the “MGM Grand/Mandalay Bay CMBS Debt”) and 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secured primarily by mortgages on our fee interest in the real estate assets of these two properties. The MGM Grand/Mandalay Bay CMBS Debt has a current outstanding principal balance of $3.0 billion, matures in March 2032 and bears interest at 3.558% per annum until March 2030, at which time the rate can change in accordance with the terms of the MGM Grand/Mandalay Bay CMBS loan agreement until maturity. The MGM Grand/Mandalay Bay CMBS loan agreement contains certain customary affirmative and negative covenants and events of default, including, among other things, restrictions on the ability of the MGM Grand/Mandalay Bay PropCo and certain of its affiliates to incur additional debt and transfer, pledge or assign certain equity interests or its assets, and covenants requiring certain affiliates of the MGM Grand/Mandalay Bay PropCo to exist as “special purpose entities,” maintain certain ongoing reserve funds and comply with other customary obligations for commercial mortgage-backed securities loan financings.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September 30, 2026, we were in compliance with all financial covenants under our debt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 Derivatives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Interest-Rate Derivatives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Derivatives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outstanding interest rate derivatives that were designated as cash flow hedges of interest rate risk as of September 30, 2026 and December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Settled Derivatives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 flow hedges and, accordingly, the unrealized gain in Accumulated other comprehensive income is amortized over the term of the respective derivative instruments, which matches that of the underlying note, as a reduction in interest expense.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Notes Offering</w:t>
            </w:r>
          </w:p>
        </w:tc>
        <w:tc>
          <w:tcPr>
            <w:tcW w:w="100" w:type="dxa"/>
            <w:vAlign w:val="bottom"/>
            <w:vMerge w:val="restart"/>
          </w:tcPr>
          <w:p>
            <w:pPr>
              <w:spacing w:after="0"/>
              <w:rPr>
                <w:sz w:val="18"/>
                <w:szCs w:val="18"/>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Settlement Period</w:t>
            </w:r>
          </w:p>
        </w:tc>
        <w:tc>
          <w:tcPr>
            <w:tcW w:w="80" w:type="dxa"/>
            <w:vAlign w:val="bottom"/>
            <w:vMerge w:val="restart"/>
          </w:tcPr>
          <w:p>
            <w:pPr>
              <w:spacing w:after="0"/>
              <w:rPr>
                <w:sz w:val="18"/>
                <w:szCs w:val="18"/>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w:t>
            </w:r>
          </w:p>
        </w:tc>
        <w:tc>
          <w:tcPr>
            <w:tcW w:w="100" w:type="dxa"/>
            <w:vAlign w:val="bottom"/>
            <w:vMerge w:val="restart"/>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Proceeds/(Payments)</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2026 Notes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2026</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2026 Notes</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2026</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Rate Lock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2025 Notes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2025 Notes</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Rate Lock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 Notes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2024 Notes</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Rate Lock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Notes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2022 Notes</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2022 Notes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Rate Lock</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our forward-starting derivative financial instruments on our Statement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5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35"/>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5"/>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recorded in other comprehensive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189"/>
        </w:trPr>
        <w:tc>
          <w:tcPr>
            <w:tcW w:w="20" w:type="dxa"/>
            <w:vAlign w:val="bottom"/>
          </w:tcPr>
          <w:p>
            <w:pPr>
              <w:spacing w:after="0"/>
              <w:rPr>
                <w:sz w:val="16"/>
                <w:szCs w:val="16"/>
                <w:color w:val="auto"/>
              </w:rPr>
            </w:pPr>
          </w:p>
        </w:tc>
        <w:tc>
          <w:tcPr>
            <w:tcW w:w="5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Reduction in interest expense related to the amortization of the forward-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starting interest rate swaps and treasury locks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(19,418)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foreign transactions in Canada and the United Kingdom, we currently have C$350.0 million and £16.5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and nine months ended September 30, 2026, we recognized $0.6 million and $4.9 million, respectively, in unrealized gains related to such net investment hedges, and for the three and nine months ended September 30, 2025, we recognized $3.3 million in unrealized gains and $5.7 million in unrealized losses, respectively, related to such net investment hedges, which were recorded as a component of Foreign currency translation adjustments in the Statement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 Fair Value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measured at fair value on a recurring basis as of December 31, 2025. As of September 30, 2026, there were no assets or liabilities measured at fair value on a recurring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1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70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23"/>
                <w:szCs w:val="23"/>
                <w:i w:val="1"/>
                <w:iCs w:val="1"/>
                <w:color w:val="auto"/>
                <w:vertAlign w:val="superscript"/>
              </w:rPr>
              <w:t>(1)</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carrying value of these investments is equal to their fair value due to the short-term nature of the investments, as well as their credit quality.</w:t>
      </w:r>
    </w:p>
    <w:p>
      <w:pPr>
        <w:spacing w:after="0" w:line="1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of our financial instruments as of September 30, 2026 and December 31, 2025 for which fair value is only disclosed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line="18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6"/>
                <w:szCs w:val="16"/>
                <w:color w:val="auto"/>
              </w:rPr>
            </w:pPr>
          </w:p>
        </w:tc>
        <w:tc>
          <w:tcPr>
            <w:tcW w:w="1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w:t>
            </w:r>
            <w:r>
              <w:rPr>
                <w:rFonts w:ascii="Times New Roman" w:cs="Times New Roman" w:eastAsia="Times New Roman" w:hAnsi="Times New Roman"/>
                <w:sz w:val="23"/>
                <w:szCs w:val="23"/>
                <w:i w:val="1"/>
                <w:iCs w:val="1"/>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19,235,774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17,346,926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18,697,133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18,030,775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Investments in loans and securities </w:t>
            </w:r>
            <w:r>
              <w:rPr>
                <w:rFonts w:ascii="Times New Roman" w:cs="Times New Roman" w:eastAsia="Times New Roman" w:hAnsi="Times New Roman"/>
                <w:sz w:val="23"/>
                <w:szCs w:val="23"/>
                <w:i w:val="1"/>
                <w:iCs w:val="1"/>
                <w:color w:val="auto"/>
                <w:vertAlign w:val="superscript"/>
              </w:rPr>
              <w:t>(2)</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2,984,010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2,975,688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2,445,252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563,479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i w:val="1"/>
                <w:iCs w:val="1"/>
                <w:color w:val="auto"/>
                <w:vertAlign w:val="superscript"/>
              </w:rPr>
              <w:t>(3)</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2,834,520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13,801,244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13,279,145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13,803,273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13,967,990</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left="340" w:hanging="332"/>
        <w:spacing w:after="0" w:line="278" w:lineRule="auto"/>
        <w:tabs>
          <w:tab w:leader="none" w:pos="332"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16" w:lineRule="exact"/>
        <w:rPr>
          <w:sz w:val="20"/>
          <w:szCs w:val="20"/>
          <w:color w:val="auto"/>
        </w:rPr>
      </w:pPr>
    </w:p>
    <w:p>
      <w:pPr>
        <w:ind w:left="340" w:right="20"/>
        <w:spacing w:after="0" w:line="272" w:lineRule="auto"/>
        <w:rPr>
          <w:sz w:val="20"/>
          <w:szCs w:val="20"/>
          <w:color w:val="auto"/>
        </w:rPr>
      </w:pPr>
      <w:r>
        <w:rPr>
          <w:rFonts w:ascii="Times New Roman" w:cs="Times New Roman" w:eastAsia="Times New Roman" w:hAnsi="Times New Roman"/>
          <w:sz w:val="14"/>
          <w:szCs w:val="14"/>
          <w:i w:val="1"/>
          <w:iCs w:val="1"/>
          <w:color w:val="auto"/>
        </w:rPr>
        <w:t>as financings under ASC 310. The fair value of these assets is based on significant “unobservable” market inputs and, as such, these fair value measurements are considered Level 3 of the fair value hierarchy.</w:t>
      </w:r>
    </w:p>
    <w:p>
      <w:pPr>
        <w:spacing w:after="0" w:line="1" w:lineRule="exact"/>
        <w:rPr>
          <w:sz w:val="20"/>
          <w:szCs w:val="20"/>
          <w:color w:val="auto"/>
        </w:rPr>
      </w:pPr>
    </w:p>
    <w:p>
      <w:pPr>
        <w:jc w:val="both"/>
        <w:ind w:left="340" w:hanging="332"/>
        <w:spacing w:after="0" w:line="254" w:lineRule="auto"/>
        <w:tabs>
          <w:tab w:leader="none" w:pos="332"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83" w:lineRule="auto"/>
        <w:tabs>
          <w:tab w:leader="none" w:pos="332"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 Commitments and Contingent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may be subject to legal claims and administrative proceedings. As of September 30, 2026, we are not subject to any litigation that we believe could have, individually or in the aggregate, a material adverse effect on our business, financial condition or results of operations, liquidity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17" w:lineRule="exact"/>
        <w:rPr>
          <w:sz w:val="20"/>
          <w:szCs w:val="20"/>
          <w:color w:val="auto"/>
        </w:rPr>
      </w:pPr>
    </w:p>
    <w:p>
      <w:pPr>
        <w:ind w:left="660" w:hanging="328"/>
        <w:spacing w:after="0" w:line="286" w:lineRule="auto"/>
        <w:tabs>
          <w:tab w:leader="none" w:pos="65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Operating Lease Commitments. </w:t>
      </w:r>
      <w:r>
        <w:rPr>
          <w:rFonts w:ascii="Times New Roman" w:cs="Times New Roman" w:eastAsia="Times New Roman" w:hAnsi="Times New Roman"/>
          <w:sz w:val="18"/>
          <w:szCs w:val="18"/>
          <w:color w:val="auto"/>
        </w:rPr>
        <w:t>We are liable under operating leases for: (i) land at the Cascata golf course, which expires in 2038 and has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10-year extension options, and (ii) our corporate headquarters in New York, NY, which expires in 2035 and has one five-year renewal option.</w:t>
      </w:r>
    </w:p>
    <w:p>
      <w:pPr>
        <w:spacing w:after="0" w:line="46"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Sub-Lease Commitments. </w:t>
      </w:r>
      <w:r>
        <w:rPr>
          <w:rFonts w:ascii="Times New Roman" w:cs="Times New Roman" w:eastAsia="Times New Roman" w:hAnsi="Times New Roman"/>
          <w:sz w:val="18"/>
          <w:szCs w:val="18"/>
          <w:color w:val="auto"/>
        </w:rPr>
        <w:t>Certain of our acquisitions necessitate that we assume, as the lessee, ground and use leases that may be integral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of the property, the cost of which is passed to our tenants through our lease agreements, which require the tenants to pay all costs associated with such ground and use leases and provide for their direct payment to the landlord.</w:t>
      </w:r>
    </w:p>
    <w:p>
      <w:pPr>
        <w:spacing w:after="0" w:line="120"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determined we are the primary obligor of certain of such ground and use leases and, accordingly, have presented these leases on a gross basis on our Balance Sheet and Statement of Operations.</w:t>
      </w:r>
    </w:p>
    <w:p>
      <w:pPr>
        <w:spacing w:after="0" w:line="5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ground and use leases determined to be operating leases, we recorded sub-lease right-of-use assets in Other assets and sub-lease liabilities in Other liabilities. For ground and use leases determined to be finance leases, we recorded a sales-type sub-lease in Other assets and finance sub-lease liability in Other liabilities.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balance and location in our Balance Sheet of the ground and use sub-leases as of September 30, 2026 and December 31,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7"/>
                <w:szCs w:val="17"/>
                <w:color w:val="auto"/>
              </w:rPr>
            </w:pPr>
          </w:p>
        </w:tc>
        <w:tc>
          <w:tcPr>
            <w:tcW w:w="1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(operating lease and sub-leases right-of-use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53,945</w:t>
            </w: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(operating lease and sub-lease liabilities)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53,654</w:t>
            </w:r>
          </w:p>
        </w:tc>
      </w:tr>
      <w:tr>
        <w:trPr>
          <w:trHeight w:val="243"/>
        </w:trPr>
        <w:tc>
          <w:tcPr>
            <w:tcW w:w="20" w:type="dxa"/>
            <w:vAlign w:val="bottom"/>
            <w:shd w:val="clear" w:color="auto" w:fill="CCEEFF"/>
          </w:tcPr>
          <w:p>
            <w:pPr>
              <w:spacing w:after="0"/>
              <w:rPr>
                <w:sz w:val="21"/>
                <w:szCs w:val="21"/>
                <w:color w:val="auto"/>
              </w:rPr>
            </w:pPr>
          </w:p>
        </w:tc>
        <w:tc>
          <w:tcPr>
            <w:tcW w:w="70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Other assets (sales-type sub-leases, net) </w:t>
            </w:r>
            <w:r>
              <w:rPr>
                <w:rFonts w:ascii="Times New Roman" w:cs="Times New Roman" w:eastAsia="Times New Roman" w:hAnsi="Times New Roman"/>
                <w:sz w:val="23"/>
                <w:szCs w:val="23"/>
                <w:i w:val="1"/>
                <w:iCs w:val="1"/>
                <w:color w:val="auto"/>
                <w:vertAlign w:val="superscript"/>
              </w:rPr>
              <w:t>(1)</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838,936</w:t>
            </w: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(finance sub-lease liabilities)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862,845</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52" w:lineRule="exact"/>
        <w:rPr>
          <w:sz w:val="20"/>
          <w:szCs w:val="20"/>
          <w:color w:val="auto"/>
        </w:rPr>
      </w:pPr>
    </w:p>
    <w:p>
      <w:pPr>
        <w:ind w:firstLine="8"/>
        <w:spacing w:after="0" w:line="305" w:lineRule="auto"/>
        <w:tabs>
          <w:tab w:leader="none" w:pos="205"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As of September 30, 2026 and December 31, 2025, sales-type sub-leases are net of $29.7 million and $23.9 million of allowance for credit losses, respectively. Refer to </w:t>
      </w:r>
      <w:r>
        <w:rPr>
          <w:rFonts w:ascii="Times New Roman" w:cs="Times New Roman" w:eastAsia="Times New Roman" w:hAnsi="Times New Roman"/>
          <w:sz w:val="14"/>
          <w:szCs w:val="14"/>
          <w:i w:val="1"/>
          <w:iCs w:val="1"/>
          <w:u w:val="single" w:color="auto"/>
          <w:color w:val="0000FF"/>
        </w:rPr>
        <w:t>Note 5 –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Credit Losses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 further details.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rental expense for operating lease commitments and total rental income and rental expense for operating and finance sub-lease commitments and contractual rent expense under these agreements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48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Rental expense </w:t>
            </w:r>
            <w:r>
              <w:rPr>
                <w:rFonts w:ascii="Times New Roman" w:cs="Times New Roman" w:eastAsia="Times New Roman" w:hAnsi="Times New Roman"/>
                <w:sz w:val="23"/>
                <w:szCs w:val="23"/>
                <w:i w:val="1"/>
                <w:iCs w:val="1"/>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43"/>
        </w:trPr>
        <w:tc>
          <w:tcPr>
            <w:tcW w:w="2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sub-leases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Rental income and expense </w:t>
            </w:r>
            <w:r>
              <w:rPr>
                <w:rFonts w:ascii="Times New Roman" w:cs="Times New Roman" w:eastAsia="Times New Roman" w:hAnsi="Times New Roman"/>
                <w:sz w:val="23"/>
                <w:szCs w:val="23"/>
                <w:i w:val="1"/>
                <w:iCs w:val="1"/>
                <w:color w:val="auto"/>
                <w:vertAlign w:val="superscript"/>
              </w:rPr>
              <w:t>(2)</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r>
        <w:trPr>
          <w:trHeight w:val="243"/>
        </w:trPr>
        <w:tc>
          <w:tcPr>
            <w:tcW w:w="2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sub-leases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8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Rental income and expense </w:t>
            </w:r>
            <w:r>
              <w:rPr>
                <w:rFonts w:ascii="Times New Roman" w:cs="Times New Roman" w:eastAsia="Times New Roman" w:hAnsi="Times New Roman"/>
                <w:sz w:val="23"/>
                <w:szCs w:val="23"/>
                <w:i w:val="1"/>
                <w:iCs w:val="1"/>
                <w:color w:val="auto"/>
                <w:vertAlign w:val="superscript"/>
              </w:rPr>
              <w:t>(2)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47,908</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rental expense is included in Golf expenses and General and administrative expenses in our Statement of Operations.</w:t>
      </w:r>
    </w:p>
    <w:p>
      <w:pPr>
        <w:spacing w:after="0" w:line="11" w:lineRule="exact"/>
        <w:rPr>
          <w:rFonts w:ascii="Times New Roman" w:cs="Times New Roman" w:eastAsia="Times New Roman" w:hAnsi="Times New Roman"/>
          <w:sz w:val="14"/>
          <w:szCs w:val="14"/>
          <w:i w:val="1"/>
          <w:iCs w:val="1"/>
          <w:color w:val="auto"/>
        </w:rPr>
      </w:pPr>
    </w:p>
    <w:p>
      <w:pPr>
        <w:ind w:firstLine="8"/>
        <w:spacing w:after="0" w:line="261" w:lineRule="auto"/>
        <w:tabs>
          <w:tab w:leader="none" w:pos="229"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rental income and rental expense for operating and finance sub-lease commitments are presented gross and included in Other income and Other expenses in our Statement of Operations.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lease commitments relating to the base lease rent portion of noncancelable operating leases and ground and use sub-leases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 Commitments</w:t>
            </w:r>
          </w:p>
        </w:tc>
        <w:tc>
          <w:tcPr>
            <w:tcW w:w="260" w:type="dxa"/>
            <w:vAlign w:val="bottom"/>
          </w:tcPr>
          <w:p>
            <w:pPr>
              <w:spacing w:after="0"/>
              <w:rPr>
                <w:sz w:val="16"/>
                <w:szCs w:val="16"/>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Operating Sub-Lease</w:t>
            </w:r>
          </w:p>
        </w:tc>
        <w:tc>
          <w:tcPr>
            <w:tcW w:w="240" w:type="dxa"/>
            <w:vAlign w:val="bottom"/>
          </w:tcPr>
          <w:p>
            <w:pPr>
              <w:spacing w:after="0"/>
              <w:rPr>
                <w:sz w:val="16"/>
                <w:szCs w:val="16"/>
                <w:color w:val="auto"/>
              </w:rPr>
            </w:pPr>
          </w:p>
        </w:tc>
        <w:tc>
          <w:tcPr>
            <w:tcW w:w="20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Financing Sub-Lease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3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rPr>
              <w:t>Commitments</w:t>
            </w:r>
          </w:p>
        </w:tc>
        <w:tc>
          <w:tcPr>
            <w:tcW w:w="240" w:type="dxa"/>
            <w:vAlign w:val="bottom"/>
          </w:tcPr>
          <w:p>
            <w:pPr>
              <w:spacing w:after="0"/>
              <w:rPr>
                <w:sz w:val="14"/>
                <w:szCs w:val="14"/>
                <w:color w:val="auto"/>
              </w:rPr>
            </w:pPr>
          </w:p>
        </w:tc>
        <w:tc>
          <w:tcPr>
            <w:tcW w:w="202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6"/>
                <w:szCs w:val="16"/>
                <w:b w:val="1"/>
                <w:bCs w:val="1"/>
                <w:color w:val="auto"/>
              </w:rPr>
              <w:t>Commitments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7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0" w:type="dxa"/>
            <w:vAlign w:val="bottom"/>
          </w:tcPr>
          <w:p>
            <w:pPr>
              <w:spacing w:after="0"/>
              <w:rPr>
                <w:sz w:val="1"/>
                <w:szCs w:val="1"/>
                <w:color w:val="auto"/>
              </w:rPr>
            </w:pPr>
          </w:p>
        </w:tc>
      </w:tr>
      <w:tr>
        <w:trPr>
          <w:trHeight w:val="24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65,206</w:t>
            </w:r>
          </w:p>
        </w:tc>
        <w:tc>
          <w:tcPr>
            <w:tcW w:w="0" w:type="dxa"/>
            <w:vAlign w:val="bottom"/>
          </w:tcPr>
          <w:p>
            <w:pPr>
              <w:spacing w:after="0"/>
              <w:rPr>
                <w:sz w:val="1"/>
                <w:szCs w:val="1"/>
                <w:color w:val="auto"/>
              </w:rPr>
            </w:pPr>
          </w:p>
        </w:tc>
      </w:tr>
      <w:tr>
        <w:trPr>
          <w:trHeight w:val="243"/>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65,267</w:t>
            </w:r>
          </w:p>
        </w:tc>
        <w:tc>
          <w:tcPr>
            <w:tcW w:w="0" w:type="dxa"/>
            <w:vAlign w:val="bottom"/>
          </w:tcPr>
          <w:p>
            <w:pPr>
              <w:spacing w:after="0"/>
              <w:rPr>
                <w:sz w:val="1"/>
                <w:szCs w:val="1"/>
                <w:color w:val="auto"/>
              </w:rPr>
            </w:pPr>
          </w:p>
        </w:tc>
      </w:tr>
      <w:tr>
        <w:trPr>
          <w:trHeight w:val="24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65,820</w:t>
            </w:r>
          </w:p>
        </w:tc>
        <w:tc>
          <w:tcPr>
            <w:tcW w:w="0" w:type="dxa"/>
            <w:vAlign w:val="bottom"/>
          </w:tcPr>
          <w:p>
            <w:pPr>
              <w:spacing w:after="0"/>
              <w:rPr>
                <w:sz w:val="1"/>
                <w:szCs w:val="1"/>
                <w:color w:val="auto"/>
              </w:rPr>
            </w:pPr>
          </w:p>
        </w:tc>
      </w:tr>
      <w:tr>
        <w:trPr>
          <w:trHeight w:val="243"/>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w:t>
            </w:r>
          </w:p>
        </w:tc>
        <w:tc>
          <w:tcPr>
            <w:tcW w:w="0" w:type="dxa"/>
            <w:vAlign w:val="bottom"/>
          </w:tcPr>
          <w:p>
            <w:pPr>
              <w:spacing w:after="0"/>
              <w:rPr>
                <w:sz w:val="1"/>
                <w:szCs w:val="1"/>
                <w:color w:val="auto"/>
              </w:rPr>
            </w:pPr>
          </w:p>
        </w:tc>
      </w:tr>
      <w:tr>
        <w:trPr>
          <w:trHeight w:val="24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2,560,672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2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minimum lease commitments</w:t>
            </w:r>
          </w:p>
        </w:tc>
        <w:tc>
          <w:tcPr>
            <w:tcW w:w="7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2,904,773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Discounting factor</w:t>
            </w:r>
          </w:p>
        </w:tc>
        <w:tc>
          <w:tcPr>
            <w:tcW w:w="7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2,044,174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7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860,599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Discount rates </w:t>
            </w:r>
            <w:r>
              <w:rPr>
                <w:rFonts w:ascii="Times New Roman" w:cs="Times New Roman" w:eastAsia="Times New Roman" w:hAnsi="Times New Roman"/>
                <w:sz w:val="23"/>
                <w:szCs w:val="23"/>
                <w:i w:val="1"/>
                <w:iCs w:val="1"/>
                <w:color w:val="auto"/>
                <w:vertAlign w:val="superscript"/>
              </w:rPr>
              <w:t>(1)</w:t>
            </w:r>
          </w:p>
        </w:tc>
        <w:tc>
          <w:tcPr>
            <w:tcW w:w="72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 – 7.0%</w:t>
            </w:r>
          </w:p>
        </w:tc>
        <w:tc>
          <w:tcPr>
            <w:tcW w:w="260" w:type="dxa"/>
            <w:vAlign w:val="bottom"/>
          </w:tcPr>
          <w:p>
            <w:pPr>
              <w:spacing w:after="0"/>
              <w:rPr>
                <w:sz w:val="21"/>
                <w:szCs w:val="21"/>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 – 5.8%</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 8.3%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72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 years</w:t>
            </w:r>
          </w:p>
        </w:tc>
        <w:tc>
          <w:tcPr>
            <w:tcW w:w="260" w:type="dxa"/>
            <w:vAlign w:val="bottom"/>
          </w:tcPr>
          <w:p>
            <w:pPr>
              <w:spacing w:after="0"/>
              <w:rPr>
                <w:sz w:val="21"/>
                <w:szCs w:val="21"/>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 years</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years</w:t>
            </w:r>
          </w:p>
        </w:tc>
        <w:tc>
          <w:tcPr>
            <w:tcW w:w="0" w:type="dxa"/>
            <w:vAlign w:val="bottom"/>
          </w:tcPr>
          <w:p>
            <w:pPr>
              <w:spacing w:after="0"/>
              <w:rPr>
                <w:sz w:val="1"/>
                <w:szCs w:val="1"/>
                <w:color w:val="auto"/>
              </w:rPr>
            </w:pP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i w:val="1"/>
          <w:iCs w:val="1"/>
          <w:color w:val="auto"/>
        </w:rPr>
        <w:t>(1) The discount rates for the leases were determined based on the yield of our then current secured borrowings, adjusted to match borrowings of similar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 Stockholders’ 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we have the authority to issue 1,400,000,000 shares of stock, consisting of 1,350,000,000 shares of common stock, $0.01 par value per share, and 50,000,000 shares of preferred stock, $0.01 par value per share.</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There were no marketed public offerings of our common stock during the three months ended September 30, 2026 and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transactions under the ATM Program during the nine months ended September 30, 2025, all of which were conducted subject to forward sale agreements, which we refer to as ATM forward sale agreements. There were no such transactions during the nine months ended September 30, 2026.</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Value</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Net Forward Sales</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 Net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Share Price</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Price Per Share</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84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 ATM Forward Sale Agreements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7,835,973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Settlement Activity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settlement activity of the outstanding forward shares under the ATM Program during the nine months ended September 30, 2026 and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Settlement Date</w:t>
            </w: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Settlement Type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Proceeds Upon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6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300" w:type="dxa"/>
            <w:vAlign w:val="bottom"/>
          </w:tcPr>
          <w:p>
            <w:pPr>
              <w:spacing w:after="0"/>
              <w:rPr>
                <w:sz w:val="14"/>
                <w:szCs w:val="14"/>
                <w:color w:val="auto"/>
              </w:rPr>
            </w:pPr>
          </w:p>
        </w:tc>
        <w:tc>
          <w:tcPr>
            <w:tcW w:w="146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April 29, 2026</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7,750,000</w:t>
            </w:r>
          </w:p>
        </w:tc>
        <w:tc>
          <w:tcPr>
            <w:tcW w:w="10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242,144</w:t>
            </w:r>
          </w:p>
        </w:tc>
        <w:tc>
          <w:tcPr>
            <w:tcW w:w="0" w:type="dxa"/>
            <w:vAlign w:val="bottom"/>
          </w:tcPr>
          <w:p>
            <w:pPr>
              <w:spacing w:after="0"/>
              <w:rPr>
                <w:sz w:val="1"/>
                <w:szCs w:val="1"/>
                <w:color w:val="auto"/>
              </w:rPr>
            </w:pPr>
          </w:p>
        </w:tc>
      </w:tr>
      <w:tr>
        <w:trPr>
          <w:trHeight w:val="243"/>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9,662,116</w:t>
            </w:r>
          </w:p>
        </w:tc>
        <w:tc>
          <w:tcPr>
            <w:tcW w:w="10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295,966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August 11, 2025</w:t>
            </w:r>
          </w:p>
        </w:tc>
        <w:tc>
          <w:tcPr>
            <w:tcW w:w="1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2,439,256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79,761</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quarter-end, on October 27, 2026, our Board of Directors authorized a share repurchase program (the “Share Repurchase Program”) for up to $2.0 billion in shares of our common stock, which will expire on September 30, 2029. Repurchases under the Share Repurchase Program may be made from time to time at our discretion through open market purchases, privately negotiated transactions, Rule 10b5-1 plans or other methods, in accordance with applicable securities laws. The Share Repurchase Program does not obligate us to repurchase any particular amount of common stock and may be suspended or discontinued at any time.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issuance of outstanding shares of common stock, including restricted common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Outstanding</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January 1,</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1,068,811,371</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1,056,366,685</w:t>
            </w:r>
          </w:p>
        </w:tc>
      </w:tr>
      <w:tr>
        <w:trPr>
          <w:trHeight w:val="24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the Golden Entertainment Transaction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24,296,255</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physical settlement of forward sale agreements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7,750,000</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12,101,372</w:t>
            </w:r>
          </w:p>
        </w:tc>
      </w:tr>
      <w:tr>
        <w:trPr>
          <w:trHeight w:val="189"/>
        </w:trPr>
        <w:tc>
          <w:tcPr>
            <w:tcW w:w="71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restricted and unrestricted common stock under the stock incentive program, net of</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43"/>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225,498</w:t>
            </w: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340,637</w:t>
            </w:r>
          </w:p>
        </w:tc>
      </w:tr>
      <w:tr>
        <w:trPr>
          <w:trHeight w:val="261"/>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September 30,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1,101,083,124</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1,068,808,694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(on a per share basis) during the nine months ended September 30, 2026 and 2025 were as follows:</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Borders>
              <w:bottom w:val="single" w:sz="8" w:color="CCEEFF"/>
            </w:tcBorders>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39"/>
        </w:trPr>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5, 2026</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19, 2026</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9, 2026</w:t>
            </w: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2026 – March 31, 2026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0.4500</w:t>
            </w:r>
          </w:p>
        </w:tc>
      </w:tr>
      <w:tr>
        <w:trPr>
          <w:trHeight w:val="243"/>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4, 2026</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2026</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9, 2026</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2026 – June 30, 2026</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0.4500</w:t>
            </w:r>
          </w:p>
        </w:tc>
      </w:tr>
      <w:tr>
        <w:trPr>
          <w:trHeight w:val="243"/>
        </w:trPr>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3, 2026</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17, 2026</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8, 2026</w:t>
            </w: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2026 – September 30, 2026</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0.4600</w:t>
            </w:r>
          </w:p>
        </w:tc>
      </w:tr>
      <w:tr>
        <w:trPr>
          <w:trHeight w:val="443"/>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3"/>
        </w:trPr>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Borders>
              <w:bottom w:val="single" w:sz="8" w:color="CCEEFF"/>
            </w:tcBorders>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40"/>
        </w:trPr>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6, 2025</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 2025</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3, 2025</w:t>
            </w: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2025 – March 31, 2025</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0.4325</w:t>
            </w:r>
          </w:p>
        </w:tc>
      </w:tr>
      <w:tr>
        <w:trPr>
          <w:trHeight w:val="243"/>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5, 2025</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2025</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July 10, 2025</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2025 – June 30, 2025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0.4325</w:t>
            </w:r>
          </w:p>
        </w:tc>
      </w:tr>
      <w:tr>
        <w:trPr>
          <w:trHeight w:val="243"/>
        </w:trPr>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4, 2025</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9, 2025</w:t>
            </w: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2025 – September 30, 2025</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0.4500</w:t>
            </w: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 Earnings Per Share and Earnings Per Unit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auto"/>
        </w:rPr>
        <w:t>,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Determination of shares: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1,059,871</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conversion of restricted stock</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43"/>
        </w:trPr>
        <w:tc>
          <w:tcPr>
            <w:tcW w:w="20" w:type="dxa"/>
            <w:vAlign w:val="bottom"/>
          </w:tcPr>
          <w:p>
            <w:pPr>
              <w:spacing w:after="0"/>
              <w:rPr>
                <w:sz w:val="21"/>
                <w:szCs w:val="21"/>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Assumed settlement of forward sale agreements</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48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24"/>
                <w:szCs w:val="24"/>
                <w:color w:val="auto"/>
              </w:rPr>
            </w:pPr>
          </w:p>
        </w:tc>
        <w:tc>
          <w:tcPr>
            <w:tcW w:w="25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34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1,741,445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2,170,726</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1,100,560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1,067,254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1,086,503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1,059,871</w:t>
            </w:r>
          </w:p>
        </w:tc>
      </w:tr>
      <w:tr>
        <w:trPr>
          <w:trHeight w:val="237"/>
        </w:trPr>
        <w:tc>
          <w:tcPr>
            <w:tcW w:w="20" w:type="dxa"/>
            <w:vAlign w:val="bottom"/>
          </w:tcPr>
          <w:p>
            <w:pPr>
              <w:spacing w:after="0"/>
              <w:rPr>
                <w:sz w:val="20"/>
                <w:szCs w:val="20"/>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59"/>
        </w:trPr>
        <w:tc>
          <w:tcPr>
            <w:tcW w:w="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32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4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2,170,726</w:t>
            </w:r>
          </w:p>
        </w:tc>
      </w:tr>
      <w:tr>
        <w:trPr>
          <w:trHeight w:val="243"/>
        </w:trPr>
        <w:tc>
          <w:tcPr>
            <w:tcW w:w="2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1,100,625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1,068,369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1,086,581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1,060,732</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units outstanding used in the calculation of basic EPU to the diluted weighted-average units outstanding used in the calculation of diluted EPU:</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Determination of units: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1,072,102</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conversion of VICI restricted stock</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43"/>
        </w:trPr>
        <w:tc>
          <w:tcPr>
            <w:tcW w:w="20" w:type="dxa"/>
            <w:vAlign w:val="bottom"/>
          </w:tcPr>
          <w:p>
            <w:pPr>
              <w:spacing w:after="0"/>
              <w:rPr>
                <w:sz w:val="21"/>
                <w:szCs w:val="21"/>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Assumed settlement of VICI forward sale agreements</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48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units outstanding</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24"/>
                <w:szCs w:val="24"/>
                <w:color w:val="auto"/>
              </w:rPr>
            </w:pPr>
          </w:p>
        </w:tc>
        <w:tc>
          <w:tcPr>
            <w:tcW w:w="25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4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unit data)</w:t>
            </w: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346,716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1,755,658</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2,190,024</w:t>
            </w: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1,112,792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1,098,735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1,072,102</w:t>
            </w:r>
          </w:p>
        </w:tc>
      </w:tr>
      <w:tr>
        <w:trPr>
          <w:trHeight w:val="237"/>
        </w:trPr>
        <w:tc>
          <w:tcPr>
            <w:tcW w:w="20" w:type="dxa"/>
            <w:vAlign w:val="bottom"/>
          </w:tcPr>
          <w:p>
            <w:pPr>
              <w:spacing w:after="0"/>
              <w:rPr>
                <w:sz w:val="20"/>
                <w:szCs w:val="20"/>
                <w:color w:val="auto"/>
              </w:rPr>
            </w:pPr>
          </w:p>
        </w:tc>
        <w:tc>
          <w:tcPr>
            <w:tcW w:w="5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Basic EPU</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60"/>
        </w:trPr>
        <w:tc>
          <w:tcPr>
            <w:tcW w:w="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4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54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2,190,024</w:t>
            </w:r>
          </w:p>
        </w:tc>
      </w:tr>
      <w:tr>
        <w:trPr>
          <w:trHeight w:val="243"/>
        </w:trPr>
        <w:tc>
          <w:tcPr>
            <w:tcW w:w="2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Diluted weighted-average units outstanding</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1,112,857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1,080,601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1,098,812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1,072,963</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4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EPU</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 Stock-Based Compensation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2026, approximately 8.7 million shares of common stock remained available for issuance by us as equity awards under the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stock-based compensation expense recorded as General and administrative expense in the Statement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5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4"/>
                <w:szCs w:val="14"/>
                <w:color w:val="auto"/>
              </w:rPr>
            </w:pPr>
          </w:p>
        </w:tc>
        <w:tc>
          <w:tcPr>
            <w:tcW w:w="980" w:type="dxa"/>
            <w:vAlign w:val="bottom"/>
          </w:tcPr>
          <w:p>
            <w:pPr>
              <w:jc w:val="right"/>
              <w:ind w:right="417"/>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5"/>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7"/>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435"/>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89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activity of our time-based restricted stock and performance-based restricted stock units: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Time-Based Restricted Stock</w:t>
            </w:r>
          </w:p>
        </w:tc>
        <w:tc>
          <w:tcPr>
            <w:tcW w:w="100" w:type="dxa"/>
            <w:vAlign w:val="bottom"/>
            <w:gridSpan w:val="2"/>
          </w:tcPr>
          <w:p>
            <w:pPr>
              <w:spacing w:after="0"/>
              <w:rPr>
                <w:sz w:val="19"/>
                <w:szCs w:val="19"/>
                <w:color w:val="auto"/>
              </w:rPr>
            </w:pPr>
          </w:p>
        </w:tc>
        <w:tc>
          <w:tcPr>
            <w:tcW w:w="3880" w:type="dxa"/>
            <w:vAlign w:val="bottom"/>
            <w:tcBorders>
              <w:bottom w:val="single" w:sz="8" w:color="auto"/>
            </w:tcBorders>
            <w:gridSpan w:val="6"/>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Units</w:t>
            </w: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vMerge w:val="restart"/>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gridSpan w:val="2"/>
            <w:vMerge w:val="restart"/>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17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ind w:right="32"/>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3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share/unit data)</w:t>
            </w:r>
          </w:p>
        </w:tc>
        <w:tc>
          <w:tcPr>
            <w:tcW w:w="1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CCEEFF"/>
            </w:tcBorders>
            <w:gridSpan w:val="2"/>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38"/>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4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1"/>
                <w:szCs w:val="21"/>
                <w:color w:val="auto"/>
              </w:rPr>
            </w:pPr>
          </w:p>
        </w:tc>
        <w:tc>
          <w:tcPr>
            <w:tcW w:w="1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3"/>
        </w:trPr>
        <w:tc>
          <w:tcPr>
            <w:tcW w:w="3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5"/>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Time-Based Restricted Stock</w:t>
            </w:r>
          </w:p>
        </w:tc>
        <w:tc>
          <w:tcPr>
            <w:tcW w:w="8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Units</w:t>
            </w: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vMerge w:val="restart"/>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1700" w:type="dxa"/>
            <w:vAlign w:val="bottom"/>
            <w:vMerge w:val="restart"/>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4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ind w:right="72"/>
              <w:spacing w:after="0" w:line="172"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share/unit data)</w:t>
            </w:r>
          </w:p>
        </w:tc>
        <w:tc>
          <w:tcPr>
            <w:tcW w:w="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3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4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24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$25.5 million of unrecognized compensation cost related to non-vested stock-based compensation arrangements under the Plan. This cost is expected to be recognized over a weighted average period of 1.8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 Segment Information</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consist of real estate investment activities, which represent substantially all of our business. Accordingly, all of our operations have been considered to represent one operating segment and one reportable segment. Our CODM is Edward B. Pitoniak, our CEO, who assesses the performance of our Company using consolidated Net income as reported on the Statement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evaluating total general and administrative expenses against the Company’s approved budget. Significant segment expenses and other segment items are identical to what is reported on the face of the Statement of Operations. The CODM does not review assets at a different asset level or category than the amounts disclosed in the Balance Sheet.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Management’s Discussion and Analysis of Financial Condition and Results of Operations</w:t>
      </w:r>
    </w:p>
    <w:p>
      <w:pPr>
        <w:spacing w:after="0" w:line="163" w:lineRule="exact"/>
        <w:rPr>
          <w:sz w:val="20"/>
          <w:szCs w:val="20"/>
          <w:color w:val="auto"/>
        </w:rPr>
      </w:pPr>
    </w:p>
    <w:p>
      <w:pPr>
        <w:jc w:val="both"/>
        <w:spacing w:after="0" w:line="277"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The following discussion and analysis of the financial position and operating results of VICI Properties Inc. and VICI Properties L.P. for the three and nine months ended September 30, 2026 should be read in conjunction with the Financial Statements and related notes thereto and other financial information contained elsewhere in this Quarterly Report on Form 10-Q and the audited consolidated financial statements and related notes for the year ended December 31, 2025, which were included in our </w:t>
      </w:r>
      <w:hyperlink r:id="rId27">
        <w:r>
          <w:rPr>
            <w:rFonts w:ascii="Times New Roman" w:cs="Times New Roman" w:eastAsia="Times New Roman" w:hAnsi="Times New Roman"/>
            <w:sz w:val="17"/>
            <w:szCs w:val="17"/>
            <w:i w:val="1"/>
            <w:iCs w:val="1"/>
            <w:u w:val="single" w:color="auto"/>
            <w:color w:val="0000FF"/>
          </w:rPr>
          <w:t>Annual Report on Form 10-K for the year ended December 31, 2025</w:t>
        </w:r>
      </w:hyperlink>
      <w:r>
        <w:rPr>
          <w:rFonts w:ascii="Times New Roman" w:cs="Times New Roman" w:eastAsia="Times New Roman" w:hAnsi="Times New Roman"/>
          <w:sz w:val="17"/>
          <w:szCs w:val="17"/>
          <w:i w:val="1"/>
          <w:iCs w:val="1"/>
          <w:color w:val="auto"/>
        </w:rPr>
        <w:t xml:space="preserve">. All defined terms included herein have the same meaning as those set forth in the </w:t>
      </w:r>
      <w:r>
        <w:rPr>
          <w:rFonts w:ascii="Times New Roman" w:cs="Times New Roman" w:eastAsia="Times New Roman" w:hAnsi="Times New Roman"/>
          <w:sz w:val="17"/>
          <w:szCs w:val="17"/>
          <w:i w:val="1"/>
          <w:iCs w:val="1"/>
          <w:u w:val="single" w:color="auto"/>
          <w:color w:val="0000FF"/>
        </w:rPr>
        <w:t>Notes to the Consolidated Financial Statements</w:t>
      </w:r>
      <w:r>
        <w:rPr>
          <w:rFonts w:ascii="Times New Roman" w:cs="Times New Roman" w:eastAsia="Times New Roman" w:hAnsi="Times New Roman"/>
          <w:sz w:val="17"/>
          <w:szCs w:val="17"/>
          <w:i w:val="1"/>
          <w:iCs w:val="1"/>
          <w:color w:val="auto"/>
        </w:rPr>
        <w:t xml:space="preserve"> contained within this Quarterly Report on Form 10-Q.</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the financial condition and performance of our tenants, borrowers, and their affiliates, and our dependence on them for substantially all of our revenues (including our tenants’ renewal of the respective lease agreements following the initial or subsequent terms); the performance of the gaming and other experiential industries in which our tenants and borrowers operate, and our dependence on the gaming industry and Las Vegas in particular; our ability to successfully pursue and consummate acquisitions and investments, and realize the anticipated benefits thereof; the impact of extensive regulation from gaming and other regulatory authorities; our substantial indebtedness and ability to service, refinance and fulfill our obligations thereunder, and our ability to make distributions to stockholders; our ability to maintain our qualification for taxation as a REIT; and additional operational, legal and external risks. The foregoing list is intended to identify certain of the principal factors that could cause actual results to differ materially from those described in the forward-looking statements and is not intended to be exhaustive. For a more complete discussion of the risks and uncertainties that may affect our business, see “Risk Factors” in our most recent Annual Report on Form 10-K and subsequent filings with the SEC.</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primarily engaged in the business of owning and acquiring gaming, hospitality, wellness, entertainment and leisure destinations, subject to long-term triple-net leases. We own 103 experiential assets across a geographically diverse portfolio consisting of 63 gaming properties and 40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130 million square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feet, our well-maintained properties are currently located across urban, destination and drive-to markets in twenty-six states, one U.S. territory and Canada, contain approximately 66,000 hotel rooms and feature over 700 restaurants, bars, nightclubs and sportsbooks. As of September 30, 2026, our properties are 100% leased with a weighted average lease term based on contractual rent, including extension options, of approximately 39.4 years.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a growing array of real estate and financing partnerships with leading developers and operators in other experiential sectors, including Cabot, Cain, Canyon Ranch, Chelsea Piers, Club Med, Great Wolf Resorts, Homefield, Kalahari Resorts, and Lucky Strike Entertainment. This portfolio includes certain real estate debt investments that were originated for strategic purposes, including (i) the potential to convert our investment into the ownership of the underlying real estate, (ii) the opportunity to develop relationships with owners and operators that may lead to other investments in experiential asset classes that fit within our investment criteria and objectives, and (iii) the ability to make investments in experiential asset classes outside of gaming with a goal of increasing our investment activity in these asset classes over time. In addition, we own approximately 33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our operations as a REIT for U.S. federal income tax purposes. We generally will not be subject to U.S. federal income taxes on our taxable income to the extent that we annually distribute substantially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TRS, VICI Golf.</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included in this Quarterly Report on Form 10-Q is our consolidated results (including the real property business and the golf course business) for the three and nine months ended September 30,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Material Trends on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macroeconomic environment continues to create additional risk and uncertainty for businesses, including us and our tenants, including the impact of, and expectations relating to, changing interest rates, inflationary and recessionary threats, geopolitical and regulatory uncertainty, and increased cost of capital. Our tenants also face additional challenges, including potential changes in consumer confidence levels, behavior and spending, increasing competition from a variety of sources, and increased operational expenses, such as with respect to the impact of tariffs or trade barriers, labor, insurance or energy costs. As a triple-net lessor, our tenants’ operational performance, as impacted by factors such as increased competition or operational expenses at our leased properties, generally does not directly impact their rent obligations or other obligations under our lease agreements (other than compliance with financial covenants and other terms when applicable). Our borrowers are similarly responsible for operating their businesses, subject to compliance with the terms of our loan agreements. However, our tenants’ and borrowers’ business strategies and their ability to execute their business plans effectively, including in response to evolving macroeconomic, competitive, regulatory and consumer dynamics, may impact our financial results and performance, especially over the long term.</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portfolio and asset management function, we monitor our tenants’ and borrowers’ financial performance on an ongoing basis. Financial underperformance or operating challenges experienced by any of our tenants or borrowers, whether driven by consumer shifts, competitive dynamics, strategic decisions, or broader industry or macroeconomic conditions, may adversely affect their ability to fulfill their contractual obligations under our lease and loan agreements. The full extent to which the trends described herein adversely affect our tenants and borrowers, the industries in which they operate, and/or ultimately impact our business, financial results and performance depends on future developments that cannot be predicted with confidence, including our tenants’ and borrowers’ business strategy and financial performance, the direct and indirect effects of the trends discussed in this section and the impact of any future measures taken in response to such trends.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82" w:lineRule="auto"/>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auto"/>
          </w:rPr>
          <w:t xml:space="preserve">For more information, refer to the sections entitled “Key Trends That May Affect Our Business” and “Risk Factors” in our </w:t>
        </w:r>
        <w:r>
          <w:rPr>
            <w:rFonts w:ascii="Times New Roman" w:cs="Times New Roman" w:eastAsia="Times New Roman" w:hAnsi="Times New Roman"/>
            <w:sz w:val="18"/>
            <w:szCs w:val="18"/>
            <w:u w:val="single" w:color="auto"/>
            <w:color w:val="0000FF"/>
          </w:rPr>
          <w:t>Annual Report on Form 10-K</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FF"/>
          </w:rPr>
          <w:t>for the year ended December 31, 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as updated from time to time in our other filings with the SEC.</w:t>
        </w:r>
      </w:hyperlink>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ACTIVITIES DURING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Leasing Activity</w:t>
      </w:r>
    </w:p>
    <w:p>
      <w:pPr>
        <w:spacing w:after="0" w:line="171" w:lineRule="exact"/>
        <w:rPr>
          <w:sz w:val="20"/>
          <w:szCs w:val="20"/>
          <w:color w:val="auto"/>
        </w:rPr>
      </w:pPr>
    </w:p>
    <w:p>
      <w:pPr>
        <w:jc w:val="both"/>
        <w:ind w:left="660" w:hanging="328"/>
        <w:spacing w:after="0" w:line="253" w:lineRule="auto"/>
        <w:tabs>
          <w:tab w:leader="none" w:pos="65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Century Casinos Canada Severance Lease. </w:t>
      </w:r>
      <w:r>
        <w:rPr>
          <w:rFonts w:ascii="Times New Roman" w:cs="Times New Roman" w:eastAsia="Times New Roman" w:hAnsi="Times New Roman"/>
          <w:sz w:val="18"/>
          <w:szCs w:val="18"/>
          <w:color w:val="auto"/>
        </w:rPr>
        <w:t>On September 28, 2026, in connection with Century Casinos’ agreement to sell the operations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Canada Racinos to a subsidiary of Highfield, we announced an agreement to enter into (i) the Highfield Master Lease, a new separate triple-net lease agreement with a subsidiary of Highfield with respect to the real property of the Century Canada Racinos, and (ii) an amendment to the existing Century Master Lease in order to account for Century Casinos’ divestiture of the operations of the Century Canada Racinos and to reduce the annual base rent under the Century Master Lease by the initial base rent under the Highfield Master Lease. The Highfield Master Lease will have an initial annual base rent of C$10.7 million (approximately US$7.5 million as of the day prior to announcement) and, if closing occurs after January 1, 2027, such base rent shall escalate as provided for in the Century Master Lease on such date. Upon closing, the Highfield Master Lease will begin a new 20-year initial lease term with four 5-year renewal options, with other economic terms substantially similar to the terms for the Canadian assets under the Century Master Lease, including escalation equal to the greater of 1.25% and the change in Canadian CPI (capped at 2.5%) and a minimum capital expenditure requirement equal to 1.0% of annual net revenue at each property. The Highfield Master Lease will be guaranteed by Highfield Investment Group, Inc. The transaction is subject to customary closing conditions and regulatory approvals and is expected to be completed in the fourth quarter of 2026 or the first quarter of 2027.</w:t>
      </w:r>
    </w:p>
    <w:p>
      <w:pPr>
        <w:spacing w:after="0" w:line="13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5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Gamehost Transaction. </w:t>
      </w:r>
      <w:r>
        <w:rPr>
          <w:rFonts w:ascii="Times New Roman" w:cs="Times New Roman" w:eastAsia="Times New Roman" w:hAnsi="Times New Roman"/>
          <w:sz w:val="18"/>
          <w:szCs w:val="18"/>
          <w:color w:val="auto"/>
        </w:rPr>
        <w:t>On June 24, 2026, we closed on the previously announced Gamehost Transaction to acquire the Gamehost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the real estate assets of Deerfoot Inn &amp; Casino, Great Northern Casino and two limited-service hotels that are adjacent to Great Northern Casino, located in Alberta, Canada, in connection with the PURE Gamehost Acquisition for an aggregate purchase price of C$200.6 million (approximately US$141.0 million based on the exchange rate at the time of the transaction closing). We financed the Gamehost Transaction with a combination of cash on hand and a C$185.0 million (approximately US$130.0 million based on the exchange rate at the time of the transaction closing) draw under our Revolving Credit Facility.</w:t>
      </w:r>
    </w:p>
    <w:p>
      <w:pPr>
        <w:spacing w:after="0" w:line="132" w:lineRule="exact"/>
        <w:rPr>
          <w:rFonts w:ascii="Times New Roman" w:cs="Times New Roman" w:eastAsia="Times New Roman" w:hAnsi="Times New Roman"/>
          <w:sz w:val="18"/>
          <w:szCs w:val="18"/>
          <w:b w:val="1"/>
          <w:bCs w:val="1"/>
          <w:i w:val="1"/>
          <w:iCs w:val="1"/>
          <w:color w:val="auto"/>
        </w:rPr>
      </w:pPr>
    </w:p>
    <w:p>
      <w:pPr>
        <w:jc w:val="both"/>
        <w:ind w:left="6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Simultaneous with the closing of the PURE Gamehost Acquisition, the Gamehost Portfolio was added to the existing PURE Master Lease and annual rent increased by C$16.1 million (US$11.3 million based on the exchange rate at the time of the transaction closing). The Gamehost Portfolio rent will escalate at 1.0% on February 1 following the first full 12 months post-closing (consistent with the timing of the PURE Master Lease), and subsequent escalation will conform to the PURE Master Lease thereafter at the greater of 1.5% or the change in Canadian CPI (capped at 2.5%). Additionally, the term of the PURE Master Lease was extended such that, as of closing of the PURE Gamehost Acquisition, the PURE Master Lease has a full 25 years remaining in the initial lease term, with four 5-year tenant renewal options. The tenant’s obligations under the PURE Master Lease continue to be guaranteed by Indigenous Gaming Partners Inc.</w:t>
      </w:r>
    </w:p>
    <w:p>
      <w:pPr>
        <w:spacing w:after="0" w:line="10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Club Med St. Croix Transaction. </w:t>
      </w:r>
      <w:r>
        <w:rPr>
          <w:rFonts w:ascii="Times New Roman" w:cs="Times New Roman" w:eastAsia="Times New Roman" w:hAnsi="Times New Roman"/>
          <w:sz w:val="18"/>
          <w:szCs w:val="18"/>
          <w:color w:val="auto"/>
        </w:rPr>
        <w:t>On June 15, 2026, we announced the acquisition and planned redevelopment of the Carambola Beach Resort,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 Croix Resort, located in the U.S. Virgin Islands, in association with Club Med, the pioneer of the all-inclusive resort concept with nearly 60 resorts spanning across 40 countries on five continents. Following our acquisition of the St. Croix Resort for $20.3 million, we entered into the Club Med Lease and have agreed to fund Club Med’s $55.2 million redevelopment of the St. Croix Resort through a build-to-suit structure. </w:t>
      </w:r>
      <w:r>
        <w:rPr>
          <w:rFonts w:ascii="Times New Roman" w:cs="Times New Roman" w:eastAsia="Times New Roman" w:hAnsi="Times New Roman"/>
          <w:sz w:val="18"/>
          <w:szCs w:val="18"/>
          <w:color w:val="231F20"/>
        </w:rPr>
        <w:t>Construction has commenced with a targeted reopening in the fourth quarter of 2027.</w:t>
      </w:r>
    </w:p>
    <w:p>
      <w:pPr>
        <w:spacing w:after="0" w:line="12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5" w:lineRule="auto"/>
        <w:tabs>
          <w:tab w:leader="none" w:pos="65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Golden Entertainment Transaction. </w:t>
      </w:r>
      <w:r>
        <w:rPr>
          <w:rFonts w:ascii="Times New Roman" w:cs="Times New Roman" w:eastAsia="Times New Roman" w:hAnsi="Times New Roman"/>
          <w:sz w:val="18"/>
          <w:szCs w:val="18"/>
          <w:color w:val="auto"/>
        </w:rPr>
        <w:t>On April 30, 2026, we closed on the previously announced transaction to acquire 100% of the land,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and improvements of the Golden Portfolio, comprised of seven casino properties, from Golden Entertainment for $1.15 billion and entered into the Golden Entertainment Master Lease with Golden OpCo, a newly formed entity owned and controlled by Blake L. Sartini, former chairman and chief executive officer of Golden Entertainment, which entity acquired the operating business of Golden Entertainment in connection with the closing of the transaction. The Golden Portfolio includes: The STRAT Hotel, Casino &amp; Tower on the North Las Vegas Strip; Arizona Charlie’s Decatur and Arizona Charlie’s Boulder in the Las Vegas Locals market; Aquarius Casino Resort and Edgewater Casino Resort in Laughlin, Nevada; and Pahrump Nugget Hotel &amp; Casino and Lakeside RV Park &amp; Casino in Pahrump, Nevada. The Golden Entertainment Master Lease has an initial total annual rent of $87.0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and an initial term of 30 years, with four 5-year tenant renewal options. Rent under the Golden Entertainment Master Lease will escalate annually at 2.0% beginning in Lease Year 3. The obligations of Golden OpCo under the Golden Entertainment Master Lease are guaranteed by a holding company owned and controlled by Mr. Sartini, which owns all of the gaming and operating assets formerly owned by Golden Entertainment, with additional credit support provided by financial covenants within the lease.</w:t>
      </w:r>
    </w:p>
    <w:p>
      <w:pPr>
        <w:spacing w:after="0" w:line="12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Pursuant to the terms of the master transaction agreement governing the Golden Entertainment Transaction, former Golden Entertainment shareholders received approximately 24.3 million shares of newly issued VICI stock in exchange for the outstanding shares of Golden Entertainment stock upon closing, which represented an agreed-upon exchange ratio of 0.902 shares of VICI’s common stock per share of Golden Entertainment’s common stock based on VICI’s 10-day volume weighted average price as of November 5, 2025, as well as cash consideration paid by an affiliate of Golden OpCo. In connection with the transaction, we repaid Golden Entertainment’s outstanding $426.0 million of debt.</w:t>
      </w:r>
    </w:p>
    <w:p>
      <w:pPr>
        <w:spacing w:after="0" w:line="112" w:lineRule="exact"/>
        <w:rPr>
          <w:sz w:val="20"/>
          <w:szCs w:val="20"/>
          <w:color w:val="auto"/>
        </w:rPr>
      </w:pPr>
    </w:p>
    <w:p>
      <w:pPr>
        <w:jc w:val="both"/>
        <w:ind w:left="660" w:hanging="328"/>
        <w:spacing w:after="0" w:line="253"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Northfield Park Severance Lease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April 21, 2026, we entered into the Northfield Park Lease, a new triple-net lease agreement with an affiliate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funds managed by Clairvest with respect to the real property of Northfield Park, located in Northfield, Ohio, in connection with MGM’s previously announced agreement to sell the operations of Northfield Park to an affiliate of Clairvest. In connection with the closing, we entered into an amendment to the existing MGM Master Lease in order to account for MGM’s divestiture of the operations of Northfield Park and to reduce the annual base rent under the MGM Master Lease by the initial base rent under the Northfield Park Lease. The Northfield Park Lease has an initial annual base rent of $53.0 million. On May 1, 2026, concurrent with the escalation of the MGM Master Lease, the Northfield Park Lease escalated by 2.0%, resulting in an annual base rent of $54.0 million. The Northfield Park Lease has a 25-year lease term with three 10-year tenant renewal options, with other economic terms substantially similar to the MGM Master Lease, including escalation of 2.0% per annum on May 1st each year (with escalation equal to the greater of 2.0% and the change in CPI (capped at 3.0%) beginning at the same time as the MGM Master Lease in 2032) and a minimum capital expenditure requirement equal to 1.0% of annual net revenue. The Northfield Park Lease is guaranteed by an affiliate of funds managed by Clairvest that owns the operations of Northfield Park, with additional credit support provided by financial covenants within the lease.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Debt Investment Activity</w:t>
      </w:r>
    </w:p>
    <w:p>
      <w:pPr>
        <w:spacing w:after="0" w:line="171" w:lineRule="exact"/>
        <w:rPr>
          <w:sz w:val="20"/>
          <w:szCs w:val="20"/>
          <w:color w:val="auto"/>
        </w:rPr>
      </w:pPr>
    </w:p>
    <w:p>
      <w:pPr>
        <w:jc w:val="both"/>
        <w:ind w:left="660" w:hanging="328"/>
        <w:spacing w:after="0" w:line="256" w:lineRule="auto"/>
        <w:tabs>
          <w:tab w:leader="none" w:pos="6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One Beverly Hills Mezzanine Loan. </w:t>
      </w:r>
      <w:r>
        <w:rPr>
          <w:rFonts w:ascii="Times New Roman" w:cs="Times New Roman" w:eastAsia="Times New Roman" w:hAnsi="Times New Roman"/>
          <w:sz w:val="18"/>
          <w:szCs w:val="18"/>
          <w:color w:val="auto"/>
        </w:rPr>
        <w:t>On March 23, 2026, we provided a $1.5 billion mezzanine loan that is subordinate to a $2.8 billion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commitment led by J.P. Morgan as part of the construction financing for One Beverly Hills, a landmark 17.5-acre luxury experiential lifestyle hub in Beverly Hills, California. The mezzanine loan represents a $1.05 billion incremental commitment beyond our previous $450.0 million investment in the project, which was repaid in connection with the refinancing. One Beverly Hills is being developed by Cain and will be anchored by Aman Beverly Hills, featuring an Aman Hotel and Aman-branded residences, and includes a full-scale refurbishment of The Beverly Hilton, additional retail, food and beverage offerings, and 10 acres of botanical gardens and open space. Construction of the development has commenced and is expected to be completed in 2028.</w:t>
      </w:r>
    </w:p>
    <w:p>
      <w:pPr>
        <w:spacing w:after="0" w:line="105"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mezzanine loan has an initial term of 4 years with one 12-month extension option, subject to certain conditions, and will be deployed over the course of the initial term. Upon the closing of the transaction, we deployed an initial funding of $650.0 million. We have funded and intend to continue to fund the investment with cash on hand.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real estate debt investment activity (each as defined in the column titled “Real Estate Debt Investment”) for the nine months ended September 30, 2026: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Debt Investment</w:t>
            </w:r>
          </w:p>
        </w:tc>
        <w:tc>
          <w:tcPr>
            <w:tcW w:w="100" w:type="dxa"/>
            <w:vAlign w:val="bottom"/>
            <w:vMerge w:val="restart"/>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33"/>
              <w:spacing w:after="0" w:line="181" w:lineRule="exact"/>
              <w:rPr>
                <w:sz w:val="20"/>
                <w:szCs w:val="20"/>
                <w:color w:val="auto"/>
              </w:rPr>
            </w:pPr>
            <w:r>
              <w:rPr>
                <w:rFonts w:ascii="Times New Roman" w:cs="Times New Roman" w:eastAsia="Times New Roman" w:hAnsi="Times New Roman"/>
                <w:sz w:val="16"/>
                <w:szCs w:val="16"/>
                <w:b w:val="1"/>
                <w:bCs w:val="1"/>
                <w:color w:val="auto"/>
              </w:rPr>
              <w:t>Maximum Principal</w:t>
            </w:r>
          </w:p>
        </w:tc>
        <w:tc>
          <w:tcPr>
            <w:tcW w:w="100" w:type="dxa"/>
            <w:vAlign w:val="bottom"/>
          </w:tcPr>
          <w:p>
            <w:pPr>
              <w:spacing w:after="0"/>
              <w:rPr>
                <w:sz w:val="15"/>
                <w:szCs w:val="15"/>
                <w:color w:val="auto"/>
              </w:rPr>
            </w:pPr>
          </w:p>
        </w:tc>
        <w:tc>
          <w:tcPr>
            <w:tcW w:w="5080" w:type="dxa"/>
            <w:vAlign w:val="bottom"/>
            <w:vMerge w:val="restart"/>
          </w:tcPr>
          <w:p>
            <w:pPr>
              <w:ind w:left="220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0" w:type="dxa"/>
            <w:vAlign w:val="bottom"/>
          </w:tcPr>
          <w:p>
            <w:pPr>
              <w:spacing w:after="0"/>
              <w:rPr>
                <w:sz w:val="1"/>
                <w:szCs w:val="1"/>
                <w:color w:val="auto"/>
              </w:rPr>
            </w:pPr>
          </w:p>
        </w:tc>
      </w:tr>
      <w:tr>
        <w:trPr>
          <w:trHeight w:val="214"/>
        </w:trPr>
        <w:tc>
          <w:tcPr>
            <w:tcW w:w="2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5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Beverly Hills Loan</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Mezzanine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0"/>
                <w:szCs w:val="20"/>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 experiential lifestyle hub in Beverly Hills, California</w:t>
            </w:r>
          </w:p>
        </w:tc>
        <w:tc>
          <w:tcPr>
            <w:tcW w:w="0" w:type="dxa"/>
            <w:vAlign w:val="bottom"/>
          </w:tcPr>
          <w:p>
            <w:pPr>
              <w:spacing w:after="0"/>
              <w:rPr>
                <w:sz w:val="1"/>
                <w:szCs w:val="1"/>
                <w:color w:val="auto"/>
              </w:rPr>
            </w:pPr>
          </w:p>
        </w:tc>
      </w:tr>
      <w:tr>
        <w:trPr>
          <w:trHeight w:val="24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Chelsea Piers Stamford Loan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Senior Secured Loan</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equipment of the fitness club in Stamford, Connecticut</w:t>
            </w: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Chelsea Piers Jersey City Loan</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Senior Secured Loan</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equipment of the fitness club in Jersey City, New Jersey</w:t>
            </w:r>
          </w:p>
        </w:tc>
        <w:tc>
          <w:tcPr>
            <w:tcW w:w="0" w:type="dxa"/>
            <w:vAlign w:val="bottom"/>
          </w:tcPr>
          <w:p>
            <w:pPr>
              <w:spacing w:after="0"/>
              <w:rPr>
                <w:sz w:val="1"/>
                <w:szCs w:val="1"/>
                <w:color w:val="auto"/>
              </w:rPr>
            </w:pPr>
          </w:p>
        </w:tc>
      </w:tr>
      <w:tr>
        <w:trPr>
          <w:trHeight w:val="23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1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Capital Markets Activity</w:t>
      </w:r>
    </w:p>
    <w:p>
      <w:pPr>
        <w:spacing w:after="0" w:line="117" w:lineRule="exact"/>
        <w:rPr>
          <w:sz w:val="20"/>
          <w:szCs w:val="20"/>
          <w:color w:val="auto"/>
        </w:rPr>
      </w:pPr>
    </w:p>
    <w:p>
      <w:pPr>
        <w:jc w:val="both"/>
        <w:ind w:left="660" w:hanging="328"/>
        <w:spacing w:after="0" w:line="257" w:lineRule="auto"/>
        <w:tabs>
          <w:tab w:leader="none" w:pos="655"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Senior Unsecured Notes Offering. </w:t>
      </w:r>
      <w:r>
        <w:rPr>
          <w:rFonts w:ascii="Times New Roman" w:cs="Times New Roman" w:eastAsia="Times New Roman" w:hAnsi="Times New Roman"/>
          <w:sz w:val="18"/>
          <w:szCs w:val="18"/>
          <w:color w:val="auto"/>
        </w:rPr>
        <w:t>On August 14, 2026, VICI LP issued the August 2026 Notes, comprised of (i) $900.0 million aggregate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amount of 5.400% Senior Notes due 2031, which mature on October 15, 2031, and (ii) $850.0 million aggregate principal amount of 5.750% Senior Notes due 2036, which mature on October 15, 2036, in each case under a supplemental indenture dated as of August 14, 2026, between VICI LP and UMB Bank, National Association, as the trustee. We used the net proceeds of the August 2026 Notes offering to redeem our then-outstanding (i) $480.5 million aggregate principal amount of 4.500% Exchange Notes due 2026, (ii) $1.25 billion aggregate principal amount of 4.250% November 2019 Notes due 2026, and (iii) $19.5 million aggregate principal amount of 4.500% MGP OP Notes due 2026.</w:t>
      </w:r>
    </w:p>
    <w:p>
      <w:pPr>
        <w:spacing w:after="0" w:line="7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5" w:lineRule="auto"/>
        <w:tabs>
          <w:tab w:leader="none" w:pos="655"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Forward-Starting Interest Rate Swaps. </w:t>
      </w:r>
      <w:r>
        <w:rPr>
          <w:rFonts w:ascii="Times New Roman" w:cs="Times New Roman" w:eastAsia="Times New Roman" w:hAnsi="Times New Roman"/>
          <w:sz w:val="18"/>
          <w:szCs w:val="18"/>
          <w:color w:val="auto"/>
        </w:rPr>
        <w:t>During the nine months ended September 30, 2026, we entered into twelve forward-starting interest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swap agreements for an aggregate notional amount of $600.0 million and four U.S. Treasury Rate Lock agreements for an aggregate notional amount of $500.0 million to hedge against changes in future cash flows resulting from changes in interest rates from the trade date through the forecasted issuance of senior unsecured notes in connection with the refinancing of our senior unsecured notes maturing in September and December 2026. On August 7, 2026, we settled all the outstanding forward-starting interest rate swap agreements and U.S. Treasury Rate Lock agreements, resulting in net proceeds of $20.0 million. Since the forward-starting swaps are hedging the interest rate risk on the August 2026 Notes, the unrealized gain in Accumulated other comprehensive income will be amortized over the term of the respective derivative instruments, which matches that of the underlying note, as a decrease in interest expense.</w:t>
      </w:r>
    </w:p>
    <w:p>
      <w:pPr>
        <w:spacing w:after="0" w:line="7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At-The-Market Offering Program. </w:t>
      </w:r>
      <w:r>
        <w:rPr>
          <w:rFonts w:ascii="Times New Roman" w:cs="Times New Roman" w:eastAsia="Times New Roman" w:hAnsi="Times New Roman"/>
          <w:sz w:val="18"/>
          <w:szCs w:val="18"/>
          <w:color w:val="auto"/>
        </w:rPr>
        <w:t>During the nine months ended September 30, 2026, we did not sell any shares under the ATM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nine months ended September 30, 2026, we physically settled 7,750,000 forward shares under the ATM Program in exchange for total net settlement proceeds of approximately $242.1 million.</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Subsequent to quarter-end, on October 27, 2026, our Board of Directors authorized the Share Repurchase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up to $2.0 billion in shares of our common stock, which will expire on September 30, 2029. Repurchases under the Share Repurchase Program may be made from time to time at our discretion through open market purchases, privately negotiated transactions, Rule 10b5-1 plans or other methods, in accordance with applicable securities laws. The Share Repurchase Program does not obligate us to repurchase any particular amount of common stock and may be suspended or discontinued at any time.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51,951</w:t>
            </w:r>
          </w:p>
        </w:tc>
      </w:tr>
      <w:tr>
        <w:trPr>
          <w:trHeight w:val="189"/>
        </w:trPr>
        <w:tc>
          <w:tcPr>
            <w:tcW w:w="2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Income from lease financing receivables, loans and</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98,264</w:t>
            </w:r>
          </w:p>
        </w:tc>
      </w:tr>
      <w:tr>
        <w:trPr>
          <w:trHeight w:val="243"/>
        </w:trPr>
        <w:tc>
          <w:tcPr>
            <w:tcW w:w="20" w:type="dxa"/>
            <w:vAlign w:val="bottom"/>
          </w:tcPr>
          <w:p>
            <w:pPr>
              <w:spacing w:after="0"/>
              <w:rPr>
                <w:sz w:val="21"/>
                <w:szCs w:val="21"/>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 revenues</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37"/>
        </w:trPr>
        <w:tc>
          <w:tcPr>
            <w:tcW w:w="2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1,065,484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3,142,510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2,993,026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149,484</w:t>
            </w: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43"/>
        </w:trPr>
        <w:tc>
          <w:tcPr>
            <w:tcW w:w="20" w:type="dxa"/>
            <w:vAlign w:val="bottom"/>
          </w:tcPr>
          <w:p>
            <w:pPr>
              <w:spacing w:after="0"/>
              <w:rPr>
                <w:sz w:val="21"/>
                <w:szCs w:val="21"/>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43"/>
        </w:trPr>
        <w:tc>
          <w:tcPr>
            <w:tcW w:w="20" w:type="dxa"/>
            <w:vAlign w:val="bottom"/>
          </w:tcPr>
          <w:p>
            <w:pPr>
              <w:spacing w:after="0"/>
              <w:rPr>
                <w:sz w:val="21"/>
                <w:szCs w:val="21"/>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Golf expenses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585,511</w:t>
            </w:r>
          </w:p>
        </w:tc>
      </w:tr>
      <w:tr>
        <w:trPr>
          <w:trHeight w:val="243"/>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37"/>
        </w:trPr>
        <w:tc>
          <w:tcPr>
            <w:tcW w:w="2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478,957</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741,720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582,658</w:t>
            </w: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3"/>
        </w:trPr>
        <w:tc>
          <w:tcPr>
            <w:tcW w:w="20" w:type="dxa"/>
            <w:vAlign w:val="bottom"/>
          </w:tcPr>
          <w:p>
            <w:pPr>
              <w:spacing w:after="0"/>
              <w:rPr>
                <w:sz w:val="21"/>
                <w:szCs w:val="21"/>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(losses) gains</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37"/>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1,774,208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(437,038)</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7"/>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(436,137)</w:t>
            </w:r>
          </w:p>
        </w:tc>
      </w:tr>
      <w:tr>
        <w:trPr>
          <w:trHeight w:val="189"/>
        </w:trPr>
        <w:tc>
          <w:tcPr>
            <w:tcW w:w="2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37"/>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342,534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(419,506)</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1,741,445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(429,281)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our revenue was comprised of the following items: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4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918,775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96,182</w:t>
            </w:r>
          </w:p>
        </w:tc>
      </w:tr>
      <w:tr>
        <w:trPr>
          <w:trHeight w:val="243"/>
        </w:trPr>
        <w:tc>
          <w:tcPr>
            <w:tcW w:w="2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loans and securities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54,033</w:t>
            </w:r>
          </w:p>
        </w:tc>
      </w:tr>
      <w:tr>
        <w:trPr>
          <w:trHeight w:val="243"/>
        </w:trPr>
        <w:tc>
          <w:tcPr>
            <w:tcW w:w="20" w:type="dxa"/>
            <w:vAlign w:val="bottom"/>
            <w:shd w:val="clear" w:color="auto" w:fill="CCEEFF"/>
          </w:tcPr>
          <w:p>
            <w:pPr>
              <w:spacing w:after="0"/>
              <w:rPr>
                <w:sz w:val="21"/>
                <w:szCs w:val="21"/>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43"/>
        </w:trPr>
        <w:tc>
          <w:tcPr>
            <w:tcW w:w="20" w:type="dxa"/>
            <w:vAlign w:val="bottom"/>
            <w:tcBorders>
              <w:bottom w:val="single" w:sz="8" w:color="CCEEFF"/>
            </w:tcBorders>
          </w:tcPr>
          <w:p>
            <w:pPr>
              <w:spacing w:after="0"/>
              <w:rPr>
                <w:sz w:val="21"/>
                <w:szCs w:val="21"/>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Golf revenues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1,007,488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and financing receivables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4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556,749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531,765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51,951</w:t>
            </w:r>
          </w:p>
        </w:tc>
      </w:tr>
      <w:tr>
        <w:trPr>
          <w:trHeight w:val="243"/>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Income from lease financing receivables </w:t>
            </w:r>
            <w:r>
              <w:rPr>
                <w:rFonts w:ascii="Times New Roman" w:cs="Times New Roman" w:eastAsia="Times New Roman" w:hAnsi="Times New Roman"/>
                <w:sz w:val="23"/>
                <w:szCs w:val="23"/>
                <w:i w:val="1"/>
                <w:i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9"/>
              </w:rPr>
              <w:t>403,504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9"/>
              </w:rPr>
              <w:t>387,010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1,200,789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1,156,558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44,231</w:t>
            </w: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leasing revenue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960,253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918,775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96,182</w:t>
            </w:r>
          </w:p>
        </w:tc>
      </w:tr>
      <w:tr>
        <w:trPr>
          <w:trHeight w:val="243"/>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(131,964)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(131,247)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(401,209)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(7,839)</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leasing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828,289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787,528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88,343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right="20" w:firstLine="8"/>
        <w:spacing w:after="0" w:line="241" w:lineRule="auto"/>
        <w:tabs>
          <w:tab w:leader="none" w:pos="213"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ind w:right="20" w:firstLine="8"/>
        <w:spacing w:after="0" w:line="278" w:lineRule="auto"/>
        <w:tabs>
          <w:tab w:leader="none" w:pos="211"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income from sales-type leases and lease financing receivables in order to recognize income on an effective interest basis at a constant rate of return over the term of the leases.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Leasing revenue is generated from rent from our lease agreements. Total leasing revenue increased $41.5 million and $96.2 million during the three and nine months ended September 30, 2026, respectively, compared to the three and nine months ended September 30, 2025, respectively. Total contractual leasing revenue increased $40.8 million and $88.3 million during the three and nine months ended September 30, 2026, respectively, compared to the three and nine months ended September 30, 2025, respectively. The increases were primarily driven by the addition of the Golden Entertainment Master Lease to our portfolio in April 2026 and the addition of the Gamehost Portfolio to the PURE Master Lease in June 2026, as well as annual rent escalators from certain of our lease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Loans and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loans and securities increased $18.2 million and $54.0 million during the three and nine months ended September 30, 2026, respectively, compared to the three and nine months ended September 30, 2025, respectively. The increases were primarily driven by the origination and subsequent funding, as applicable, of our debt investments and the related interest income from the increased principal balances outstanding under such debt 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our operating expenses were comprised of the following items: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4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1"/>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Golf expenses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458,030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478,183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585,511</w:t>
            </w:r>
          </w:p>
        </w:tc>
      </w:tr>
      <w:tr>
        <w:trPr>
          <w:trHeight w:val="243"/>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$1.1 million and $3.1 million for the three and nine months ended September 30, 2026, respectively, compared to the three and nine months ended September 30, 2025, respectively. The increases were primarily driven by an increase in compensation, including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Allowance for Credit Losses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Change in allowance for credit losses increased $478.2 million and $585.5 million during the three and nine months ended September 30, 2026, respectively, compared to the three and nine months ended September 30, 2025, respectively, primarily as a result of (i) an increase in the estimate for the Long-Term Period PD for Caesars as a result of a credit rating agency’s downgrade of the credit rating of Caesars’ senior secured debt, (ii) an increase in the allowance of the Caesars Regional Master Lease and the Joliet Lease driven by revised estimates during the tenant renewal periods, (iii) the initial CECL allowance recorded on our acquisitions of the Golden Portfolio, Gamehost Portfolio, and our debt investment activity, and (iv) an increase in the estimate of the Long-Term Period PD for one of our tenants. 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Acquisition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and acquisition expenses increased $0.2 million during the three months ended September 30, 2026 compared to the three months ended September 30, 2025, and decreased $5.3 million during the nine months ended September 30, 2026, compared to the nine months ended September 30, 2025. Changes in transaction and acquisition expenses are related to fluctuations in (i) costs incurred for investments during the period that are not capitalizable under GAAP, and (ii) costs incurred for investments that we are no longer pursuing.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our other income and expenses were comprised of the following items: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4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43"/>
        </w:trPr>
        <w:tc>
          <w:tcPr>
            <w:tcW w:w="2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43"/>
        </w:trPr>
        <w:tc>
          <w:tcPr>
            <w:tcW w:w="20" w:type="dxa"/>
            <w:vAlign w:val="bottom"/>
            <w:shd w:val="clear" w:color="auto" w:fill="CCEEFF"/>
          </w:tcPr>
          <w:p>
            <w:pPr>
              <w:spacing w:after="0"/>
              <w:rPr>
                <w:sz w:val="21"/>
                <w:szCs w:val="21"/>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gains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$4.7 million and $0.9 million during the three and nine months ended September 30, 2026, respectively, compared to the three and nine months ended September 30, 2025, respectively, primarily due to an increase in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interest rate of our debt, net of the impact of the forward-starting interest rate swaps and treasury locks for the three and nine months ended September 30, 2026 compared to the three and nine months ended September 30, 2025, as a result of a higher effective interest rate on the April 2025 Notes and August 2026 Notes as compared to the debt that was refinanced by such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MEASURES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capitalized interest on real estate under development,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provision (or benefit), other non-recurring non-cash transactions and non-cash adjustments attributable to non-controlling interests with respect to certain of the foregoing.</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VICI’s Net Income to FFO, FFO per Share, AFFO, AFFO per Share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2600" w:type="dxa"/>
            <w:vAlign w:val="bottom"/>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600" w:type="dxa"/>
            <w:vAlign w:val="bottom"/>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71"/>
        </w:trPr>
        <w:tc>
          <w:tcPr>
            <w:tcW w:w="20" w:type="dxa"/>
            <w:vAlign w:val="bottom"/>
          </w:tcPr>
          <w:p>
            <w:pPr>
              <w:spacing w:after="0"/>
              <w:rPr>
                <w:sz w:val="14"/>
                <w:szCs w:val="14"/>
                <w:color w:val="auto"/>
              </w:rPr>
            </w:pPr>
          </w:p>
        </w:tc>
        <w:tc>
          <w:tcPr>
            <w:tcW w:w="56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 data and per share data)</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10"/>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10"/>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312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2,170,726</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depreciation</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FFO attributable to common stockholders</w:t>
            </w: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342,534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762,040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1,741,445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2,170,726</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(393,240)</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change in allowance for credit losses</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54,909</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on real estate under development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depreciation</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Other losses (gains) </w:t>
            </w:r>
            <w:r>
              <w:rPr>
                <w:rFonts w:ascii="Times New Roman" w:cs="Times New Roman" w:eastAsia="Times New Roman" w:hAnsi="Times New Roman"/>
                <w:sz w:val="23"/>
                <w:szCs w:val="23"/>
                <w:i w:val="1"/>
                <w:iCs w:val="1"/>
                <w:color w:val="auto"/>
                <w:vertAlign w:val="superscript"/>
              </w:rPr>
              <w:t>(1)</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r>
      <w:tr>
        <w:trPr>
          <w:trHeight w:val="243"/>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Non-cash adjustments attributable to non-controlling interests</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37"/>
        </w:trPr>
        <w:tc>
          <w:tcPr>
            <w:tcW w:w="2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AFFO attributable to common stockholders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685,205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637,569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2,015,748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1,883,729</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568,601</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43"/>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Adjustments attributable to non-controlling interests</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(6,518)</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879,778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825,582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2,587,506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2,449,957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FFO per common share</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AFFO per common share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of common stock outstanding</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5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1,100,560,183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1,067,253,644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1,086,503,368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1,059,870,808</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1,100,625,472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1,068,369,218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1,086,581,026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1,060,732,039</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non-cash foreign currency remeasurement adjustment and gain on sale of certain land parcels.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our available cash and cash-equivalents balance and capacity under our Revolving Credit Facility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480" w:type="dxa"/>
            <w:vAlign w:val="bottom"/>
          </w:tcPr>
          <w:p>
            <w:pPr>
              <w:spacing w:after="0"/>
              <w:rPr>
                <w:sz w:val="16"/>
                <w:szCs w:val="16"/>
                <w:color w:val="auto"/>
              </w:rPr>
            </w:pPr>
          </w:p>
        </w:tc>
        <w:tc>
          <w:tcPr>
            <w:tcW w:w="2540" w:type="dxa"/>
            <w:vAlign w:val="bottom"/>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270,321</w:t>
            </w:r>
          </w:p>
        </w:tc>
      </w:tr>
      <w:tr>
        <w:trPr>
          <w:trHeight w:val="243"/>
        </w:trPr>
        <w:tc>
          <w:tcPr>
            <w:tcW w:w="20" w:type="dxa"/>
            <w:vAlign w:val="bottom"/>
            <w:tcBorders>
              <w:bottom w:val="single" w:sz="8" w:color="CCEEFF"/>
            </w:tcBorders>
          </w:tcPr>
          <w:p>
            <w:pPr>
              <w:spacing w:after="0"/>
              <w:rPr>
                <w:sz w:val="21"/>
                <w:szCs w:val="21"/>
                <w:color w:val="auto"/>
              </w:rPr>
            </w:pPr>
          </w:p>
        </w:tc>
        <w:tc>
          <w:tcPr>
            <w:tcW w:w="820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Capacity under Revolving Credit Facility </w:t>
            </w:r>
            <w:r>
              <w:rPr>
                <w:rFonts w:ascii="Times New Roman" w:cs="Times New Roman" w:eastAsia="Times New Roman" w:hAnsi="Times New Roman"/>
                <w:sz w:val="23"/>
                <w:szCs w:val="23"/>
                <w:i w:val="1"/>
                <w:iCs w:val="1"/>
                <w:color w:val="auto"/>
                <w:vertAlign w:val="superscript"/>
              </w:rPr>
              <w:t>(1)</w:t>
            </w:r>
          </w:p>
        </w:tc>
        <w:tc>
          <w:tcPr>
            <w:tcW w:w="4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2,232,168</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2,502,489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52" w:lineRule="exact"/>
        <w:rPr>
          <w:sz w:val="20"/>
          <w:szCs w:val="20"/>
          <w:color w:val="auto"/>
        </w:rPr>
      </w:pPr>
    </w:p>
    <w:p>
      <w:pPr>
        <w:ind w:left="340" w:right="20" w:hanging="332"/>
        <w:spacing w:after="0" w:line="305" w:lineRule="auto"/>
        <w:tabs>
          <w:tab w:leader="none" w:pos="332" w:val="left"/>
        </w:tabs>
        <w:numPr>
          <w:ilvl w:val="0"/>
          <w:numId w:val="35"/>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auto"/>
        </w:rPr>
        <w:t>In addition, the Credit Agreement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any future issuances of debt and equity securities (including issuances under the ATM Program or any future “at-the-market” program) for the next 12 months and in future periods.</w:t>
      </w:r>
    </w:p>
    <w:p>
      <w:pPr>
        <w:spacing w:after="0" w:line="126"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herein from our </w:t>
      </w:r>
      <w:hyperlink r:id="rId27">
        <w:r>
          <w:rPr>
            <w:rFonts w:ascii="Times New Roman" w:cs="Times New Roman" w:eastAsia="Times New Roman" w:hAnsi="Times New Roman"/>
            <w:sz w:val="18"/>
            <w:szCs w:val="18"/>
            <w:u w:val="single" w:color="auto"/>
            <w:color w:val="0000FF"/>
          </w:rPr>
          <w:t>Annual Report on Form 10-K for the year ended December 31, 2025</w:t>
        </w:r>
      </w:hyperlink>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the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short-term obligations consist primarily of regular interest payments on our debt obligations, dividends to our common stockholders, distributions to the VICI OP Unit holders, Lucky Strike OP Units holders and to the 20% third-party owners of Harrah’s Joliet LandCo LLC,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r>
        <w:rPr>
          <w:rFonts w:ascii="Times New Roman" w:cs="Times New Roman" w:eastAsia="Times New Roman" w:hAnsi="Times New Roman"/>
          <w:sz w:val="18"/>
          <w:szCs w:val="18"/>
          <w:u w:val="single" w:color="auto"/>
          <w:color w:val="0000FF"/>
        </w:rPr>
        <w:t>Note 10 - 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Liabilities</w:t>
      </w:r>
      <w:r>
        <w:rPr>
          <w:rFonts w:ascii="Times New Roman" w:cs="Times New Roman" w:eastAsia="Times New Roman" w:hAnsi="Times New Roman"/>
          <w:sz w:val="18"/>
          <w:szCs w:val="18"/>
          <w:color w:val="000000"/>
        </w:rPr>
        <w: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long-term obligations consist primarily of principal payments on our outstanding debt obligations and future funding commitments under our lease and loan agreements. As of September 30, 2026, we had $17.2 billion of debt obligations outstanding, of which $750.0 million matures on February 1, 2027 and $750.0 million matures on February 15, 2027. For a summary of principal debt balances and their maturity dates and principal terms, refer to </w:t>
      </w:r>
      <w:r>
        <w:rPr>
          <w:rFonts w:ascii="Times New Roman" w:cs="Times New Roman" w:eastAsia="Times New Roman" w:hAnsi="Times New Roman"/>
          <w:sz w:val="18"/>
          <w:szCs w:val="18"/>
          <w:u w:val="single" w:color="auto"/>
          <w:color w:val="0000FF"/>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000000"/>
        </w:rPr>
        <w:t>. For a summary of our future funding commitments under our loan portfolio, refer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concerning our material contractual obligations and commitments to make future payments under contracts such as our indebtedness, future funding commitments under our loans, and future contractual operating commitments (such as future lease payments under our corporate lease) are included in the following table as of September 30, 2026. Amounts in this table omit, among other things, non-contractual commitments and items such as dividends and recurring or non-recurring operating expenses and other expenditures, including acquisitions and other investments: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2026 (remaining)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31"/>
              <w:spacing w:after="0" w:line="172" w:lineRule="exact"/>
              <w:rPr>
                <w:sz w:val="20"/>
                <w:szCs w:val="20"/>
                <w:color w:val="auto"/>
              </w:rPr>
            </w:pPr>
            <w:r>
              <w:rPr>
                <w:rFonts w:ascii="Times New Roman" w:cs="Times New Roman" w:eastAsia="Times New Roman" w:hAnsi="Times New Roman"/>
                <w:sz w:val="16"/>
                <w:szCs w:val="16"/>
                <w:b w:val="1"/>
                <w:bCs w:val="1"/>
                <w:color w:val="auto"/>
              </w:rPr>
              <w:t>2030 and</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2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Unsecured 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13,950,000</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8,700,000</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43"/>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Scheduled interest payments </w:t>
            </w:r>
            <w:r>
              <w:rPr>
                <w:rFonts w:ascii="Times New Roman" w:cs="Times New Roman" w:eastAsia="Times New Roman" w:hAnsi="Times New Roman"/>
                <w:sz w:val="23"/>
                <w:szCs w:val="23"/>
                <w:i w:val="1"/>
                <w:iCs w:val="1"/>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5,406,031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132,278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802,235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703,418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630,442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3,137,658</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debt contractual obligations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22,623,863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2,302,235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2,703,418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2,648,274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14,837,658</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Future funding commitments, leases and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contracts </w:t>
            </w:r>
            <w:r>
              <w:rPr>
                <w:rFonts w:ascii="Times New Roman" w:cs="Times New Roman" w:eastAsia="Times New Roman" w:hAnsi="Times New Roman"/>
                <w:sz w:val="23"/>
                <w:szCs w:val="23"/>
                <w:i w:val="1"/>
                <w:iCs w:val="1"/>
                <w:color w:val="auto"/>
                <w:vertAlign w:val="superscript"/>
              </w:rPr>
              <w:t>(2)</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Future funding commitments – loan</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i w:val="1"/>
                <w:iCs w:val="1"/>
                <w:color w:val="auto"/>
                <w:vertAlign w:val="superscript"/>
              </w:rPr>
              <w:t>(3)</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136,773</w:t>
            </w:r>
          </w:p>
        </w:tc>
        <w:tc>
          <w:tcPr>
            <w:tcW w:w="0" w:type="dxa"/>
            <w:vAlign w:val="bottom"/>
          </w:tcPr>
          <w:p>
            <w:pPr>
              <w:spacing w:after="0"/>
              <w:rPr>
                <w:sz w:val="1"/>
                <w:szCs w:val="1"/>
                <w:color w:val="auto"/>
              </w:rPr>
            </w:pPr>
          </w:p>
        </w:tc>
      </w:tr>
      <w:tr>
        <w:trPr>
          <w:trHeight w:val="189"/>
        </w:trPr>
        <w:tc>
          <w:tcPr>
            <w:tcW w:w="324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Future funding commitments – real estate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under development </w:t>
            </w:r>
            <w:r>
              <w:rPr>
                <w:rFonts w:ascii="Times New Roman" w:cs="Times New Roman" w:eastAsia="Times New Roman" w:hAnsi="Times New Roman"/>
                <w:sz w:val="23"/>
                <w:szCs w:val="23"/>
                <w:i w:val="1"/>
                <w:iCs w:val="1"/>
                <w:color w:val="auto"/>
                <w:vertAlign w:val="superscript"/>
              </w:rPr>
              <w:t>(3)</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Golf course operating lease and</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contractual commitments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office leases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future funding commitments, leases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contracts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1,069,149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175,747</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commitments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23,693,012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2,652,425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2,846,314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15,013,405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Estimated interest payments on variable interest debt under our Revolving Credit Facility are based on the applicable CORRA and SONIA rates as of September 30, 2026.</w:t>
      </w:r>
    </w:p>
    <w:p>
      <w:pPr>
        <w:spacing w:after="0" w:line="29"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ground and use leases which are paid directly by our tenants to the primary lease holder.</w:t>
      </w:r>
    </w:p>
    <w:p>
      <w:pPr>
        <w:spacing w:after="0" w:line="14" w:lineRule="exact"/>
        <w:rPr>
          <w:rFonts w:ascii="Times New Roman" w:cs="Times New Roman" w:eastAsia="Times New Roman" w:hAnsi="Times New Roman"/>
          <w:sz w:val="14"/>
          <w:szCs w:val="14"/>
          <w:i w:val="1"/>
          <w:iCs w:val="1"/>
          <w:color w:val="auto"/>
        </w:rPr>
      </w:pPr>
    </w:p>
    <w:p>
      <w:pPr>
        <w:ind w:firstLine="8"/>
        <w:spacing w:after="0" w:line="283" w:lineRule="auto"/>
        <w:tabs>
          <w:tab w:leader="none" w:pos="207"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allocation of our future funding commitments is based on construction draw schedules, commitment funding dates, expiration dates or other information, as applicable; however, we may be obligated to fund these commitments earlier than such applicable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strategy. As of September 30, 2026, we had $300.0 million of additional potential future funding commitments in connection with the Venetian Capital Investment entered into on May 1, 2024, pursuant to which the tenant has the option, but not the obligation, to draw such future funds, prior to November 1, 2026 (although we do not currently expect the tenant to draw such additional funds prior to expiration of the option). The utilization of funding commitments under the Partner Property Growth Fund strategy, as well as the total funding ultimately provided under such arrangements, is at the discretion of the respective tenant and will be dependent upon independent decisions made by such tenant with respect to any capital improvement projects and the source of funds for such projects.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nine months ended September 30,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32"/>
              <w:spacing w:after="0" w:line="155" w:lineRule="exact"/>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1"/>
              <w:spacing w:after="0" w:line="155"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71"/>
              <w:spacing w:after="0" w:line="155"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2,015,249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1,818,047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197,202</w:t>
            </w:r>
          </w:p>
        </w:tc>
      </w:tr>
      <w:tr>
        <w:trPr>
          <w:trHeight w:val="243"/>
        </w:trPr>
        <w:tc>
          <w:tcPr>
            <w:tcW w:w="2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Used in investing activities</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(399,530)</w:t>
            </w:r>
          </w:p>
        </w:tc>
      </w:tr>
      <w:tr>
        <w:trPr>
          <w:trHeight w:val="243"/>
        </w:trPr>
        <w:tc>
          <w:tcPr>
            <w:tcW w:w="20" w:type="dxa"/>
            <w:vAlign w:val="bottom"/>
          </w:tcPr>
          <w:p>
            <w:pPr>
              <w:spacing w:after="0"/>
              <w:rPr>
                <w:sz w:val="21"/>
                <w:szCs w:val="21"/>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Used in financing activities</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(72,729)</w:t>
            </w:r>
          </w:p>
        </w:tc>
      </w:tr>
      <w:tr>
        <w:trPr>
          <w:trHeight w:val="243"/>
        </w:trPr>
        <w:tc>
          <w:tcPr>
            <w:tcW w:w="2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6"/>
        </w:trPr>
        <w:tc>
          <w:tcPr>
            <w:tcW w:w="20" w:type="dxa"/>
            <w:vAlign w:val="bottom"/>
          </w:tcPr>
          <w:p>
            <w:pPr>
              <w:spacing w:after="0"/>
              <w:rPr>
                <w:sz w:val="20"/>
                <w:szCs w:val="20"/>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(293,158)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(276,046)</w:t>
            </w:r>
          </w:p>
        </w:tc>
      </w:tr>
      <w:tr>
        <w:trPr>
          <w:trHeight w:val="243"/>
        </w:trPr>
        <w:tc>
          <w:tcPr>
            <w:tcW w:w="20" w:type="dxa"/>
            <w:vAlign w:val="bottom"/>
            <w:shd w:val="clear" w:color="auto" w:fill="CCEEFF"/>
          </w:tcPr>
          <w:p>
            <w:pPr>
              <w:spacing w:after="0"/>
              <w:rPr>
                <w:sz w:val="21"/>
                <w:szCs w:val="21"/>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563,479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w:t>
            </w:r>
          </w:p>
        </w:tc>
      </w:tr>
      <w:tr>
        <w:trPr>
          <w:trHeight w:val="237"/>
        </w:trPr>
        <w:tc>
          <w:tcPr>
            <w:tcW w:w="20" w:type="dxa"/>
            <w:vAlign w:val="bottom"/>
          </w:tcPr>
          <w:p>
            <w:pPr>
              <w:spacing w:after="0"/>
              <w:rPr>
                <w:sz w:val="20"/>
                <w:szCs w:val="20"/>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270,321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507,503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(237,182)</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$197.2 million for the nine months ended September 30, 2026 compared with the nine months ended September 30, 2025. The increase was primarily driven by an increase in cash rental payments from our real estate portfolio as a result of the addition of the Golden Entertainment Master Lease and the Gamehost Portfolio portion of the PURE Master Lease, the receipt of payment-in-kind interest, the annual rent escalators from our lease agreements and incremental interest income from additional loan fundings.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$399.5 million for the nine months ended September 30, 2026 compared with the nine months ended September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to fund investments in our loan and securities portfolio in the amount of $1,158.7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loans and receipts of deferred fees in the amount of $558.2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portion of the Golden Entertainment Transaction of $435.7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the Gamehost Transaction for a total cost of $143.5 million, including acquisition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Maturities of short-term investments of $44.5 million;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the Club Med St. Croix Transaction for a total cost of $25.5 million, including acquisition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to fund investments in our loan and securities portfolio in the amount of $786.4 million;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partial repayment of the Cabot Saint Lucia and Homefield loan and the Hard Rock Ottawa Notes and deferred fees in the amount of $20.3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$72.7 million for the nine months ended September 30, 2026, compared with the nine months ended September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primary sources and uses of cash in financing activities included:</w:t>
      </w:r>
    </w:p>
    <w:p>
      <w:pPr>
        <w:spacing w:after="0" w:line="6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issuance of the August 2026 Notes in the amount of $1,725.0 million;</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then-outstanding (i) $480.5 million aggregate principal amount of 4.500% Exchange Notes due 2026, (ii) $1,250.0 million aggregate principal amount of 4.250% November 2019 Notes due 2026, and (iii) $19.5 million aggregate principal amount of 4.500% MGP OP Notes due 2026;</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$1,457.5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$242.1 million from the physical settlement of 7,750,000 forward shares under our ATM Program;</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Draws of $420.2 million and repayments of $290.0 million on our Revolving Credit Facility;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$24.8 million to non-controlling interests;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debt issuance costs of $5.3 million;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of common stock for tax withholding in connection with the vesting of employee stock compensation of $2.3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issuance of the April 2025 Notes in the amount of $1,284.4 million;</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outstanding (i) $799.4 million in aggregate principal amount of the 4.625% Exchange Notes due 2025, (ii) $500.0 million in aggregate principal amount of the 4.375% April 2022 Notes due 2025, and (iii) $0.6 million in aggregate principal amount of the 4.625% MGP OP Notes due 2025;</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$1,372.7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$375.4 million from the physical settlement of 12,101,372 forward shares under our ATM Program;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Draws of $426.0 million and repayments of $432.7 million on our Revolving Credit Facility;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debt issuance costs of $19.4 million;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$24.0 million to non-controlling interests;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of common stock for tax withholding in connection with the vesting of employee stock compensation of $7.2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summary of our debt obligations as of September 30, 2026,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obligations are subject to certain customary financial and operating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2026, we were in compliance with all debt-related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Policy</w:t>
      </w:r>
    </w:p>
    <w:p>
      <w:pPr>
        <w:spacing w:after="0" w:line="11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intend to make regular quarterly distributions to holders of shares of our common stock. Dividends declared (on a per share basis) during the nine months ended September 30, 2026 and 2025 were as follows:</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0" w:type="dxa"/>
            <w:vAlign w:val="bottom"/>
          </w:tcPr>
          <w:p>
            <w:pPr>
              <w:spacing w:after="0"/>
              <w:rPr>
                <w:sz w:val="18"/>
                <w:szCs w:val="18"/>
                <w:color w:val="auto"/>
              </w:rPr>
            </w:pPr>
          </w:p>
        </w:tc>
      </w:tr>
      <w:tr>
        <w:trPr>
          <w:trHeight w:val="240"/>
        </w:trPr>
        <w:tc>
          <w:tcPr>
            <w:tcW w:w="2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5, 2026</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19, 2026</w:t>
            </w:r>
          </w:p>
        </w:tc>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April 9, 2026</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2026 – March 31, 2026</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0.4500</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June 4, 2026</w:t>
            </w:r>
          </w:p>
        </w:tc>
        <w:tc>
          <w:tcPr>
            <w:tcW w:w="20" w:type="dxa"/>
            <w:vAlign w:val="bottom"/>
          </w:tcPr>
          <w:p>
            <w:pPr>
              <w:spacing w:after="0"/>
              <w:rPr>
                <w:sz w:val="21"/>
                <w:szCs w:val="21"/>
                <w:color w:val="auto"/>
              </w:rPr>
            </w:pPr>
          </w:p>
        </w:tc>
        <w:tc>
          <w:tcPr>
            <w:tcW w:w="2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18, 2026</w:t>
            </w:r>
          </w:p>
        </w:tc>
        <w:tc>
          <w:tcPr>
            <w:tcW w:w="20" w:type="dxa"/>
            <w:vAlign w:val="bottom"/>
          </w:tcPr>
          <w:p>
            <w:pPr>
              <w:spacing w:after="0"/>
              <w:rPr>
                <w:sz w:val="21"/>
                <w:szCs w:val="21"/>
                <w:color w:val="auto"/>
              </w:rPr>
            </w:pPr>
          </w:p>
        </w:tc>
        <w:tc>
          <w:tcPr>
            <w:tcW w:w="148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9"/>
              </w:rPr>
              <w:t>July 9, 2026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2026 – June 30, 2026</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0.4500</w:t>
            </w:r>
          </w:p>
        </w:tc>
        <w:tc>
          <w:tcPr>
            <w:tcW w:w="2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3, 2026</w:t>
            </w:r>
          </w:p>
        </w:tc>
        <w:tc>
          <w:tcPr>
            <w:tcW w:w="2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17, 2026</w:t>
            </w:r>
          </w:p>
        </w:tc>
        <w:tc>
          <w:tcPr>
            <w:tcW w:w="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October 8, 2026</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2026 – September 30, 2026</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0.4600</w:t>
            </w:r>
          </w:p>
        </w:tc>
        <w:tc>
          <w:tcPr>
            <w:tcW w:w="20" w:type="dxa"/>
            <w:vAlign w:val="bottom"/>
          </w:tcPr>
          <w:p>
            <w:pPr>
              <w:spacing w:after="0"/>
              <w:rPr>
                <w:sz w:val="21"/>
                <w:szCs w:val="21"/>
                <w:color w:val="auto"/>
              </w:rPr>
            </w:pPr>
          </w:p>
        </w:tc>
      </w:tr>
      <w:tr>
        <w:trPr>
          <w:trHeight w:val="456"/>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6"/>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19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March 6, 2025</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20, 2025</w:t>
            </w:r>
          </w:p>
        </w:tc>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April 3, 2025</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1, 2025 – March 31, 2025</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0.4325</w:t>
            </w: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June 5, 2025</w:t>
            </w:r>
          </w:p>
        </w:tc>
        <w:tc>
          <w:tcPr>
            <w:tcW w:w="20" w:type="dxa"/>
            <w:vAlign w:val="bottom"/>
          </w:tcPr>
          <w:p>
            <w:pPr>
              <w:spacing w:after="0"/>
              <w:rPr>
                <w:sz w:val="21"/>
                <w:szCs w:val="21"/>
                <w:color w:val="auto"/>
              </w:rPr>
            </w:pP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June 18, 2025</w:t>
            </w:r>
          </w:p>
        </w:tc>
        <w:tc>
          <w:tcPr>
            <w:tcW w:w="20" w:type="dxa"/>
            <w:vAlign w:val="bottom"/>
          </w:tcPr>
          <w:p>
            <w:pPr>
              <w:spacing w:after="0"/>
              <w:rPr>
                <w:sz w:val="21"/>
                <w:szCs w:val="21"/>
                <w:color w:val="auto"/>
              </w:rPr>
            </w:pPr>
          </w:p>
        </w:tc>
        <w:tc>
          <w:tcPr>
            <w:tcW w:w="148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July 10, 2025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1, 2025 – June 30, 2025</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0.4325</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9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4, 2025</w:t>
            </w:r>
          </w:p>
        </w:tc>
        <w:tc>
          <w:tcPr>
            <w:tcW w:w="2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18, 2025</w:t>
            </w:r>
          </w:p>
        </w:tc>
        <w:tc>
          <w:tcPr>
            <w:tcW w:w="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October 9, 2025</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1, 2025 – September 30, 2025</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0.4500</w:t>
            </w:r>
          </w:p>
        </w:tc>
        <w:tc>
          <w:tcPr>
            <w:tcW w:w="20" w:type="dxa"/>
            <w:vAlign w:val="bottom"/>
          </w:tcPr>
          <w:p>
            <w:pPr>
              <w:spacing w:after="0"/>
              <w:rPr>
                <w:sz w:val="21"/>
                <w:szCs w:val="21"/>
                <w:color w:val="auto"/>
              </w:rPr>
            </w:pPr>
          </w:p>
        </w:tc>
      </w:tr>
      <w:tr>
        <w:trPr>
          <w:trHeight w:val="90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84" w:lineRule="exact"/>
        <w:rPr>
          <w:sz w:val="20"/>
          <w:szCs w:val="20"/>
          <w:color w:val="auto"/>
        </w:rPr>
      </w:pPr>
    </w:p>
    <w:p>
      <w:pPr>
        <w:jc w:val="both"/>
        <w:spacing w:after="0" w:line="282" w:lineRule="auto"/>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auto"/>
          </w:rPr>
          <w:t xml:space="preserve">A complete discussion of our critical accounting policies and estimates is included in our </w:t>
        </w:r>
        <w:r>
          <w:rPr>
            <w:rFonts w:ascii="Times New Roman" w:cs="Times New Roman" w:eastAsia="Times New Roman" w:hAnsi="Times New Roman"/>
            <w:sz w:val="18"/>
            <w:szCs w:val="18"/>
            <w:u w:val="single" w:color="auto"/>
            <w:color w:val="0000FF"/>
          </w:rPr>
          <w:t>Annual Report on Form 10-K for the year ended December 31,</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There have been no material changes in our critical policies and estimates for the nine months ended September 30, 2026.</w:t>
        </w:r>
      </w:hyperlink>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September 30, 2026, we had $17.2 billion aggregate principal amount of outstanding indebtedness, of which 98.4% has a fixed interest rate and 1.6% has a variable interest rate, representing the US$267.8 million outstanding balance under the Revolving Credit Facility (denominated in CAD and GBP). As of September 30, 2026, a one percent increase or decrease in the annual interest rate on our variable rate borrowings would increase or decrease our annual cash interest expense by approximately $2.7 million using the applicable exchange rate as of September 30, 2026.</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exposed to interest rate risk between the time we enter into a transaction and the time we finance the related transaction with long-term fixed-rate debt. In addition, when long-term debt matures, we may have to refinance such debt at a higher interest rate, thereby exposing us to interest rate risk in connection with such refinancings. In a heightened interest rate environment, we have from time to time and may in the future seek to mitigate that risk by utilizing forward-starting interest rate swap agreements, U.S. Treasury rate lock agreements and other derivative instruments. Market interest rates are sensitive to many factors that are beyond our control.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Risks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or refinance existing debt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VICI’s internal control over financial reporting (as defined in Rules 13a-15(f) and 15d-15(f) under the Exchange Act) that occurred during the three months ended September 30, 2026, that have materially affected, or are reasonably likely to materially affect, VICI’s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 LP’s internal control over financial reporting (as defined in Rules 13a-15(f) and 15d-15(f) under the Exchange Act) that occurred during the three months ended September 30, 2026, that have materially affected, or are reasonably likely to materially affect, VICI LP’s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PART II.</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Legal Proceedings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contained under the heading “Litigation” in </w:t>
      </w:r>
      <w:r>
        <w:rPr>
          <w:rFonts w:ascii="Times New Roman" w:cs="Times New Roman" w:eastAsia="Times New Roman" w:hAnsi="Times New Roman"/>
          <w:sz w:val="18"/>
          <w:szCs w:val="18"/>
          <w:u w:val="single" w:color="auto"/>
          <w:color w:val="0000FF"/>
        </w:rPr>
        <w:t>Note 10 - Commitments and Contingent Liabilities</w:t>
      </w:r>
      <w:r>
        <w:rPr>
          <w:rFonts w:ascii="Times New Roman" w:cs="Times New Roman" w:eastAsia="Times New Roman" w:hAnsi="Times New Roman"/>
          <w:sz w:val="18"/>
          <w:szCs w:val="18"/>
          <w:color w:val="auto"/>
        </w:rPr>
        <w:t xml:space="preserve"> to our Financial Statements included in this report is incorporated by reference into this Item 1.</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Risk Factors</w:t>
      </w:r>
    </w:p>
    <w:p>
      <w:pPr>
        <w:spacing w:after="0" w:line="165"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auto"/>
          </w:rPr>
          <w:t xml:space="preserve">A description of certain factors that may affect our future results and risk factors is set forth in our </w:t>
        </w:r>
        <w:r>
          <w:rPr>
            <w:rFonts w:ascii="Times New Roman" w:cs="Times New Roman" w:eastAsia="Times New Roman" w:hAnsi="Times New Roman"/>
            <w:sz w:val="18"/>
            <w:szCs w:val="18"/>
            <w:u w:val="single" w:color="auto"/>
            <w:color w:val="0000FF"/>
          </w:rPr>
          <w:t>Annual Report on Form 10-K for the year ended</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FF"/>
          </w:rPr>
          <w:t>December 31, 2025</w:t>
        </w:r>
        <w:r>
          <w:rPr>
            <w:rFonts w:ascii="Times New Roman" w:cs="Times New Roman" w:eastAsia="Times New Roman" w:hAnsi="Times New Roman"/>
            <w:sz w:val="18"/>
            <w:szCs w:val="18"/>
            <w:color w:val="000000"/>
          </w:rPr>
          <w:t>, and is incorporated by reference into this Item 1A. There have been no material changes to those factors for the nine months ended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September 30, 2026.</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 from 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VICI Properties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VICI Properties Inc. did not repurchase any equity securities registered pursuant to Section 12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VICI Properties L.P.</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VICI LP did not repurchase any equity securities registered pursuant to Section 12 of the Exchange Act.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20" w:type="dxa"/>
            <w:vAlign w:val="bottom"/>
          </w:tcPr>
          <w:p>
            <w:pPr>
              <w:spacing w:after="0"/>
              <w:rPr>
                <w:sz w:val="24"/>
                <w:szCs w:val="24"/>
                <w:color w:val="auto"/>
              </w:rPr>
            </w:pPr>
          </w:p>
        </w:tc>
        <w:tc>
          <w:tcPr>
            <w:tcW w:w="5740" w:type="dxa"/>
            <w:vAlign w:val="bottom"/>
            <w:gridSpan w:val="7"/>
          </w:tcPr>
          <w:p>
            <w:pPr>
              <w:ind w:left="140"/>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40" w:type="dxa"/>
            <w:vAlign w:val="bottom"/>
            <w:gridSpan w:val="6"/>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0"/>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940" w:type="dxa"/>
            <w:vAlign w:val="bottom"/>
            <w:gridSpan w:val="6"/>
            <w:vMerge w:val="continue"/>
          </w:tcPr>
          <w:p>
            <w:pPr>
              <w:spacing w:after="0"/>
              <w:rPr>
                <w:sz w:val="16"/>
                <w:szCs w:val="16"/>
                <w:color w:val="auto"/>
              </w:rPr>
            </w:pPr>
          </w:p>
        </w:tc>
        <w:tc>
          <w:tcPr>
            <w:tcW w:w="7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2"/>
        </w:trPr>
        <w:tc>
          <w:tcPr>
            <w:tcW w:w="680" w:type="dxa"/>
            <w:vAlign w:val="bottom"/>
            <w:gridSpan w:val="2"/>
          </w:tcPr>
          <w:p>
            <w:pPr>
              <w:jc w:val="center"/>
              <w:ind w:left="251"/>
              <w:spacing w:after="0"/>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60" w:type="dxa"/>
            <w:vAlign w:val="bottom"/>
          </w:tcPr>
          <w:p>
            <w:pPr>
              <w:spacing w:after="0"/>
              <w:rPr>
                <w:sz w:val="18"/>
                <w:szCs w:val="18"/>
                <w:color w:val="auto"/>
              </w:rPr>
            </w:pPr>
          </w:p>
        </w:tc>
        <w:tc>
          <w:tcPr>
            <w:tcW w:w="5760" w:type="dxa"/>
            <w:vAlign w:val="bottom"/>
            <w:gridSpan w:val="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Fifth Supplemental Indenture, dated as of August 14, 2026, between VICI</w:t>
              </w:r>
            </w:hyperlink>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Properties L.P. and UMB Bank, National Association, as trustee.</w:t>
              </w:r>
            </w:hyperlink>
          </w:p>
        </w:tc>
        <w:tc>
          <w:tcPr>
            <w:tcW w:w="6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80" w:type="dxa"/>
            <w:vAlign w:val="bottom"/>
            <w:gridSpan w:val="2"/>
          </w:tcPr>
          <w:p>
            <w:pPr>
              <w:jc w:val="center"/>
              <w:ind w:left="251"/>
              <w:spacing w:after="0"/>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460" w:type="dxa"/>
            <w:vAlign w:val="bottom"/>
          </w:tcPr>
          <w:p>
            <w:pPr>
              <w:spacing w:after="0"/>
              <w:rPr>
                <w:sz w:val="24"/>
                <w:szCs w:val="24"/>
                <w:color w:val="auto"/>
              </w:rPr>
            </w:pPr>
          </w:p>
        </w:tc>
        <w:tc>
          <w:tcPr>
            <w:tcW w:w="5760" w:type="dxa"/>
            <w:vAlign w:val="bottom"/>
            <w:gridSpan w:val="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Global Note representing the 5.400% Senior Notes due 2031</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(included in Exhibit 4.1).</w:t>
              </w:r>
            </w:hyperlink>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gridSpan w:val="2"/>
          </w:tcPr>
          <w:p>
            <w:pPr>
              <w:jc w:val="center"/>
              <w:ind w:left="251"/>
              <w:spacing w:after="0"/>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460" w:type="dxa"/>
            <w:vAlign w:val="bottom"/>
          </w:tcPr>
          <w:p>
            <w:pPr>
              <w:spacing w:after="0"/>
              <w:rPr>
                <w:sz w:val="24"/>
                <w:szCs w:val="24"/>
                <w:color w:val="auto"/>
              </w:rPr>
            </w:pPr>
          </w:p>
        </w:tc>
        <w:tc>
          <w:tcPr>
            <w:tcW w:w="5760" w:type="dxa"/>
            <w:vAlign w:val="bottom"/>
            <w:gridSpan w:val="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Global Note representing the 5.750% Senior Notes due 2036</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562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(included in Exhibit 4.1).</w:t>
              </w:r>
            </w:hyperlink>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Inc. Certification of Principal Executive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Inc. Certification of Principal Financial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L.P. Certification of Principal Executive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4</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L.P. Certification of Principal Financial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Inc. Certification of Principal Executive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Inc. Certification of Principal Financial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L.P. Certification of Principal Executive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4</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VICI Properties L.P. Certification of Principal Financial Officer Pursuant to</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760" w:type="dxa"/>
            <w:vAlign w:val="bottom"/>
            <w:gridSpan w:val="8"/>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760" w:type="dxa"/>
            <w:vAlign w:val="bottom"/>
            <w:gridSpan w:val="8"/>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74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9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97"/>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9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97"/>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5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140" w:right="920" w:hanging="761"/>
        <w:spacing w:after="0" w:line="250"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7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21170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8/14/2026</w:t>
            </w:r>
          </w:p>
        </w:tc>
      </w:tr>
      <w:tr>
        <w:trPr>
          <w:trHeight w:val="486"/>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8/14/2026</w:t>
            </w:r>
          </w:p>
        </w:tc>
      </w:tr>
      <w:tr>
        <w:trPr>
          <w:trHeight w:val="486"/>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8/14/2026</w:t>
            </w:r>
          </w:p>
        </w:tc>
      </w:tr>
    </w:tbl>
    <w:p>
      <w:pPr>
        <w:sectPr>
          <w:pgSz w:w="11900" w:h="16838" w:orient="portrait"/>
          <w:cols w:equalWidth="0" w:num="2">
            <w:col w:w="7640" w:space="260"/>
            <w:col w:w="3340"/>
          </w:cols>
          <w:pgMar w:left="320" w:top="5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80"/>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2026</w:t>
            </w:r>
          </w:p>
        </w:tc>
      </w:tr>
      <w:tr>
        <w:trPr>
          <w:trHeight w:val="237"/>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Edward B. Pitoniak</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20"/>
                <w:szCs w:val="20"/>
                <w:color w:val="auto"/>
              </w:rPr>
            </w:pPr>
          </w:p>
        </w:tc>
      </w:tr>
      <w:tr>
        <w:trPr>
          <w:trHeight w:val="499"/>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2026</w:t>
            </w:r>
          </w:p>
        </w:tc>
      </w:tr>
      <w:tr>
        <w:trPr>
          <w:trHeight w:val="237"/>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A. Kieske</w:t>
            </w:r>
          </w:p>
        </w:tc>
        <w:tc>
          <w:tcPr>
            <w:tcW w:w="120" w:type="dxa"/>
            <w:vAlign w:val="bottom"/>
          </w:tcPr>
          <w:p>
            <w:pPr>
              <w:spacing w:after="0"/>
              <w:rPr>
                <w:sz w:val="20"/>
                <w:szCs w:val="20"/>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00" w:type="dxa"/>
            <w:vAlign w:val="bottom"/>
          </w:tcPr>
          <w:p>
            <w:pPr>
              <w:spacing w:after="0"/>
              <w:rPr>
                <w:sz w:val="20"/>
                <w:szCs w:val="20"/>
                <w:color w:val="auto"/>
              </w:rPr>
            </w:pPr>
          </w:p>
        </w:tc>
      </w:tr>
      <w:tr>
        <w:trPr>
          <w:trHeight w:val="499"/>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JEREMY L. WAXMAN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2026</w:t>
            </w:r>
          </w:p>
        </w:tc>
      </w:tr>
      <w:tr>
        <w:trPr>
          <w:trHeight w:val="237"/>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Jeremy L. Waxman</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0" w:type="dxa"/>
            <w:vAlign w:val="bottom"/>
          </w:tcPr>
          <w:p>
            <w:pPr>
              <w:spacing w:after="0"/>
              <w:rPr>
                <w:sz w:val="20"/>
                <w:szCs w:val="20"/>
                <w:color w:val="auto"/>
              </w:rPr>
            </w:pPr>
          </w:p>
        </w:tc>
      </w:tr>
    </w:tbl>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80"/>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2026</w:t>
            </w:r>
          </w:p>
        </w:tc>
      </w:tr>
      <w:tr>
        <w:trPr>
          <w:trHeight w:val="237"/>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Edward B. Pitoniak</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20"/>
                <w:szCs w:val="20"/>
                <w:color w:val="auto"/>
              </w:rPr>
            </w:pPr>
          </w:p>
        </w:tc>
      </w:tr>
      <w:tr>
        <w:trPr>
          <w:trHeight w:val="499"/>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2026</w:t>
            </w:r>
          </w:p>
        </w:tc>
      </w:tr>
      <w:tr>
        <w:trPr>
          <w:trHeight w:val="237"/>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A. Kieske</w:t>
            </w:r>
          </w:p>
        </w:tc>
        <w:tc>
          <w:tcPr>
            <w:tcW w:w="120" w:type="dxa"/>
            <w:vAlign w:val="bottom"/>
          </w:tcPr>
          <w:p>
            <w:pPr>
              <w:spacing w:after="0"/>
              <w:rPr>
                <w:sz w:val="20"/>
                <w:szCs w:val="20"/>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00" w:type="dxa"/>
            <w:vAlign w:val="bottom"/>
          </w:tcPr>
          <w:p>
            <w:pPr>
              <w:spacing w:after="0"/>
              <w:rPr>
                <w:sz w:val="20"/>
                <w:szCs w:val="20"/>
                <w:color w:val="auto"/>
              </w:rPr>
            </w:pPr>
          </w:p>
        </w:tc>
      </w:tr>
      <w:tr>
        <w:trPr>
          <w:trHeight w:val="499"/>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JEREMY L. WAXMAN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2026</w:t>
            </w:r>
          </w:p>
        </w:tc>
      </w:tr>
      <w:tr>
        <w:trPr>
          <w:trHeight w:val="237"/>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Jeremy L. Waxman</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52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344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tabs>
          <w:tab w:leader="none" w:pos="70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60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9344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6"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34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tabs>
          <w:tab w:leader="none" w:pos="70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60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9344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6"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September 30, 2026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344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September 30, 2026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58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344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Partnership for the quarterly period ended September 30, 2026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Partnership.</w:t>
      </w:r>
    </w:p>
    <w:p>
      <w:pPr>
        <w:spacing w:after="0" w:line="225"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34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b w:val="1"/>
          <w:bCs w:val="1"/>
          <w:color w:val="auto"/>
        </w:rPr>
        <w:t>Exhibit 32.4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Partnership for the quarterly period ended September 30, 2026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Partnership.</w:t>
      </w:r>
    </w:p>
    <w:p>
      <w:pPr>
        <w:spacing w:after="0" w:line="225"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36" w:lineRule="exact"/>
        <w:rPr>
          <w:sz w:val="20"/>
          <w:szCs w:val="20"/>
          <w:color w:val="auto"/>
        </w:rPr>
      </w:pPr>
    </w:p>
    <w:p>
      <w:pPr>
        <w:ind w:left="458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34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6"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8"/>
    </w:lvl>
  </w:abstractNum>
  <w:abstractNum w:abstractNumId="10">
    <w:nsid w:val="1E7FF521"/>
    <w:multiLevelType w:val="hybridMultilevel"/>
    <w:lvl w:ilvl="0">
      <w:lvlJc w:val="left"/>
      <w:lvlText w:val="%1"/>
      <w:numFmt w:val="decimal"/>
      <w:start w:val="25"/>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8"/>
    </w:lvl>
  </w:abstractNum>
  <w:abstractNum w:abstractNumId="13">
    <w:nsid w:val="6CEAF087"/>
    <w:multiLevelType w:val="hybridMultilevel"/>
    <w:lvl w:ilvl="0">
      <w:lvlJc w:val="left"/>
      <w:lvlText w:val="%1"/>
      <w:numFmt w:val="decimal"/>
      <w:start w:val="30"/>
    </w:lvl>
  </w:abstractNum>
  <w:abstractNum w:abstractNumId="14">
    <w:nsid w:val="22221A70"/>
    <w:multiLevelType w:val="hybridMultilevel"/>
    <w:lvl w:ilvl="0">
      <w:lvlJc w:val="left"/>
      <w:lvlText w:val="\endash "/>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2"/>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2"/>
      <w:numFmt w:val="decimal"/>
      <w:start w:val="104"/>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27" Type="http://schemas.openxmlformats.org/officeDocument/2006/relationships/hyperlink" Target="https://www.sec.gov/ix?doc=/Archives/edgar/data/0001705696/000170569626000034/vici-20251231.htm" TargetMode="External"/><Relationship Id="rId89" Type="http://schemas.openxmlformats.org/officeDocument/2006/relationships/hyperlink" Target="https://www.sec.gov/Archives/edgar/data/1705696/000110465926097167/tm2623237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2026-10-28T15:44:28Z</dcterms:created>
  <dcterms:modified xsi:type="dcterms:W3CDTF">2026-10-28T15:44:28Z</dcterms:modified>
</cp:coreProperties>
</file>