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10-Q</w:t>
      </w:r>
    </w:p>
    <w:p>
      <w:pPr>
        <w:spacing w:after="0" w:line="3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89" w:lineRule="exact"/>
        <w:rPr>
          <w:sz w:val="24"/>
          <w:szCs w:val="24"/>
          <w:color w:val="auto"/>
        </w:rPr>
      </w:pPr>
    </w:p>
    <w:p>
      <w:pPr>
        <w:ind w:left="1740" w:hanging="598"/>
        <w:spacing w:after="0"/>
        <w:tabs>
          <w:tab w:leader="none" w:pos="174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September 30, 2025</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46" w:lineRule="exact"/>
        <w:rPr>
          <w:sz w:val="24"/>
          <w:szCs w:val="24"/>
          <w:color w:val="auto"/>
        </w:rPr>
      </w:pPr>
    </w:p>
    <w:p>
      <w:pPr>
        <w:ind w:left="3680" w:right="1260" w:hanging="2538"/>
        <w:spacing w:after="0" w:line="383" w:lineRule="auto"/>
        <w:tabs>
          <w:tab w:leader="none" w:pos="1730" w:val="left"/>
        </w:tabs>
        <w:numPr>
          <w:ilvl w:val="0"/>
          <w:numId w:val="2"/>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 For the transition period from _________ to __________</w:t>
      </w: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001-38372 (VICI Properties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333-264352-01 (VICI Properties L.P.)</w:t>
      </w:r>
    </w:p>
    <w:p>
      <w:pPr>
        <w:spacing w:after="0" w:line="7"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26"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9"/>
          <w:szCs w:val="29"/>
          <w:b w:val="1"/>
          <w:bCs w:val="1"/>
          <w:color w:val="auto"/>
        </w:rPr>
        <w:t>VICI Properties Inc.</w:t>
      </w:r>
    </w:p>
    <w:p>
      <w:pPr>
        <w:spacing w:after="0" w:line="72" w:lineRule="exact"/>
        <w:rPr>
          <w:sz w:val="24"/>
          <w:szCs w:val="24"/>
          <w:color w:val="auto"/>
        </w:rPr>
      </w:pPr>
    </w:p>
    <w:p>
      <w:pPr>
        <w:ind w:left="4360"/>
        <w:spacing w:after="0"/>
        <w:rPr>
          <w:sz w:val="20"/>
          <w:szCs w:val="20"/>
          <w:color w:val="auto"/>
        </w:rPr>
      </w:pPr>
      <w:r>
        <w:rPr>
          <w:rFonts w:ascii="Times New Roman" w:cs="Times New Roman" w:eastAsia="Times New Roman" w:hAnsi="Times New Roman"/>
          <w:sz w:val="29"/>
          <w:szCs w:val="29"/>
          <w:b w:val="1"/>
          <w:bCs w:val="1"/>
          <w:color w:val="auto"/>
        </w:rPr>
        <w:t>VICI Properties L.P.</w:t>
      </w:r>
    </w:p>
    <w:p>
      <w:pPr>
        <w:spacing w:after="0" w:line="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8"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19" w:lineRule="exact"/>
        <w:rPr>
          <w:sz w:val="24"/>
          <w:szCs w:val="24"/>
          <w:color w:val="auto"/>
        </w:rPr>
      </w:pPr>
    </w:p>
    <w:tbl>
      <w:tblPr>
        <w:tblLayout w:type="fixed"/>
        <w:tblInd w:w="400" w:type="dxa"/>
        <w:tblCellMar>
          <w:top w:w="0" w:type="dxa"/>
          <w:left w:w="0" w:type="dxa"/>
          <w:bottom w:w="0" w:type="dxa"/>
          <w:right w:w="0" w:type="dxa"/>
        </w:tblCellMar>
      </w:tblPr>
      <w:tr>
        <w:trPr>
          <w:trHeight w:val="230"/>
        </w:trPr>
        <w:tc>
          <w:tcPr>
            <w:tcW w:w="4040" w:type="dxa"/>
            <w:vAlign w:val="bottom"/>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8"/>
              </w:rPr>
              <w:t>Maryland</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(VICI Properties Inc.)</w:t>
            </w:r>
          </w:p>
        </w:tc>
        <w:tc>
          <w:tcPr>
            <w:tcW w:w="2900" w:type="dxa"/>
            <w:vAlign w:val="bottom"/>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8"/>
              </w:rPr>
              <w:t>81-4177147</w:t>
            </w:r>
          </w:p>
        </w:tc>
      </w:tr>
      <w:tr>
        <w:trPr>
          <w:trHeight w:val="227"/>
        </w:trPr>
        <w:tc>
          <w:tcPr>
            <w:tcW w:w="4040" w:type="dxa"/>
            <w:vAlign w:val="bottom"/>
          </w:tcPr>
          <w:p>
            <w:pPr>
              <w:jc w:val="center"/>
              <w:ind w:right="2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4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(VICI Properties L.P.)</w:t>
            </w:r>
          </w:p>
        </w:tc>
        <w:tc>
          <w:tcPr>
            <w:tcW w:w="2900" w:type="dxa"/>
            <w:vAlign w:val="bottom"/>
          </w:tcPr>
          <w:p>
            <w:pPr>
              <w:jc w:val="center"/>
              <w:ind w:left="636"/>
              <w:spacing w:after="0"/>
              <w:rPr>
                <w:sz w:val="20"/>
                <w:szCs w:val="20"/>
                <w:color w:val="auto"/>
              </w:rPr>
            </w:pPr>
            <w:r>
              <w:rPr>
                <w:rFonts w:ascii="Times New Roman" w:cs="Times New Roman" w:eastAsia="Times New Roman" w:hAnsi="Times New Roman"/>
                <w:sz w:val="18"/>
                <w:szCs w:val="18"/>
                <w:b w:val="1"/>
                <w:bCs w:val="1"/>
                <w:color w:val="auto"/>
                <w:w w:val="98"/>
              </w:rPr>
              <w:t>35-2576503</w:t>
            </w:r>
          </w:p>
        </w:tc>
      </w:tr>
      <w:tr>
        <w:trPr>
          <w:trHeight w:val="190"/>
        </w:trPr>
        <w:tc>
          <w:tcPr>
            <w:tcW w:w="4040" w:type="dxa"/>
            <w:vAlign w:val="bottom"/>
          </w:tcPr>
          <w:p>
            <w:pPr>
              <w:jc w:val="center"/>
              <w:ind w:right="236"/>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2740" w:type="dxa"/>
            <w:vAlign w:val="bottom"/>
          </w:tcPr>
          <w:p>
            <w:pPr>
              <w:spacing w:after="0"/>
              <w:rPr>
                <w:sz w:val="16"/>
                <w:szCs w:val="16"/>
                <w:color w:val="auto"/>
              </w:rPr>
            </w:pPr>
          </w:p>
        </w:tc>
        <w:tc>
          <w:tcPr>
            <w:tcW w:w="2900" w:type="dxa"/>
            <w:vAlign w:val="bottom"/>
          </w:tcPr>
          <w:p>
            <w:pPr>
              <w:jc w:val="center"/>
              <w:ind w:left="616"/>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bl>
    <w:p>
      <w:pPr>
        <w:spacing w:after="0" w:line="15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18"/>
          <w:szCs w:val="18"/>
          <w:b w:val="1"/>
          <w:bCs w:val="1"/>
          <w:color w:val="auto"/>
        </w:rPr>
        <w:t>535 Madison Avenue New York, New York 10022</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pacing w:after="0" w:line="1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949-4631</w:t>
      </w:r>
    </w:p>
    <w:p>
      <w:pPr>
        <w:spacing w:after="0" w:line="30"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1"/>
          <w:szCs w:val="11"/>
          <w:color w:val="auto"/>
        </w:rPr>
        <w:t>_____________________________</w:t>
      </w:r>
    </w:p>
    <w:p>
      <w:pPr>
        <w:spacing w:after="0" w:line="91" w:lineRule="exact"/>
        <w:rPr>
          <w:sz w:val="24"/>
          <w:szCs w:val="24"/>
          <w:color w:val="auto"/>
        </w:rPr>
      </w:pPr>
    </w:p>
    <w:tbl>
      <w:tblPr>
        <w:tblLayout w:type="fixed"/>
        <w:tblInd w:w="340" w:type="dxa"/>
        <w:tblCellMar>
          <w:top w:w="0" w:type="dxa"/>
          <w:left w:w="0" w:type="dxa"/>
          <w:bottom w:w="0" w:type="dxa"/>
          <w:right w:w="0" w:type="dxa"/>
        </w:tblCellMar>
      </w:tblPr>
      <w:tr>
        <w:trPr>
          <w:trHeight w:val="210"/>
        </w:trPr>
        <w:tc>
          <w:tcPr>
            <w:tcW w:w="424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tc>
        <w:tc>
          <w:tcPr>
            <w:tcW w:w="25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780" w:type="dxa"/>
            <w:vAlign w:val="bottom"/>
          </w:tcPr>
          <w:p>
            <w:pPr>
              <w:spacing w:after="0"/>
              <w:rPr>
                <w:sz w:val="18"/>
                <w:szCs w:val="18"/>
                <w:color w:val="auto"/>
              </w:rPr>
            </w:pPr>
          </w:p>
        </w:tc>
      </w:tr>
      <w:tr>
        <w:trPr>
          <w:trHeight w:val="246"/>
        </w:trPr>
        <w:tc>
          <w:tcPr>
            <w:tcW w:w="4240" w:type="dxa"/>
            <w:vAlign w:val="bottom"/>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w w:val="99"/>
              </w:rPr>
              <w:t>Title of each class</w:t>
            </w:r>
          </w:p>
        </w:tc>
        <w:tc>
          <w:tcPr>
            <w:tcW w:w="288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7"/>
        </w:trPr>
        <w:tc>
          <w:tcPr>
            <w:tcW w:w="39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Common stock, $0.01 par value</w:t>
            </w:r>
          </w:p>
        </w:tc>
        <w:tc>
          <w:tcPr>
            <w:tcW w:w="340" w:type="dxa"/>
            <w:vAlign w:val="bottom"/>
          </w:tcPr>
          <w:p>
            <w:pPr>
              <w:spacing w:after="0"/>
              <w:rPr>
                <w:sz w:val="17"/>
                <w:szCs w:val="17"/>
                <w:color w:val="auto"/>
              </w:rPr>
            </w:pPr>
          </w:p>
        </w:tc>
        <w:tc>
          <w:tcPr>
            <w:tcW w:w="2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rPr>
              <w:t>VICI</w:t>
            </w:r>
          </w:p>
        </w:tc>
        <w:tc>
          <w:tcPr>
            <w:tcW w:w="340" w:type="dxa"/>
            <w:vAlign w:val="bottom"/>
          </w:tcPr>
          <w:p>
            <w:pPr>
              <w:spacing w:after="0"/>
              <w:rPr>
                <w:sz w:val="17"/>
                <w:szCs w:val="17"/>
                <w:color w:val="auto"/>
              </w:rPr>
            </w:pPr>
          </w:p>
        </w:tc>
        <w:tc>
          <w:tcPr>
            <w:tcW w:w="37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color w:val="auto"/>
                <w:w w:val="99"/>
              </w:rPr>
              <w:t>New York Stock Exchange</w:t>
            </w:r>
          </w:p>
        </w:tc>
      </w:tr>
    </w:tbl>
    <w:p>
      <w:pPr>
        <w:spacing w:after="0" w:line="343" w:lineRule="exact"/>
        <w:rPr>
          <w:sz w:val="24"/>
          <w:szCs w:val="24"/>
          <w:color w:val="auto"/>
        </w:rPr>
      </w:pPr>
    </w:p>
    <w:p>
      <w:pPr>
        <w:jc w:val="both"/>
        <w:ind w:firstLine="324"/>
        <w:spacing w:after="0" w:line="283"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5"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Times New Roman" w:cs="Times New Roman" w:eastAsia="Times New Roman" w:hAnsi="Times New Roman"/>
          <w:sz w:val="16"/>
          <w:szCs w:val="16"/>
          <w:color w:val="auto"/>
        </w:rPr>
        <w:t xml:space="preserve">VICI Properties Inc.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57" w:lineRule="exact"/>
        <w:rPr>
          <w:sz w:val="24"/>
          <w:szCs w:val="24"/>
          <w:color w:val="auto"/>
        </w:rPr>
      </w:pPr>
    </w:p>
    <w:p>
      <w:pPr>
        <w:jc w:val="both"/>
        <w:ind w:firstLine="324"/>
        <w:spacing w:after="0" w:line="293"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w:t>
      </w:r>
    </w:p>
    <w:p>
      <w:pPr>
        <w:spacing w:after="0" w:line="1" w:lineRule="exact"/>
        <w:rPr>
          <w:sz w:val="24"/>
          <w:szCs w:val="24"/>
          <w:color w:val="auto"/>
        </w:rPr>
      </w:pPr>
    </w:p>
    <w:p>
      <w:pPr>
        <w:ind w:left="360"/>
        <w:spacing w:after="0" w:line="184" w:lineRule="exact"/>
        <w:tabs>
          <w:tab w:leader="none" w:pos="2320" w:val="left"/>
          <w:tab w:leader="none" w:pos="6560" w:val="left"/>
          <w:tab w:leader="none" w:pos="8600" w:val="left"/>
        </w:tabs>
        <w:rPr>
          <w:sz w:val="20"/>
          <w:szCs w:val="20"/>
          <w:color w:val="auto"/>
        </w:rPr>
      </w:pPr>
      <w:r>
        <w:rPr>
          <w:rFonts w:ascii="Times New Roman" w:cs="Times New Roman" w:eastAsia="Times New Roman" w:hAnsi="Times New Roman"/>
          <w:sz w:val="16"/>
          <w:szCs w:val="16"/>
          <w:color w:val="auto"/>
        </w:rPr>
        <w:t xml:space="preserve">VICI Properties Inc.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p>
    <w:p>
      <w:pPr>
        <w:spacing w:after="0" w:line="203" w:lineRule="exact"/>
        <w:rPr>
          <w:sz w:val="24"/>
          <w:szCs w:val="24"/>
          <w:color w:val="auto"/>
        </w:rPr>
      </w:pPr>
    </w:p>
    <w:p>
      <w:pPr>
        <w:jc w:val="both"/>
        <w:ind w:firstLine="324"/>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66" w:lineRule="exact"/>
        <w:rPr>
          <w:sz w:val="24"/>
          <w:szCs w:val="24"/>
          <w:color w:val="auto"/>
        </w:rPr>
      </w:pPr>
    </w:p>
    <w:tbl>
      <w:tblPr>
        <w:tblLayout w:type="fixed"/>
        <w:tblInd w:w="360" w:type="dxa"/>
        <w:tblCellMar>
          <w:top w:w="0" w:type="dxa"/>
          <w:left w:w="0" w:type="dxa"/>
          <w:bottom w:w="0" w:type="dxa"/>
          <w:right w:w="0" w:type="dxa"/>
        </w:tblCellMar>
      </w:tblPr>
      <w:tr>
        <w:trPr>
          <w:trHeight w:val="184"/>
        </w:trPr>
        <w:tc>
          <w:tcPr>
            <w:tcW w:w="1720" w:type="dxa"/>
            <w:vAlign w:val="bottom"/>
          </w:tcPr>
          <w:p>
            <w:pPr>
              <w:spacing w:after="0"/>
              <w:rPr>
                <w:sz w:val="16"/>
                <w:szCs w:val="16"/>
                <w:color w:val="auto"/>
              </w:rPr>
            </w:pPr>
          </w:p>
        </w:tc>
        <w:tc>
          <w:tcPr>
            <w:tcW w:w="2880" w:type="dxa"/>
            <w:vAlign w:val="bottom"/>
            <w:gridSpan w:val="2"/>
          </w:tcPr>
          <w:p>
            <w:pPr>
              <w:ind w:left="200"/>
              <w:spacing w:after="0"/>
              <w:rPr>
                <w:sz w:val="20"/>
                <w:szCs w:val="20"/>
                <w:color w:val="auto"/>
              </w:rPr>
            </w:pPr>
            <w:r>
              <w:rPr>
                <w:rFonts w:ascii="Times New Roman" w:cs="Times New Roman" w:eastAsia="Times New Roman" w:hAnsi="Times New Roman"/>
                <w:sz w:val="16"/>
                <w:szCs w:val="16"/>
                <w:color w:val="auto"/>
              </w:rPr>
              <w:t>VICI Properties Inc.</w:t>
            </w:r>
          </w:p>
        </w:tc>
        <w:tc>
          <w:tcPr>
            <w:tcW w:w="70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1980" w:type="dxa"/>
            <w:vAlign w:val="bottom"/>
          </w:tcPr>
          <w:p>
            <w:pPr>
              <w:spacing w:after="0"/>
              <w:rPr>
                <w:sz w:val="16"/>
                <w:szCs w:val="16"/>
                <w:color w:val="auto"/>
              </w:rPr>
            </w:pPr>
          </w:p>
        </w:tc>
        <w:tc>
          <w:tcPr>
            <w:tcW w:w="2920" w:type="dxa"/>
            <w:vAlign w:val="bottom"/>
            <w:gridSpan w:val="2"/>
          </w:tcPr>
          <w:p>
            <w:pPr>
              <w:ind w:left="220"/>
              <w:spacing w:after="0"/>
              <w:rPr>
                <w:sz w:val="20"/>
                <w:szCs w:val="20"/>
                <w:color w:val="auto"/>
              </w:rPr>
            </w:pPr>
            <w:r>
              <w:rPr>
                <w:rFonts w:ascii="Times New Roman" w:cs="Times New Roman" w:eastAsia="Times New Roman" w:hAnsi="Times New Roman"/>
                <w:sz w:val="16"/>
                <w:szCs w:val="16"/>
                <w:color w:val="auto"/>
              </w:rPr>
              <w:t>VICI Properties L.P.</w:t>
            </w:r>
          </w:p>
        </w:tc>
        <w:tc>
          <w:tcPr>
            <w:tcW w:w="460" w:type="dxa"/>
            <w:vAlign w:val="bottom"/>
            <w:vMerge w:val="restart"/>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700" w:type="dxa"/>
            <w:vAlign w:val="bottom"/>
            <w:vMerge w:val="continue"/>
          </w:tcPr>
          <w:p>
            <w:pPr>
              <w:spacing w:after="0"/>
              <w:rPr>
                <w:sz w:val="18"/>
                <w:szCs w:val="18"/>
                <w:color w:val="auto"/>
              </w:rPr>
            </w:pP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Large Accelerated Filer</w:t>
            </w:r>
          </w:p>
        </w:tc>
        <w:tc>
          <w:tcPr>
            <w:tcW w:w="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58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19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Non-accelerated filer</w:t>
            </w:r>
          </w:p>
        </w:tc>
        <w:tc>
          <w:tcPr>
            <w:tcW w:w="60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r>
        <w:trPr>
          <w:trHeight w:val="272"/>
        </w:trPr>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3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7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19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3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Emerging growth company</w:t>
            </w:r>
          </w:p>
        </w:tc>
        <w:tc>
          <w:tcPr>
            <w:tcW w:w="460" w:type="dxa"/>
            <w:vAlign w:val="bottom"/>
          </w:tcPr>
          <w:p>
            <w:pPr>
              <w:ind w:left="300"/>
              <w:spacing w:after="0" w:line="161" w:lineRule="exact"/>
              <w:rPr>
                <w:sz w:val="20"/>
                <w:szCs w:val="20"/>
                <w:color w:val="auto"/>
              </w:rPr>
            </w:pPr>
            <w:r>
              <w:rPr>
                <w:rFonts w:ascii="MS PGothic" w:cs="MS PGothic" w:eastAsia="MS PGothic" w:hAnsi="MS PGothic"/>
                <w:sz w:val="16"/>
                <w:szCs w:val="16"/>
                <w:color w:val="auto"/>
                <w:w w:val="87"/>
              </w:rPr>
              <w:t>☐</w:t>
            </w:r>
          </w:p>
        </w:tc>
        <w:tc>
          <w:tcPr>
            <w:tcW w:w="0" w:type="dxa"/>
            <w:vAlign w:val="bottom"/>
          </w:tcPr>
          <w:p>
            <w:pPr>
              <w:spacing w:after="0"/>
              <w:rPr>
                <w:sz w:val="1"/>
                <w:szCs w:val="1"/>
                <w:color w:val="auto"/>
              </w:rPr>
            </w:pPr>
          </w:p>
        </w:tc>
      </w:tr>
    </w:tbl>
    <w:p>
      <w:pPr>
        <w:spacing w:after="0" w:line="155" w:lineRule="exact"/>
        <w:rPr>
          <w:sz w:val="24"/>
          <w:szCs w:val="24"/>
          <w:color w:val="auto"/>
        </w:rPr>
      </w:pPr>
    </w:p>
    <w:p>
      <w:pPr>
        <w:ind w:firstLine="324"/>
        <w:spacing w:after="0" w:line="293" w:lineRule="auto"/>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 w:lineRule="exact"/>
        <w:rPr>
          <w:sz w:val="24"/>
          <w:szCs w:val="24"/>
          <w:color w:val="auto"/>
        </w:rPr>
      </w:pPr>
    </w:p>
    <w:p>
      <w:pPr>
        <w:ind w:left="360"/>
        <w:spacing w:after="0" w:line="184" w:lineRule="exact"/>
        <w:tabs>
          <w:tab w:leader="none" w:pos="6560" w:val="left"/>
        </w:tabs>
        <w:rPr>
          <w:sz w:val="20"/>
          <w:szCs w:val="20"/>
          <w:color w:val="auto"/>
        </w:rPr>
      </w:pPr>
      <w:r>
        <w:rPr>
          <w:rFonts w:ascii="Times New Roman" w:cs="Times New Roman" w:eastAsia="Times New Roman" w:hAnsi="Times New Roman"/>
          <w:sz w:val="16"/>
          <w:szCs w:val="16"/>
          <w:color w:val="auto"/>
        </w:rPr>
        <w:t xml:space="preserve">VICI Properties Inc.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w:t>
      </w:r>
      <w:r>
        <w:rPr>
          <w:rFonts w:ascii="MS PGothic" w:cs="MS PGothic" w:eastAsia="MS PGothic" w:hAnsi="MS PGothic"/>
          <w:sz w:val="16"/>
          <w:szCs w:val="16"/>
          <w:color w:val="auto"/>
        </w:rPr>
        <w:t>☐</w:t>
      </w:r>
    </w:p>
    <w:p>
      <w:pPr>
        <w:spacing w:after="0" w:line="257"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64" w:lineRule="exact"/>
        <w:rPr>
          <w:sz w:val="24"/>
          <w:szCs w:val="24"/>
          <w:color w:val="auto"/>
        </w:rPr>
      </w:pPr>
    </w:p>
    <w:p>
      <w:pPr>
        <w:ind w:left="360"/>
        <w:spacing w:after="0" w:line="184" w:lineRule="exact"/>
        <w:tabs>
          <w:tab w:leader="none" w:pos="2320" w:val="left"/>
          <w:tab w:leader="none" w:pos="6560" w:val="left"/>
        </w:tabs>
        <w:rPr>
          <w:sz w:val="20"/>
          <w:szCs w:val="20"/>
          <w:color w:val="auto"/>
        </w:rPr>
      </w:pPr>
      <w:r>
        <w:rPr>
          <w:rFonts w:ascii="Times New Roman" w:cs="Times New Roman" w:eastAsia="Times New Roman" w:hAnsi="Times New Roman"/>
          <w:sz w:val="16"/>
          <w:szCs w:val="16"/>
          <w:color w:val="auto"/>
        </w:rPr>
        <w:t xml:space="preserve">VICI Properties Inc.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b/>
        <w:t xml:space="preserve">No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16"/>
          <w:szCs w:val="16"/>
          <w:color w:val="auto"/>
        </w:rPr>
        <w:t xml:space="preserve">VICI Properties L.P.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57" w:lineRule="exact"/>
        <w:rPr>
          <w:sz w:val="24"/>
          <w:szCs w:val="24"/>
          <w:color w:val="auto"/>
        </w:rPr>
      </w:pPr>
    </w:p>
    <w:p>
      <w:pPr>
        <w:ind w:firstLine="324"/>
        <w:spacing w:after="0" w:line="280" w:lineRule="auto"/>
        <w:rPr>
          <w:sz w:val="20"/>
          <w:szCs w:val="20"/>
          <w:color w:val="auto"/>
        </w:rPr>
      </w:pPr>
      <w:r>
        <w:rPr>
          <w:rFonts w:ascii="Times New Roman" w:cs="Times New Roman" w:eastAsia="Times New Roman" w:hAnsi="Times New Roman"/>
          <w:sz w:val="16"/>
          <w:szCs w:val="16"/>
          <w:color w:val="auto"/>
        </w:rPr>
        <w:t>As of October 29, 2025, VICI Properties Inc. had 1,068,811,371 shares of common stock, $0.01 par value per share, outstanding. VICI Properties L.P. has no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452120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2"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report combines the quarterly reports on Form 10-Q for the three and nine months ended September 30, 2025 of VICI Properties Inc. and VICI Properties L.P. Unless stated otherwise or the context otherwise requires, references to “VICI” mean VICI Properties Inc. and its consolidated subsidiaries, including VICI Properties OP LLC (“VICI OP”), and references to “VICI LP” mean VICI Properties L.P. and its consolidated subsidiaries. Unless stated otherwise or the context otherwise requires, the terms “the Company,” “we,” “our” and “us” mean VICI and VICI LP, including, collectively, their consolidated subsidiaries.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order to highlight the differences between VICI and VICI LP, the separate sections in this report for VICI and VICI LP described below specifically refer to VICI and VICI LP. In the sections that combine disclosure of VICI and VICI LP, this report refers to actions or holdings of VICI and VICI LP as being “our” actions or holdings. Although VICI LP is the entity that generally, directly or indirectly, enters into contracts and joint ventures, holds assets and incurs debt, we believe that references to “we,” “us” or “our” in this context are appropriate because the business is one enterprise and we operate substantially all of our business and own, either directly or through subsidiaries, substantially all of our assets through VICI LP.</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is a real estate investment trust (“REIT”) that is the sole owner of VICI Properties GP LLC, the sole general partner of VICI LP. As of September 30, 2025, VICI owns 100% of the limited liability company interests of VICI Properties HoldCo LLC (“HoldCo”), which in turn owns approximately 98.9% of the limited liability company interest of VICI OP (such interests, “VICI OP Units”), our operating partnership, which in turns owns 100% of the limited partnership interest in VICI LP. The balance of the VICI OP Units not held by HoldCo are held by third-party unit holders.</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diagram details VICI’s organizational structure as of September 30,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120015</wp:posOffset>
            </wp:positionV>
            <wp:extent cx="4286250" cy="26403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286250" cy="26403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believe combining the quarterly reports on Form 10-Q of VICI and VICI LP into this single report:</w:t>
      </w:r>
    </w:p>
    <w:p>
      <w:pPr>
        <w:spacing w:after="0" w:line="171" w:lineRule="exact"/>
        <w:rPr>
          <w:sz w:val="20"/>
          <w:szCs w:val="20"/>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enhances investors’ understanding of VICI and VICI LP by enabling investors to view the business as a whole in the same manner as management views and operates the business;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eliminates duplicative disclosure and provides a more streamlined and readable presentation;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creates time and cost efficiencies through the preparation of one combined report instead of two separate reports.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VICI and VICI LP as one business. Because VICI LP is managed by VICI, and VICI conducts substantially all of its operations and owns, either directly or through subsidiaries, substantially all of its assets indirectly through VICI LP, VICI’s executive officers are VICI LP’s executive officers, although, as a partnership, VICI LP does not have a board of directors.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it is important to understand the few differences between VICI and VICI LP in the context of how VICI and VICI LP operate as a consolidated company. VICI is a REIT whose only material assets are its indirect interest in VICI LP, through which it conducts its real property business. VICI also conducts its golf course business through a taxable REIT subsidiary (a “TRS”), VICI Golf LLC, a Delaware limited liability company (“VICI Golf”). As a result, VICI does not conduct business itself other than issuing public equity from time to time and does not directly incur any material indebtedness, rather VICI LP</w:t>
      </w:r>
    </w:p>
    <w:p>
      <w:pPr>
        <w:sectPr>
          <w:pgSz w:w="11900" w:h="16838" w:orient="portrait"/>
          <w:cols w:equalWidth="0" w:num="1">
            <w:col w:w="11240"/>
          </w:cols>
          <w:pgMar w:left="320" w:top="1332"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type w:val="continuous"/>
        </w:sectPr>
      </w:pPr>
    </w:p>
    <w:bookmarkStart w:id="2" w:name="page3"/>
    <w:bookmarkEnd w:id="2"/>
    <w:p>
      <w:pPr>
        <w:jc w:val="both"/>
        <w:spacing w:after="0" w:line="282" w:lineRule="auto"/>
        <w:rPr>
          <w:sz w:val="20"/>
          <w:szCs w:val="20"/>
          <w:color w:val="auto"/>
        </w:rPr>
      </w:pPr>
      <w:r>
        <w:rPr>
          <w:rFonts w:ascii="Times New Roman" w:cs="Times New Roman" w:eastAsia="Times New Roman" w:hAnsi="Times New Roman"/>
          <w:sz w:val="18"/>
          <w:szCs w:val="18"/>
          <w:color w:val="auto"/>
        </w:rPr>
        <w:t>holds substantially all of our assets, except for those held in VICI Golf. Except for net proceeds from public equity issuances by VICI, VICI LP generates all capital required by the Company’s business, which sources include VICI LP’s operations and its direct or indirect incurrence of indebtedness.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VICI consolidates VICI LP for financial reporting purposes, and VICI does not have material assets other than its indirect investment in VICI LP. Therefore, while there are some areas of difference between the unaudited consolidated financial statements of VICI and those of VICI LP, the assets and liabilities of VICI and VICI LP are materially the same on their respective financial statements. As of September 30, 2025, the primary areas of difference between the unaudited consolidated financial statements of VICI and those of VICI LP were cash and cash equivalents, stockholders’ equity and partners’ capital, non-controlling interests and golf operations, which include the assets and liabilities and income and expenses of VICI Golf.</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help investors understand the differences between VICI and VICI LP, this report provides:</w:t>
      </w:r>
    </w:p>
    <w:p>
      <w:pPr>
        <w:spacing w:after="0" w:line="171" w:lineRule="exact"/>
        <w:rPr>
          <w:sz w:val="20"/>
          <w:szCs w:val="20"/>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consolidated financial statements for VICI and VICI LP;</w:t>
      </w:r>
    </w:p>
    <w:p>
      <w:pPr>
        <w:spacing w:after="0" w:line="6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single set of notes to such consolidated financial statements that includes separate discussions of stockholders’ equity or partners’ equity and per share and per unit data, as applicable;</w:t>
      </w:r>
    </w:p>
    <w:p>
      <w:pPr>
        <w:spacing w:after="0" w:line="1"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combined Management’s Discussion and Analysis of Financial Condition and Results of Operations section that also includes discrete information related to each entity, as applicable;</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 Item 4. Controls and Procedures sections;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Part II, Item 2. Issuer Purchases of Equity Securities sections related to each entity; and</w:t>
      </w:r>
    </w:p>
    <w:p>
      <w:pPr>
        <w:spacing w:after="0" w:line="6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separate Exhibits 31 and 32 certifications for each of VICI and VICI LP in order to establish that the requisite certifications have been made and that VICI and VICI LP are each compliant with Rule 13a-14(a) or Rule 15d-14(a) of the Securities Exchange Act of 1934 and 18 U.S.C. §1350.</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separate discussions of VICI and VICI LP in this report should be read in conjunction with each other to understand our results on a consolidated basis and how management operates our business.</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3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FORM 10-Q</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FOR THE QUARTER ENDED SEPTEMBER 30, 2025</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TABLE OF CONTENTS</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6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360" w:type="dxa"/>
            <w:vAlign w:val="bottom"/>
            <w:gridSpan w:val="3"/>
            <w:vMerge w:val="restart"/>
          </w:tcPr>
          <w:p>
            <w:pPr>
              <w:spacing w:after="0"/>
              <w:rPr>
                <w:sz w:val="20"/>
                <w:szCs w:val="20"/>
                <w:color w:val="auto"/>
              </w:rPr>
            </w:pP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7240" w:type="dxa"/>
            <w:vAlign w:val="bottom"/>
            <w:gridSpan w:val="11"/>
            <w:vMerge w:val="restart"/>
          </w:tcPr>
          <w:p>
            <w:pPr>
              <w:spacing w:after="0"/>
              <w:rPr>
                <w:sz w:val="20"/>
                <w:szCs w:val="20"/>
                <w:color w:val="auto"/>
              </w:rPr>
            </w:pPr>
          </w:p>
        </w:tc>
        <w:tc>
          <w:tcPr>
            <w:tcW w:w="580" w:type="dxa"/>
            <w:vAlign w:val="bottom"/>
            <w:tcBorders>
              <w:bottom w:val="single" w:sz="8" w:color="auto"/>
            </w:tcBorders>
            <w:gridSpan w:val="3"/>
          </w:tcPr>
          <w:p>
            <w:pPr>
              <w:ind w:left="10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4"/>
                <w:szCs w:val="14"/>
                <w:color w:val="auto"/>
              </w:rPr>
            </w:pPr>
          </w:p>
        </w:tc>
        <w:tc>
          <w:tcPr>
            <w:tcW w:w="640" w:type="dxa"/>
            <w:vAlign w:val="bottom"/>
            <w:tcBorders>
              <w:bottom w:val="single" w:sz="8" w:color="0000FF"/>
            </w:tcBorders>
            <w:gridSpan w:val="2"/>
            <w:vMerge w:val="continue"/>
          </w:tcPr>
          <w:p>
            <w:pPr>
              <w:spacing w:after="0"/>
              <w:rPr>
                <w:sz w:val="14"/>
                <w:szCs w:val="14"/>
                <w:color w:val="auto"/>
              </w:rPr>
            </w:pPr>
          </w:p>
        </w:tc>
        <w:tc>
          <w:tcPr>
            <w:tcW w:w="360" w:type="dxa"/>
            <w:vAlign w:val="bottom"/>
            <w:gridSpan w:val="3"/>
            <w:vMerge w:val="continue"/>
          </w:tcPr>
          <w:p>
            <w:pPr>
              <w:spacing w:after="0"/>
              <w:rPr>
                <w:sz w:val="14"/>
                <w:szCs w:val="14"/>
                <w:color w:val="auto"/>
              </w:rPr>
            </w:pPr>
          </w:p>
        </w:tc>
        <w:tc>
          <w:tcPr>
            <w:tcW w:w="2400" w:type="dxa"/>
            <w:vAlign w:val="bottom"/>
            <w:tcBorders>
              <w:bottom w:val="single" w:sz="8" w:color="0000FF"/>
            </w:tcBorders>
            <w:gridSpan w:val="9"/>
            <w:vMerge w:val="continue"/>
          </w:tcPr>
          <w:p>
            <w:pPr>
              <w:spacing w:after="0"/>
              <w:rPr>
                <w:sz w:val="14"/>
                <w:szCs w:val="14"/>
                <w:color w:val="auto"/>
              </w:rPr>
            </w:pPr>
          </w:p>
        </w:tc>
        <w:tc>
          <w:tcPr>
            <w:tcW w:w="7240" w:type="dxa"/>
            <w:vAlign w:val="bottom"/>
            <w:gridSpan w:val="11"/>
            <w:vMerge w:val="continue"/>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520" w:type="dxa"/>
            <w:vAlign w:val="bottom"/>
            <w:gridSpan w:val="4"/>
          </w:tcPr>
          <w:p>
            <w:pPr>
              <w:spacing w:after="0"/>
              <w:rPr>
                <w:sz w:val="18"/>
                <w:szCs w:val="18"/>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of VICI Properties Inc. (Unaudited)</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2025 and December 31, 2024</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rPr>
              <w:t>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Three and Nine Months Ended September 30, 2025</w:t>
            </w:r>
          </w:p>
        </w:tc>
        <w:tc>
          <w:tcPr>
            <w:tcW w:w="240" w:type="dxa"/>
            <w:vAlign w:val="bottom"/>
            <w:vMerge w:val="restart"/>
          </w:tcPr>
          <w:p>
            <w:pPr>
              <w:spacing w:after="0"/>
              <w:rPr>
                <w:sz w:val="18"/>
                <w:szCs w:val="18"/>
                <w:color w:val="auto"/>
              </w:rPr>
            </w:pPr>
          </w:p>
        </w:tc>
        <w:tc>
          <w:tcPr>
            <w:tcW w:w="10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0000FF"/>
              </w:rPr>
              <w:t>6</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60" w:type="dxa"/>
            <w:vAlign w:val="bottom"/>
            <w:tcBorders>
              <w:top w:val="single" w:sz="8" w:color="0000FF"/>
              <w:bottom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2024</w:t>
            </w:r>
          </w:p>
        </w:tc>
        <w:tc>
          <w:tcPr>
            <w:tcW w:w="8180" w:type="dxa"/>
            <w:vAlign w:val="bottom"/>
            <w:tcBorders>
              <w:top w:val="single" w:sz="8" w:color="0000FF"/>
            </w:tcBorders>
            <w:gridSpan w:val="14"/>
          </w:tcPr>
          <w:p>
            <w:pPr>
              <w:spacing w:after="0"/>
              <w:rPr>
                <w:sz w:val="14"/>
                <w:szCs w:val="14"/>
                <w:color w:val="auto"/>
              </w:rPr>
            </w:pPr>
          </w:p>
        </w:tc>
        <w:tc>
          <w:tcPr>
            <w:tcW w:w="140" w:type="dxa"/>
            <w:vAlign w:val="bottom"/>
          </w:tcPr>
          <w:p>
            <w:pPr>
              <w:spacing w:after="0"/>
              <w:rPr>
                <w:sz w:val="14"/>
                <w:szCs w:val="14"/>
                <w:color w:val="auto"/>
              </w:rPr>
            </w:pPr>
          </w:p>
        </w:tc>
        <w:tc>
          <w:tcPr>
            <w:tcW w:w="240" w:type="dxa"/>
            <w:vAlign w:val="bottom"/>
            <w:vMerge w:val="continue"/>
          </w:tcPr>
          <w:p>
            <w:pPr>
              <w:spacing w:after="0"/>
              <w:rPr>
                <w:sz w:val="14"/>
                <w:szCs w:val="14"/>
                <w:color w:val="auto"/>
              </w:rPr>
            </w:pPr>
          </w:p>
        </w:tc>
        <w:tc>
          <w:tcPr>
            <w:tcW w:w="100" w:type="dxa"/>
            <w:vAlign w:val="bottom"/>
            <w:tcBorders>
              <w:bottom w:val="single" w:sz="8" w:color="0000FF"/>
            </w:tcBorders>
            <w:vMerge w:val="continue"/>
          </w:tcPr>
          <w:p>
            <w:pPr>
              <w:spacing w:after="0"/>
              <w:rPr>
                <w:sz w:val="14"/>
                <w:szCs w:val="14"/>
                <w:color w:val="auto"/>
              </w:rPr>
            </w:pPr>
          </w:p>
        </w:tc>
        <w:tc>
          <w:tcPr>
            <w:tcW w:w="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Stockholders’ Equity for the Three and Nine Months Ended September 30, 2025 and 2024</w:t>
            </w:r>
          </w:p>
        </w:tc>
        <w:tc>
          <w:tcPr>
            <w:tcW w:w="34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color w:val="0000FF"/>
              </w:rPr>
              <w:t>7</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2025 and 2024</w:t>
            </w:r>
          </w:p>
        </w:tc>
        <w:tc>
          <w:tcPr>
            <w:tcW w:w="1440" w:type="dxa"/>
            <w:vAlign w:val="bottom"/>
            <w:tcBorders>
              <w:top w:val="single" w:sz="8" w:color="0000FF"/>
            </w:tcBorders>
            <w:gridSpan w:val="2"/>
          </w:tcPr>
          <w:p>
            <w:pPr>
              <w:spacing w:after="0"/>
              <w:rPr>
                <w:sz w:val="18"/>
                <w:szCs w:val="18"/>
                <w:color w:val="auto"/>
              </w:rPr>
            </w:pPr>
          </w:p>
        </w:tc>
        <w:tc>
          <w:tcPr>
            <w:tcW w:w="760" w:type="dxa"/>
            <w:vAlign w:val="bottom"/>
            <w:gridSpan w:val="2"/>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Borders>
              <w:top w:val="single" w:sz="8" w:color="0000FF"/>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rPr>
              <w:t>9</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79"/>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14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Financial Statements of VICI Properties L.P. (Unaudited)</w:t>
            </w:r>
          </w:p>
        </w:tc>
        <w:tc>
          <w:tcPr>
            <w:tcW w:w="5500" w:type="dxa"/>
            <w:vAlign w:val="bottom"/>
            <w:gridSpan w:val="8"/>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bottom w:val="single" w:sz="8" w:color="0000FF"/>
            </w:tcBorders>
          </w:tcPr>
          <w:p>
            <w:pPr>
              <w:jc w:val="center"/>
              <w:spacing w:after="0"/>
              <w:rPr>
                <w:sz w:val="20"/>
                <w:szCs w:val="20"/>
                <w:color w:val="auto"/>
              </w:rPr>
            </w:pPr>
            <w:r>
              <w:rPr>
                <w:rFonts w:ascii="Times New Roman" w:cs="Times New Roman" w:eastAsia="Times New Roman" w:hAnsi="Times New Roman"/>
                <w:sz w:val="18"/>
                <w:szCs w:val="18"/>
                <w:color w:val="0000FF"/>
                <w:w w:val="77"/>
              </w:rPr>
              <w:t>11</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Balance Sheets as of September 30, 2025 and December 31, 2024</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280" w:type="dxa"/>
            <w:vAlign w:val="bottom"/>
            <w:gridSpan w:val="19"/>
          </w:tcPr>
          <w:p>
            <w:pPr>
              <w:spacing w:after="0"/>
              <w:rPr>
                <w:sz w:val="20"/>
                <w:szCs w:val="20"/>
                <w:color w:val="auto"/>
              </w:rPr>
            </w:pPr>
            <w:r>
              <w:rPr>
                <w:rFonts w:ascii="Times New Roman" w:cs="Times New Roman" w:eastAsia="Times New Roman" w:hAnsi="Times New Roman"/>
                <w:sz w:val="18"/>
                <w:szCs w:val="18"/>
                <w:color w:val="0000FF"/>
              </w:rPr>
              <w:t>Consolidated Statements of Operations and Comprehensive Income for the Three and Nine Months Ended September 30, 2025</w:t>
            </w:r>
          </w:p>
        </w:tc>
        <w:tc>
          <w:tcPr>
            <w:tcW w:w="340" w:type="dxa"/>
            <w:vAlign w:val="bottom"/>
            <w:gridSpan w:val="2"/>
            <w:vMerge w:val="restart"/>
          </w:tcPr>
          <w:p>
            <w:pPr>
              <w:jc w:val="center"/>
              <w:ind w:left="70"/>
              <w:spacing w:after="0"/>
              <w:rPr>
                <w:sz w:val="20"/>
                <w:szCs w:val="20"/>
                <w:color w:val="auto"/>
              </w:rPr>
            </w:pPr>
            <w:r>
              <w:rPr>
                <w:rFonts w:ascii="Times New Roman" w:cs="Times New Roman" w:eastAsia="Times New Roman" w:hAnsi="Times New Roman"/>
                <w:sz w:val="18"/>
                <w:szCs w:val="18"/>
                <w:color w:val="0000FF"/>
                <w:w w:val="99"/>
              </w:rPr>
              <w:t>12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960" w:type="dxa"/>
            <w:vAlign w:val="bottom"/>
            <w:tcBorders>
              <w:top w:val="single" w:sz="8" w:color="0000FF"/>
            </w:tcBorders>
            <w:gridSpan w:val="4"/>
          </w:tcPr>
          <w:p>
            <w:pPr>
              <w:spacing w:after="0" w:line="142" w:lineRule="exact"/>
              <w:rPr>
                <w:sz w:val="20"/>
                <w:szCs w:val="20"/>
                <w:color w:val="auto"/>
              </w:rPr>
            </w:pPr>
            <w:r>
              <w:rPr>
                <w:rFonts w:ascii="Times New Roman" w:cs="Times New Roman" w:eastAsia="Times New Roman" w:hAnsi="Times New Roman"/>
                <w:sz w:val="16"/>
                <w:szCs w:val="16"/>
                <w:color w:val="0000FF"/>
              </w:rPr>
              <w:t>and 2024</w:t>
            </w:r>
          </w:p>
        </w:tc>
        <w:tc>
          <w:tcPr>
            <w:tcW w:w="8180" w:type="dxa"/>
            <w:vAlign w:val="bottom"/>
            <w:tcBorders>
              <w:top w:val="single" w:sz="8" w:color="0000FF"/>
            </w:tcBorders>
            <w:gridSpan w:val="14"/>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300" w:type="dxa"/>
            <w:vAlign w:val="bottom"/>
            <w:shd w:val="clear" w:color="auto" w:fill="0000FF"/>
          </w:tcPr>
          <w:p>
            <w:pPr>
              <w:spacing w:after="0"/>
              <w:rPr>
                <w:sz w:val="2"/>
                <w:szCs w:val="2"/>
                <w:color w:val="auto"/>
              </w:rPr>
            </w:pPr>
          </w:p>
        </w:tc>
        <w:tc>
          <w:tcPr>
            <w:tcW w:w="420" w:type="dxa"/>
            <w:vAlign w:val="bottom"/>
            <w:gridSpan w:val="2"/>
            <w:shd w:val="clear" w:color="auto" w:fill="0000FF"/>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220" w:type="dxa"/>
            <w:vAlign w:val="bottom"/>
            <w:gridSpan w:val="3"/>
          </w:tcPr>
          <w:p>
            <w:pPr>
              <w:spacing w:after="0"/>
              <w:rPr>
                <w:sz w:val="2"/>
                <w:szCs w:val="2"/>
                <w:color w:val="auto"/>
              </w:rPr>
            </w:pPr>
          </w:p>
        </w:tc>
        <w:tc>
          <w:tcPr>
            <w:tcW w:w="2080" w:type="dxa"/>
            <w:vAlign w:val="bottom"/>
            <w:gridSpan w:val="2"/>
          </w:tcPr>
          <w:p>
            <w:pPr>
              <w:spacing w:after="0"/>
              <w:rPr>
                <w:sz w:val="2"/>
                <w:szCs w:val="2"/>
                <w:color w:val="auto"/>
              </w:rPr>
            </w:pPr>
          </w:p>
        </w:tc>
        <w:tc>
          <w:tcPr>
            <w:tcW w:w="2120" w:type="dxa"/>
            <w:vAlign w:val="bottom"/>
            <w:gridSpan w:val="2"/>
          </w:tcPr>
          <w:p>
            <w:pPr>
              <w:spacing w:after="0"/>
              <w:rPr>
                <w:sz w:val="2"/>
                <w:szCs w:val="2"/>
                <w:color w:val="auto"/>
              </w:rPr>
            </w:pPr>
          </w:p>
        </w:tc>
        <w:tc>
          <w:tcPr>
            <w:tcW w:w="1060" w:type="dxa"/>
            <w:vAlign w:val="bottom"/>
            <w:gridSpan w:val="3"/>
          </w:tcPr>
          <w:p>
            <w:pPr>
              <w:spacing w:after="0"/>
              <w:rPr>
                <w:sz w:val="2"/>
                <w:szCs w:val="2"/>
                <w:color w:val="auto"/>
              </w:rPr>
            </w:pPr>
          </w:p>
        </w:tc>
        <w:tc>
          <w:tcPr>
            <w:tcW w:w="240" w:type="dxa"/>
            <w:vAlign w:val="bottom"/>
            <w:tcBorders>
              <w:right w:val="single" w:sz="8" w:color="0000FF"/>
            </w:tcBorders>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240" w:type="dxa"/>
            <w:vAlign w:val="bottom"/>
            <w:tcBorders>
              <w:left w:val="single" w:sz="8" w:color="0000FF"/>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22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w w:val="99"/>
              </w:rPr>
              <w:t>Consolidated Statements of Partners’ Capital for the Three and Nine Months Ended September 30, 2025 and 2024</w:t>
            </w:r>
          </w:p>
        </w:tc>
        <w:tc>
          <w:tcPr>
            <w:tcW w:w="1060" w:type="dxa"/>
            <w:vAlign w:val="bottom"/>
            <w:gridSpan w:val="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80" w:type="dxa"/>
            <w:vAlign w:val="bottom"/>
            <w:gridSpan w:val="15"/>
          </w:tcPr>
          <w:p>
            <w:pPr>
              <w:spacing w:after="0"/>
              <w:rPr>
                <w:sz w:val="20"/>
                <w:szCs w:val="20"/>
                <w:color w:val="auto"/>
              </w:rPr>
            </w:pPr>
            <w:r>
              <w:rPr>
                <w:rFonts w:ascii="Times New Roman" w:cs="Times New Roman" w:eastAsia="Times New Roman" w:hAnsi="Times New Roman"/>
                <w:sz w:val="18"/>
                <w:szCs w:val="18"/>
                <w:color w:val="0000FF"/>
                <w:w w:val="99"/>
              </w:rPr>
              <w:t>Consolidated Statements of Cash Flows for the Nine Months Ended September 30, 2025 and 2024</w:t>
            </w:r>
          </w:p>
        </w:tc>
        <w:tc>
          <w:tcPr>
            <w:tcW w:w="1140" w:type="dxa"/>
            <w:vAlign w:val="bottom"/>
          </w:tcPr>
          <w:p>
            <w:pPr>
              <w:spacing w:after="0"/>
              <w:rPr>
                <w:sz w:val="18"/>
                <w:szCs w:val="18"/>
                <w:color w:val="auto"/>
              </w:rPr>
            </w:pPr>
          </w:p>
        </w:tc>
        <w:tc>
          <w:tcPr>
            <w:tcW w:w="1060" w:type="dxa"/>
            <w:vAlign w:val="bottom"/>
            <w:gridSpan w:val="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40" w:type="dxa"/>
            <w:vAlign w:val="bottom"/>
            <w:tcBorders>
              <w:right w:val="single" w:sz="8" w:color="0000FF"/>
            </w:tcBorders>
            <w:shd w:val="clear" w:color="auto" w:fill="0000FF"/>
          </w:tcPr>
          <w:p>
            <w:pPr>
              <w:spacing w:after="0" w:line="20" w:lineRule="exact"/>
              <w:rPr>
                <w:sz w:val="1"/>
                <w:szCs w:val="1"/>
                <w:color w:val="auto"/>
              </w:rPr>
            </w:pPr>
          </w:p>
        </w:tc>
        <w:tc>
          <w:tcPr>
            <w:tcW w:w="17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160" w:type="dxa"/>
            <w:vAlign w:val="bottom"/>
            <w:gridSpan w:val="10"/>
          </w:tcPr>
          <w:p>
            <w:pPr>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6480" w:type="dxa"/>
            <w:vAlign w:val="bottom"/>
            <w:gridSpan w:val="10"/>
          </w:tcPr>
          <w:p>
            <w:pPr>
              <w:spacing w:after="0"/>
              <w:rPr>
                <w:sz w:val="24"/>
                <w:szCs w:val="24"/>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17</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220" w:type="dxa"/>
            <w:vAlign w:val="bottom"/>
            <w:gridSpan w:val="3"/>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2.</w:t>
            </w:r>
          </w:p>
        </w:tc>
        <w:tc>
          <w:tcPr>
            <w:tcW w:w="520" w:type="dxa"/>
            <w:vAlign w:val="bottom"/>
            <w:gridSpan w:val="4"/>
          </w:tcPr>
          <w:p>
            <w:pPr>
              <w:spacing w:after="0"/>
              <w:rPr>
                <w:sz w:val="18"/>
                <w:szCs w:val="18"/>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45</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520" w:type="dxa"/>
            <w:vAlign w:val="bottom"/>
            <w:gridSpan w:val="4"/>
          </w:tcPr>
          <w:p>
            <w:pPr>
              <w:spacing w:after="0"/>
              <w:rPr>
                <w:sz w:val="18"/>
                <w:szCs w:val="18"/>
                <w:color w:val="auto"/>
              </w:rPr>
            </w:pPr>
          </w:p>
        </w:tc>
        <w:tc>
          <w:tcPr>
            <w:tcW w:w="4380" w:type="dxa"/>
            <w:vAlign w:val="bottom"/>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2"/>
          </w:tcPr>
          <w:p>
            <w:pPr>
              <w:spacing w:after="0"/>
              <w:rPr>
                <w:sz w:val="18"/>
                <w:szCs w:val="18"/>
                <w:color w:val="auto"/>
              </w:rPr>
            </w:pPr>
          </w:p>
        </w:tc>
        <w:tc>
          <w:tcPr>
            <w:tcW w:w="3180" w:type="dxa"/>
            <w:vAlign w:val="bottom"/>
            <w:gridSpan w:val="5"/>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60</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060" w:type="dxa"/>
            <w:vAlign w:val="bottom"/>
            <w:tcBorders>
              <w:right w:val="single" w:sz="8" w:color="0000FF"/>
            </w:tcBorders>
            <w:gridSpan w:val="5"/>
            <w:shd w:val="clear" w:color="auto" w:fill="0000FF"/>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520" w:type="dxa"/>
            <w:vAlign w:val="bottom"/>
            <w:gridSpan w:val="4"/>
          </w:tcPr>
          <w:p>
            <w:pPr>
              <w:spacing w:after="0"/>
              <w:rPr>
                <w:sz w:val="18"/>
                <w:szCs w:val="18"/>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2600" w:type="dxa"/>
            <w:vAlign w:val="bottom"/>
            <w:gridSpan w:val="7"/>
          </w:tcPr>
          <w:p>
            <w:pPr>
              <w:spacing w:after="0"/>
              <w:rPr>
                <w:sz w:val="18"/>
                <w:szCs w:val="18"/>
                <w:color w:val="auto"/>
              </w:rPr>
            </w:pPr>
          </w:p>
        </w:tc>
        <w:tc>
          <w:tcPr>
            <w:tcW w:w="526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61</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86"/>
              </w:rPr>
              <w:t>Item 1.</w:t>
            </w:r>
          </w:p>
        </w:tc>
        <w:tc>
          <w:tcPr>
            <w:tcW w:w="220" w:type="dxa"/>
            <w:vAlign w:val="bottom"/>
            <w:tcBorders>
              <w:top w:val="single" w:sz="8" w:color="0000FF"/>
            </w:tcBorders>
            <w:gridSpan w:val="2"/>
          </w:tcPr>
          <w:p>
            <w:pPr>
              <w:spacing w:after="0"/>
              <w:rPr>
                <w:sz w:val="18"/>
                <w:szCs w:val="18"/>
                <w:color w:val="auto"/>
              </w:rPr>
            </w:pPr>
          </w:p>
        </w:tc>
        <w:tc>
          <w:tcPr>
            <w:tcW w:w="300" w:type="dxa"/>
            <w:vAlign w:val="bottom"/>
            <w:gridSpan w:val="2"/>
          </w:tcPr>
          <w:p>
            <w:pPr>
              <w:spacing w:after="0"/>
              <w:rPr>
                <w:sz w:val="18"/>
                <w:szCs w:val="18"/>
                <w:color w:val="auto"/>
              </w:rPr>
            </w:pPr>
          </w:p>
        </w:tc>
        <w:tc>
          <w:tcPr>
            <w:tcW w:w="1320" w:type="dxa"/>
            <w:vAlign w:val="bottom"/>
            <w:tcBorders>
              <w:top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5"/>
              </w:rPr>
              <w:t>Legal Proceedings</w:t>
            </w:r>
          </w:p>
        </w:tc>
        <w:tc>
          <w:tcPr>
            <w:tcW w:w="700" w:type="dxa"/>
            <w:vAlign w:val="bottom"/>
            <w:tcBorders>
              <w:top w:val="single" w:sz="8" w:color="0000FF"/>
            </w:tcBorders>
            <w:gridSpan w:val="2"/>
          </w:tcPr>
          <w:p>
            <w:pPr>
              <w:spacing w:after="0"/>
              <w:rPr>
                <w:sz w:val="18"/>
                <w:szCs w:val="18"/>
                <w:color w:val="auto"/>
              </w:rPr>
            </w:pPr>
          </w:p>
        </w:tc>
        <w:tc>
          <w:tcPr>
            <w:tcW w:w="7620" w:type="dxa"/>
            <w:vAlign w:val="bottom"/>
            <w:gridSpan w:val="13"/>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tcBorders>
              <w:left w:val="single" w:sz="8" w:color="0000FF"/>
            </w:tcBorders>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60" w:type="dxa"/>
            <w:vAlign w:val="bottom"/>
            <w:gridSpan w:val="5"/>
          </w:tcPr>
          <w:p>
            <w:pPr>
              <w:spacing w:after="0" w:line="20" w:lineRule="exact"/>
              <w:rPr>
                <w:sz w:val="1"/>
                <w:szCs w:val="1"/>
                <w:color w:val="auto"/>
              </w:rPr>
            </w:pPr>
          </w:p>
        </w:tc>
        <w:tc>
          <w:tcPr>
            <w:tcW w:w="5260" w:type="dxa"/>
            <w:vAlign w:val="bottom"/>
            <w:gridSpan w:val="7"/>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6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180" w:type="dxa"/>
            <w:vAlign w:val="bottom"/>
            <w:tcBorders>
              <w:bottom w:val="single" w:sz="8" w:color="0000FF"/>
            </w:tcBorders>
            <w:gridSpan w:val="2"/>
          </w:tcPr>
          <w:p>
            <w:pPr>
              <w:spacing w:after="0"/>
              <w:rPr>
                <w:sz w:val="18"/>
                <w:szCs w:val="18"/>
                <w:color w:val="auto"/>
              </w:rPr>
            </w:pPr>
          </w:p>
        </w:tc>
        <w:tc>
          <w:tcPr>
            <w:tcW w:w="180" w:type="dxa"/>
            <w:vAlign w:val="bottom"/>
          </w:tcPr>
          <w:p>
            <w:pPr>
              <w:spacing w:after="0"/>
              <w:rPr>
                <w:sz w:val="18"/>
                <w:szCs w:val="18"/>
                <w:color w:val="auto"/>
              </w:rPr>
            </w:pPr>
          </w:p>
        </w:tc>
        <w:tc>
          <w:tcPr>
            <w:tcW w:w="4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5260" w:type="dxa"/>
            <w:vAlign w:val="bottom"/>
            <w:gridSpan w:val="7"/>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3.</w:t>
            </w:r>
          </w:p>
        </w:tc>
        <w:tc>
          <w:tcPr>
            <w:tcW w:w="520" w:type="dxa"/>
            <w:vAlign w:val="bottom"/>
            <w:gridSpan w:val="4"/>
          </w:tcPr>
          <w:p>
            <w:pPr>
              <w:spacing w:after="0"/>
              <w:rPr>
                <w:sz w:val="18"/>
                <w:szCs w:val="18"/>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7320" w:type="dxa"/>
            <w:vAlign w:val="bottom"/>
            <w:gridSpan w:val="12"/>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4.</w:t>
            </w:r>
          </w:p>
        </w:tc>
        <w:tc>
          <w:tcPr>
            <w:tcW w:w="520" w:type="dxa"/>
            <w:vAlign w:val="bottom"/>
            <w:gridSpan w:val="4"/>
          </w:tcPr>
          <w:p>
            <w:pPr>
              <w:spacing w:after="0"/>
              <w:rPr>
                <w:sz w:val="18"/>
                <w:szCs w:val="18"/>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40" w:type="dxa"/>
            <w:vAlign w:val="bottom"/>
            <w:gridSpan w:val="2"/>
          </w:tcPr>
          <w:p>
            <w:pPr>
              <w:spacing w:after="0"/>
              <w:rPr>
                <w:sz w:val="18"/>
                <w:szCs w:val="18"/>
                <w:color w:val="auto"/>
              </w:rPr>
            </w:pPr>
          </w:p>
        </w:tc>
        <w:tc>
          <w:tcPr>
            <w:tcW w:w="7320" w:type="dxa"/>
            <w:vAlign w:val="bottom"/>
            <w:gridSpan w:val="12"/>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62</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7860" w:type="dxa"/>
            <w:vAlign w:val="bottom"/>
            <w:gridSpan w:val="14"/>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5</w:t>
            </w:r>
            <w:r>
              <w:rPr>
                <w:rFonts w:ascii="Times New Roman" w:cs="Times New Roman" w:eastAsia="Times New Roman" w:hAnsi="Times New Roman"/>
                <w:sz w:val="18"/>
                <w:szCs w:val="18"/>
                <w:color w:val="000000"/>
                <w:w w:val="86"/>
              </w:rPr>
              <w:t>.</w:t>
            </w:r>
          </w:p>
        </w:tc>
        <w:tc>
          <w:tcPr>
            <w:tcW w:w="520" w:type="dxa"/>
            <w:vAlign w:val="bottom"/>
            <w:gridSpan w:val="4"/>
          </w:tcPr>
          <w:p>
            <w:pPr>
              <w:spacing w:after="0"/>
              <w:rPr>
                <w:sz w:val="18"/>
                <w:szCs w:val="18"/>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860" w:type="dxa"/>
            <w:vAlign w:val="bottom"/>
            <w:gridSpan w:val="14"/>
          </w:tcPr>
          <w:p>
            <w:pPr>
              <w:spacing w:after="0"/>
              <w:rPr>
                <w:sz w:val="18"/>
                <w:szCs w:val="18"/>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720" w:type="dxa"/>
            <w:vAlign w:val="bottom"/>
            <w:gridSpan w:val="3"/>
            <w:shd w:val="clear" w:color="auto" w:fill="0000FF"/>
          </w:tcPr>
          <w:p>
            <w:pPr>
              <w:spacing w:after="0" w:line="20" w:lineRule="exact"/>
              <w:rPr>
                <w:sz w:val="1"/>
                <w:szCs w:val="1"/>
                <w:color w:val="auto"/>
              </w:rPr>
            </w:pPr>
          </w:p>
        </w:tc>
        <w:tc>
          <w:tcPr>
            <w:tcW w:w="8320" w:type="dxa"/>
            <w:vAlign w:val="bottom"/>
            <w:gridSpan w:val="15"/>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0" w:type="dxa"/>
            <w:vAlign w:val="bottom"/>
          </w:tcPr>
          <w:p>
            <w:pPr>
              <w:spacing w:after="0"/>
              <w:rPr>
                <w:sz w:val="18"/>
                <w:szCs w:val="18"/>
                <w:color w:val="auto"/>
              </w:rPr>
            </w:pPr>
          </w:p>
        </w:tc>
        <w:tc>
          <w:tcPr>
            <w:tcW w:w="480" w:type="dxa"/>
            <w:vAlign w:val="bottom"/>
          </w:tcPr>
          <w:p>
            <w:pPr>
              <w:spacing w:after="0"/>
              <w:rPr>
                <w:sz w:val="20"/>
                <w:szCs w:val="20"/>
                <w:color w:val="auto"/>
              </w:rPr>
            </w:pPr>
            <w:r>
              <w:rPr>
                <w:rFonts w:ascii="Times New Roman" w:cs="Times New Roman" w:eastAsia="Times New Roman" w:hAnsi="Times New Roman"/>
                <w:sz w:val="18"/>
                <w:szCs w:val="18"/>
                <w:color w:val="0000FF"/>
                <w:w w:val="86"/>
              </w:rPr>
              <w:t>Item 6.</w:t>
            </w:r>
          </w:p>
        </w:tc>
        <w:tc>
          <w:tcPr>
            <w:tcW w:w="520" w:type="dxa"/>
            <w:vAlign w:val="bottom"/>
            <w:gridSpan w:val="4"/>
          </w:tcPr>
          <w:p>
            <w:pPr>
              <w:spacing w:after="0"/>
              <w:rPr>
                <w:sz w:val="18"/>
                <w:szCs w:val="18"/>
                <w:color w:val="auto"/>
              </w:rPr>
            </w:pPr>
          </w:p>
        </w:tc>
        <w:tc>
          <w:tcPr>
            <w:tcW w:w="96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Exhibits</w:t>
            </w: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63</w:t>
            </w:r>
          </w:p>
        </w:tc>
        <w:tc>
          <w:tcPr>
            <w:tcW w:w="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20" w:type="dxa"/>
            <w:vAlign w:val="bottom"/>
          </w:tcPr>
          <w:p>
            <w:pPr>
              <w:spacing w:after="0"/>
              <w:rPr>
                <w:sz w:val="24"/>
                <w:szCs w:val="24"/>
                <w:color w:val="auto"/>
              </w:rPr>
            </w:pPr>
          </w:p>
        </w:tc>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Signatures</w:t>
            </w: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0000FF"/>
                <w:w w:val="99"/>
              </w:rPr>
              <w:t>64</w:t>
            </w: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20" w:type="dxa"/>
            <w:vAlign w:val="bottom"/>
          </w:tcPr>
          <w:p>
            <w:pPr>
              <w:spacing w:after="0"/>
              <w:rPr>
                <w:sz w:val="24"/>
                <w:szCs w:val="24"/>
                <w:color w:val="auto"/>
              </w:rPr>
            </w:pPr>
          </w:p>
        </w:tc>
        <w:tc>
          <w:tcPr>
            <w:tcW w:w="48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gridSpan w:val="14"/>
          </w:tcPr>
          <w:p>
            <w:pPr>
              <w:ind w:left="4560"/>
              <w:spacing w:after="0"/>
              <w:rPr>
                <w:sz w:val="20"/>
                <w:szCs w:val="20"/>
                <w:color w:val="auto"/>
              </w:rPr>
            </w:pPr>
            <w:r>
              <w:rPr>
                <w:rFonts w:ascii="Times New Roman" w:cs="Times New Roman" w:eastAsia="Times New Roman" w:hAnsi="Times New Roman"/>
                <w:sz w:val="18"/>
                <w:szCs w:val="18"/>
                <w:color w:val="auto"/>
              </w:rPr>
              <w:t>4</w:t>
            </w: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22"/>
          <w:szCs w:val="22"/>
          <w:b w:val="1"/>
          <w:bCs w:val="1"/>
          <w:color w:val="auto"/>
        </w:rPr>
        <w:t>PART I</w:t>
      </w:r>
      <w:r>
        <w:rPr>
          <w:sz w:val="20"/>
          <w:szCs w:val="20"/>
          <w:color w:val="auto"/>
        </w:rPr>
        <w:tab/>
      </w:r>
      <w:r>
        <w:rPr>
          <w:rFonts w:ascii="Times New Roman" w:cs="Times New Roman" w:eastAsia="Times New Roman" w:hAnsi="Times New Roman"/>
          <w:sz w:val="21"/>
          <w:szCs w:val="21"/>
          <w:b w:val="1"/>
          <w:bCs w:val="1"/>
          <w:color w:val="auto"/>
        </w:rPr>
        <w:t>FINANCIAL INFORMATION</w:t>
      </w:r>
    </w:p>
    <w:p>
      <w:pPr>
        <w:spacing w:after="0" w:line="14"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Financial Statements</w:t>
      </w:r>
    </w:p>
    <w:p>
      <w:pPr>
        <w:spacing w:after="0" w:line="75"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13"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and securities,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r>
      <w:tr>
        <w:trPr>
          <w:trHeight w:val="229"/>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150,727</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524,615</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1,041,932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1,030,644</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46,535,840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45,368,940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16,762,660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16,732,889</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182,651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217,956</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payable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461,954</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1,004,340</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18,438,562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18,417,139</w:t>
            </w:r>
          </w:p>
        </w:tc>
      </w:tr>
      <w:tr>
        <w:trPr>
          <w:trHeight w:val="196"/>
        </w:trPr>
        <w:tc>
          <w:tcPr>
            <w:tcW w:w="71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80" w:type="dxa"/>
            <w:vAlign w:val="bottom"/>
            <w:shd w:val="clear" w:color="auto" w:fill="CCEEFF"/>
          </w:tcPr>
          <w:p>
            <w:pPr>
              <w:spacing w:after="0"/>
              <w:rPr>
                <w:sz w:val="17"/>
                <w:szCs w:val="17"/>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contingent liabilities (Note 10)</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16"/>
        </w:trPr>
        <w:tc>
          <w:tcPr>
            <w:tcW w:w="7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Stockholders’ equity</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6"/>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Common stock, $0.01 par value, 1,350,000,000 shares authorized and 1,068,808,694 and</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1,056,366,685 shares issued and outstanding at September 30, 2025 and December 31, 2024,</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respectively</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10,688</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10,564</w:t>
            </w:r>
          </w:p>
        </w:tc>
      </w:tr>
      <w:tr>
        <w:trPr>
          <w:trHeight w:val="175"/>
        </w:trPr>
        <w:tc>
          <w:tcPr>
            <w:tcW w:w="7140" w:type="dxa"/>
            <w:vAlign w:val="bottom"/>
          </w:tcPr>
          <w:p>
            <w:pPr>
              <w:ind w:left="220"/>
              <w:spacing w:after="0" w:line="176" w:lineRule="exact"/>
              <w:rPr>
                <w:sz w:val="20"/>
                <w:szCs w:val="20"/>
                <w:color w:val="auto"/>
              </w:rPr>
            </w:pPr>
            <w:r>
              <w:rPr>
                <w:rFonts w:ascii="Times New Roman" w:cs="Times New Roman" w:eastAsia="Times New Roman" w:hAnsi="Times New Roman"/>
                <w:sz w:val="18"/>
                <w:szCs w:val="18"/>
                <w:color w:val="auto"/>
              </w:rPr>
              <w:t>Preferred stock, $0.01 par value, 50,000,000 shares authorized and no shares outstanding at</w:t>
            </w: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80" w:type="dxa"/>
            <w:vAlign w:val="bottom"/>
          </w:tcPr>
          <w:p>
            <w:pPr>
              <w:spacing w:after="0"/>
              <w:rPr>
                <w:sz w:val="15"/>
                <w:szCs w:val="15"/>
                <w:color w:val="auto"/>
              </w:rPr>
            </w:pPr>
          </w:p>
        </w:tc>
      </w:tr>
      <w:tr>
        <w:trPr>
          <w:trHeight w:val="243"/>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September 30, 2025 and December 31, 2024</w:t>
            </w:r>
          </w:p>
        </w:tc>
        <w:tc>
          <w:tcPr>
            <w:tcW w:w="220" w:type="dxa"/>
            <w:vAlign w:val="bottom"/>
          </w:tcPr>
          <w:p>
            <w:pPr>
              <w:spacing w:after="0"/>
              <w:rPr>
                <w:sz w:val="21"/>
                <w:szCs w:val="21"/>
                <w:color w:val="auto"/>
              </w:rPr>
            </w:pPr>
          </w:p>
        </w:tc>
        <w:tc>
          <w:tcPr>
            <w:tcW w:w="18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24,894,452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24,515,417</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125,198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144,574</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2,643,251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1,867,400</w:t>
            </w:r>
          </w:p>
        </w:tc>
      </w:tr>
      <w:tr>
        <w:trPr>
          <w:trHeight w:val="223"/>
        </w:trPr>
        <w:tc>
          <w:tcPr>
            <w:tcW w:w="714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Total VICI stockholders’ equity</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27,673,589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26,537,955</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423,689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413,846</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28,097,278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26,951,801</w:t>
            </w:r>
          </w:p>
        </w:tc>
      </w:tr>
      <w:tr>
        <w:trPr>
          <w:trHeight w:val="248"/>
        </w:trPr>
        <w:tc>
          <w:tcPr>
            <w:tcW w:w="71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46,535,840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45,368,940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52"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4"/>
          <w:szCs w:val="14"/>
          <w:i w:val="1"/>
          <w:iCs w:val="1"/>
          <w:color w:val="auto"/>
        </w:rPr>
        <w:t xml:space="preserve">Note: As of September 30, 2025 and December 31, 2024, our Investments in leases - sales-type, Investments in leases - financing receivables, Investments in loans and securities, and Other assets (sales-type sub-leases) are net of allowance for credit losses of $802.1 million, $750.7 million, $39.0 million and $20.4 million, respectively, and $802.7 million, $737.1 million, $25.0 million and $20.6 million, respectively.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1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363"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70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700" w:type="dxa"/>
            <w:vAlign w:val="bottom"/>
            <w:gridSpan w:val="4"/>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52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531,765</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518,691</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1,590,717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1,543,752</w:t>
            </w:r>
          </w:p>
        </w:tc>
      </w:tr>
      <w:tr>
        <w:trPr>
          <w:trHeight w:val="23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from lease financing receivables, loans and securities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447,986</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1,242,151</w:t>
            </w:r>
          </w:p>
        </w:tc>
      </w:tr>
      <w:tr>
        <w:trPr>
          <w:trHeight w:val="22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57,950</w:t>
            </w:r>
          </w:p>
        </w:tc>
      </w:tr>
      <w:tr>
        <w:trPr>
          <w:trHeight w:val="229"/>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Golf revenues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w:t>
            </w:r>
          </w:p>
        </w:tc>
      </w:tr>
      <w:tr>
        <w:trPr>
          <w:trHeight w:val="223"/>
        </w:trPr>
        <w:tc>
          <w:tcPr>
            <w:tcW w:w="522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964,669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2,993,026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2,873,153</w:t>
            </w:r>
          </w:p>
        </w:tc>
      </w:tr>
      <w:tr>
        <w:trPr>
          <w:trHeight w:val="196"/>
        </w:trPr>
        <w:tc>
          <w:tcPr>
            <w:tcW w:w="5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r>
      <w:tr>
        <w:trPr>
          <w:trHeight w:val="22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r>
      <w:tr>
        <w:trPr>
          <w:trHeight w:val="23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57,950</w:t>
            </w:r>
          </w:p>
        </w:tc>
      </w:tr>
      <w:tr>
        <w:trPr>
          <w:trHeight w:val="22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Golf expenses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r>
      <w:tr>
        <w:trPr>
          <w:trHeight w:val="229"/>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r>
      <w:tr>
        <w:trPr>
          <w:trHeight w:val="230"/>
        </w:trPr>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3"/>
        </w:trPr>
        <w:tc>
          <w:tcPr>
            <w:tcW w:w="52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163,669</w:t>
            </w:r>
          </w:p>
        </w:tc>
      </w:tr>
      <w:tr>
        <w:trPr>
          <w:trHeight w:val="196"/>
        </w:trPr>
        <w:tc>
          <w:tcPr>
            <w:tcW w:w="5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29"/>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(617,976)</w:t>
            </w:r>
          </w:p>
        </w:tc>
      </w:tr>
      <w:tr>
        <w:trPr>
          <w:trHeight w:val="229"/>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r>
      <w:tr>
        <w:trPr>
          <w:trHeight w:val="23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777,505</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2,211,246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2,104,294</w:t>
            </w:r>
          </w:p>
        </w:tc>
      </w:tr>
      <w:tr>
        <w:trPr>
          <w:trHeight w:val="23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773,620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2,097,037</w:t>
            </w:r>
          </w:p>
        </w:tc>
      </w:tr>
      <w:tr>
        <w:trPr>
          <w:trHeight w:val="23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(32,821)</w:t>
            </w:r>
          </w:p>
        </w:tc>
      </w:tr>
      <w:tr>
        <w:trPr>
          <w:trHeight w:val="223"/>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732,898</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2,170,726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2,064,216</w:t>
            </w:r>
          </w:p>
        </w:tc>
      </w:tr>
      <w:tr>
        <w:trPr>
          <w:trHeight w:val="20"/>
        </w:trPr>
        <w:tc>
          <w:tcPr>
            <w:tcW w:w="52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3"/>
        </w:trPr>
        <w:tc>
          <w:tcPr>
            <w:tcW w:w="5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common share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16"/>
        </w:trPr>
        <w:tc>
          <w:tcPr>
            <w:tcW w:w="5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0"/>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shares of common stock outstanding</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1,067,253,644</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1,046,626,838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1,059,870,808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1,043,921,660</w:t>
            </w:r>
          </w:p>
        </w:tc>
      </w:tr>
      <w:tr>
        <w:trPr>
          <w:trHeight w:val="229"/>
        </w:trPr>
        <w:tc>
          <w:tcPr>
            <w:tcW w:w="52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1,068,369,218</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1,048,338,348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1,060,732,039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1,044,897,468</w:t>
            </w:r>
          </w:p>
        </w:tc>
      </w:tr>
      <w:tr>
        <w:trPr>
          <w:trHeight w:val="216"/>
        </w:trPr>
        <w:tc>
          <w:tcPr>
            <w:tcW w:w="5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29"/>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773,620</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744,481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2,204,253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2,097,037</w:t>
            </w:r>
          </w:p>
        </w:tc>
      </w:tr>
      <w:tr>
        <w:trPr>
          <w:trHeight w:val="230"/>
        </w:trPr>
        <w:tc>
          <w:tcPr>
            <w:tcW w:w="52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Reclassification of derivative gain to Interest expense</w:t>
            </w:r>
          </w:p>
        </w:tc>
        <w:tc>
          <w:tcPr>
            <w:tcW w:w="2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w:t>
            </w:r>
          </w:p>
        </w:tc>
      </w:tr>
      <w:tr>
        <w:trPr>
          <w:trHeight w:val="230"/>
        </w:trPr>
        <w:tc>
          <w:tcPr>
            <w:tcW w:w="522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Unrealized (loss) gain on cash flow hedges</w:t>
            </w: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r>
      <w:tr>
        <w:trPr>
          <w:trHeight w:val="229"/>
        </w:trPr>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23"/>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762,579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737,925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2,184,658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2,084,716</w:t>
            </w:r>
          </w:p>
        </w:tc>
      </w:tr>
      <w:tr>
        <w:trPr>
          <w:trHeight w:val="229"/>
        </w:trPr>
        <w:tc>
          <w:tcPr>
            <w:tcW w:w="522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(11,448)</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(11,533)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(32,665)</w:t>
            </w: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common stockholders</w:t>
            </w: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751,131</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726,392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2,151,350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2,052,051</w:t>
            </w: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83"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268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36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VICI</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6"/>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6"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1060" w:type="dxa"/>
            <w:vAlign w:val="bottom"/>
          </w:tcPr>
          <w:p>
            <w:pPr>
              <w:jc w:val="center"/>
              <w:ind w:right="60"/>
              <w:spacing w:after="0" w:line="146"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8"/>
        </w:trPr>
        <w:tc>
          <w:tcPr>
            <w:tcW w:w="2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7"/>
                <w:szCs w:val="17"/>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7"/>
                <w:szCs w:val="17"/>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7"/>
                <w:szCs w:val="17"/>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7"/>
                <w:szCs w:val="17"/>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7"/>
                <w:szCs w:val="17"/>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24,515,417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144,574</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1,867,400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26,537,955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413,846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26,951,801</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543,607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552,265</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(456,883)</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(456,883)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(7,986)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(464,869)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($0.4325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(4,227)</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(4,224)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(6,271)</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24,512,026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132,452</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1,954,124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26,609,169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413,496</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27,022,665</w:t>
            </w:r>
          </w:p>
        </w:tc>
        <w:tc>
          <w:tcPr>
            <w:tcW w:w="0" w:type="dxa"/>
            <w:vAlign w:val="bottom"/>
          </w:tcPr>
          <w:p>
            <w:pPr>
              <w:spacing w:after="0"/>
              <w:rPr>
                <w:sz w:val="1"/>
                <w:szCs w:val="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865,079</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865,079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13,289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878,368</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(457,027)</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(457,027)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(7,994)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(465,021)</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($0.4325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4,345</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9,968</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207"/>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10,567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24,515,601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136,107</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2,362,176</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27,024,451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419,661</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27,444,112</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762,040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762,040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773,620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375,229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375,350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375,350</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(480,965)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(480,965)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(8,204)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(489,169)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($0.4500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4,356</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0" w:type="dxa"/>
            <w:vAlign w:val="bottom"/>
          </w:tcPr>
          <w:p>
            <w:pPr>
              <w:spacing w:after="0"/>
              <w:rPr>
                <w:sz w:val="1"/>
                <w:szCs w:val="1"/>
                <w:color w:val="auto"/>
              </w:rPr>
            </w:pPr>
          </w:p>
        </w:tc>
      </w:tr>
      <w:tr>
        <w:trPr>
          <w:trHeight w:val="212"/>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10,688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24,894,452</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125,198</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2,643,251</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27,673,589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423,689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28,097,278</w:t>
            </w:r>
          </w:p>
        </w:tc>
        <w:tc>
          <w:tcPr>
            <w:tcW w:w="0" w:type="dxa"/>
            <w:vAlign w:val="bottom"/>
          </w:tcPr>
          <w:p>
            <w:pPr>
              <w:spacing w:after="0"/>
              <w:rPr>
                <w:sz w:val="1"/>
                <w:szCs w:val="1"/>
                <w:color w:val="auto"/>
              </w:rPr>
            </w:pPr>
          </w:p>
        </w:tc>
      </w:tr>
      <w:tr>
        <w:trPr>
          <w:trHeight w:val="21"/>
        </w:trPr>
        <w:tc>
          <w:tcPr>
            <w:tcW w:w="29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ind w:left="2140"/>
        <w:spacing w:after="0"/>
        <w:rPr>
          <w:sz w:val="20"/>
          <w:szCs w:val="20"/>
          <w:color w:val="auto"/>
        </w:rPr>
      </w:pPr>
      <w:r>
        <w:rPr>
          <w:rFonts w:ascii="Times New Roman" w:cs="Times New Roman" w:eastAsia="Times New Roman" w:hAnsi="Times New Roman"/>
          <w:sz w:val="20"/>
          <w:szCs w:val="20"/>
          <w:b w:val="1"/>
          <w:bCs w:val="1"/>
          <w:color w:val="auto"/>
        </w:rPr>
        <w:t>CONSOLIDATED STATEMENTS OF STOCKHOLDERS’ EQUITY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share and per share data)</w:t>
      </w:r>
    </w:p>
    <w:p>
      <w:pPr>
        <w:spacing w:after="0" w:line="200" w:lineRule="exact"/>
        <w:rPr>
          <w:sz w:val="20"/>
          <w:szCs w:val="20"/>
          <w:color w:val="auto"/>
        </w:rPr>
      </w:pPr>
    </w:p>
    <w:p>
      <w:pPr>
        <w:spacing w:after="0" w:line="269"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9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2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 Paid-</w:t>
            </w:r>
          </w:p>
        </w:tc>
        <w:tc>
          <w:tcPr>
            <w:tcW w:w="138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80" w:type="dxa"/>
            <w:vAlign w:val="bottom"/>
          </w:tcPr>
          <w:p>
            <w:pPr>
              <w:spacing w:after="0"/>
              <w:rPr>
                <w:sz w:val="13"/>
                <w:szCs w:val="13"/>
                <w:color w:val="auto"/>
              </w:rPr>
            </w:pPr>
          </w:p>
        </w:tc>
        <w:tc>
          <w:tcPr>
            <w:tcW w:w="9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40" w:type="dxa"/>
            <w:vAlign w:val="bottom"/>
          </w:tcPr>
          <w:p>
            <w:pPr>
              <w:spacing w:after="0"/>
              <w:rPr>
                <w:sz w:val="13"/>
                <w:szCs w:val="13"/>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9"/>
              </w:rPr>
              <w:t>Total VICI</w:t>
            </w:r>
          </w:p>
        </w:tc>
        <w:tc>
          <w:tcPr>
            <w:tcW w:w="120" w:type="dxa"/>
            <w:vAlign w:val="bottom"/>
          </w:tcPr>
          <w:p>
            <w:pPr>
              <w:spacing w:after="0"/>
              <w:rPr>
                <w:sz w:val="13"/>
                <w:szCs w:val="13"/>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Non-</w:t>
            </w:r>
          </w:p>
        </w:tc>
        <w:tc>
          <w:tcPr>
            <w:tcW w:w="120" w:type="dxa"/>
            <w:vAlign w:val="bottom"/>
          </w:tcPr>
          <w:p>
            <w:pPr>
              <w:spacing w:after="0"/>
              <w:rPr>
                <w:sz w:val="13"/>
                <w:szCs w:val="13"/>
                <w:color w:val="auto"/>
              </w:rPr>
            </w:pPr>
          </w:p>
        </w:tc>
        <w:tc>
          <w:tcPr>
            <w:tcW w:w="106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9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8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8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120" w:type="dxa"/>
            <w:vAlign w:val="bottom"/>
          </w:tcPr>
          <w:p>
            <w:pPr>
              <w:spacing w:after="0"/>
              <w:rPr>
                <w:sz w:val="12"/>
                <w:szCs w:val="12"/>
                <w:color w:val="auto"/>
              </w:rPr>
            </w:pPr>
          </w:p>
        </w:tc>
        <w:tc>
          <w:tcPr>
            <w:tcW w:w="96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controlling</w:t>
            </w:r>
          </w:p>
        </w:tc>
        <w:tc>
          <w:tcPr>
            <w:tcW w:w="120" w:type="dxa"/>
            <w:vAlign w:val="bottom"/>
          </w:tcPr>
          <w:p>
            <w:pPr>
              <w:spacing w:after="0"/>
              <w:rPr>
                <w:sz w:val="12"/>
                <w:szCs w:val="12"/>
                <w:color w:val="auto"/>
              </w:rPr>
            </w:pPr>
          </w:p>
        </w:tc>
        <w:tc>
          <w:tcPr>
            <w:tcW w:w="1060" w:type="dxa"/>
            <w:vAlign w:val="bottom"/>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95"/>
        </w:trPr>
        <w:tc>
          <w:tcPr>
            <w:tcW w:w="2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180" w:type="dxa"/>
            <w:vAlign w:val="bottom"/>
          </w:tcPr>
          <w:p>
            <w:pPr>
              <w:spacing w:after="0"/>
              <w:rPr>
                <w:sz w:val="16"/>
                <w:szCs w:val="16"/>
                <w:color w:val="auto"/>
              </w:rPr>
            </w:pPr>
          </w:p>
        </w:tc>
        <w:tc>
          <w:tcPr>
            <w:tcW w:w="9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120" w:type="dxa"/>
            <w:vAlign w:val="bottom"/>
          </w:tcPr>
          <w:p>
            <w:pPr>
              <w:spacing w:after="0"/>
              <w:rPr>
                <w:sz w:val="16"/>
                <w:szCs w:val="16"/>
                <w:color w:val="auto"/>
              </w:rPr>
            </w:pPr>
          </w:p>
        </w:tc>
        <w:tc>
          <w:tcPr>
            <w:tcW w:w="9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Interests</w:t>
            </w:r>
          </w:p>
        </w:tc>
        <w:tc>
          <w:tcPr>
            <w:tcW w:w="120" w:type="dxa"/>
            <w:vAlign w:val="bottom"/>
          </w:tcPr>
          <w:p>
            <w:pPr>
              <w:spacing w:after="0"/>
              <w:rPr>
                <w:sz w:val="16"/>
                <w:szCs w:val="16"/>
                <w:color w:val="auto"/>
              </w:rPr>
            </w:pPr>
          </w:p>
        </w:tc>
        <w:tc>
          <w:tcPr>
            <w:tcW w:w="1060" w:type="dxa"/>
            <w:vAlign w:val="bottom"/>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4"/>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10,427</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24,125,872</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153,870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965,762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25,255,931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401,843</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25,657,774</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590,016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590,016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599,803</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(432,900)</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(432,900)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(7,707)</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(440,607)</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($0.4150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(1,252)</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(5,976)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0" w:type="dxa"/>
            <w:vAlign w:val="bottom"/>
          </w:tcPr>
          <w:p>
            <w:pPr>
              <w:spacing w:after="0"/>
              <w:rPr>
                <w:sz w:val="1"/>
                <w:szCs w:val="1"/>
                <w:color w:val="auto"/>
              </w:rPr>
            </w:pPr>
          </w:p>
        </w:tc>
      </w:tr>
      <w:tr>
        <w:trPr>
          <w:trHeight w:val="212"/>
        </w:trPr>
        <w:tc>
          <w:tcPr>
            <w:tcW w:w="29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10,431</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24,124,875</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156,640</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1,122,878</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25,414,824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403,734</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25,818,558</w:t>
            </w:r>
          </w:p>
        </w:tc>
        <w:tc>
          <w:tcPr>
            <w:tcW w:w="0" w:type="dxa"/>
            <w:vAlign w:val="bottom"/>
          </w:tcPr>
          <w:p>
            <w:pPr>
              <w:spacing w:after="0"/>
              <w:rPr>
                <w:sz w:val="1"/>
                <w:szCs w:val="1"/>
                <w:color w:val="auto"/>
              </w:rPr>
            </w:pPr>
          </w:p>
        </w:tc>
      </w:tr>
      <w:tr>
        <w:trPr>
          <w:trHeight w:val="207"/>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741,302</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741,302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11,451</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752,753</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(432,916)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(432,916)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(7,768)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(440,684)</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($0.4150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4,194</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7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(6,316)</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07"/>
        </w:trPr>
        <w:tc>
          <w:tcPr>
            <w:tcW w:w="2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1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10,432</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24,128,989</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148,211</w:t>
            </w:r>
          </w:p>
        </w:tc>
        <w:tc>
          <w:tcPr>
            <w:tcW w:w="100" w:type="dxa"/>
            <w:vAlign w:val="bottom"/>
            <w:tcBorders>
              <w:bottom w:val="single" w:sz="8" w:color="CCEEFF"/>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1,431,264</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25,718,896</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407,417</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26,126,313</w:t>
            </w:r>
          </w:p>
        </w:tc>
        <w:tc>
          <w:tcPr>
            <w:tcW w:w="0" w:type="dxa"/>
            <w:vAlign w:val="bottom"/>
          </w:tcPr>
          <w:p>
            <w:pPr>
              <w:spacing w:after="0"/>
              <w:rPr>
                <w:sz w:val="1"/>
                <w:szCs w:val="1"/>
                <w:color w:val="auto"/>
              </w:rPr>
            </w:pPr>
          </w:p>
        </w:tc>
      </w:tr>
      <w:tr>
        <w:trPr>
          <w:trHeight w:val="212"/>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732,898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732,898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11,583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744,481</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Issuance of common stock, net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115,071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115,111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115,111</w:t>
            </w: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Reallocation of equity</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Dividends and distributions declared</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26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(452,885)</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(452,885)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(7,984)</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(460,869)</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($0.4325 per common share)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290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Stock-based compensation, net of</w:t>
            </w:r>
          </w:p>
        </w:tc>
        <w:tc>
          <w:tcPr>
            <w:tcW w:w="120" w:type="dxa"/>
            <w:vAlign w:val="bottom"/>
            <w:shd w:val="clear" w:color="auto" w:fill="CCEEFF"/>
          </w:tcPr>
          <w:p>
            <w:pPr>
              <w:spacing w:after="0"/>
              <w:rPr>
                <w:sz w:val="14"/>
                <w:szCs w:val="14"/>
                <w:color w:val="auto"/>
              </w:rPr>
            </w:pP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6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4"/>
                <w:szCs w:val="14"/>
                <w:color w:val="auto"/>
              </w:rPr>
            </w:pPr>
          </w:p>
        </w:tc>
        <w:tc>
          <w:tcPr>
            <w:tcW w:w="9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4,539</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0" w:type="dxa"/>
            <w:vAlign w:val="bottom"/>
          </w:tcPr>
          <w:p>
            <w:pPr>
              <w:spacing w:after="0"/>
              <w:rPr>
                <w:sz w:val="1"/>
                <w:szCs w:val="1"/>
                <w:color w:val="auto"/>
              </w:rPr>
            </w:pPr>
          </w:p>
        </w:tc>
      </w:tr>
      <w:tr>
        <w:trPr>
          <w:trHeight w:val="216"/>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forfeitures</w:t>
            </w:r>
          </w:p>
        </w:tc>
        <w:tc>
          <w:tcPr>
            <w:tcW w:w="120" w:type="dxa"/>
            <w:vAlign w:val="bottom"/>
            <w:shd w:val="clear" w:color="auto" w:fill="CCEEFF"/>
          </w:tcPr>
          <w:p>
            <w:pPr>
              <w:spacing w:after="0"/>
              <w:rPr>
                <w:sz w:val="18"/>
                <w:szCs w:val="18"/>
                <w:color w:val="auto"/>
              </w:rPr>
            </w:pPr>
          </w:p>
        </w:tc>
        <w:tc>
          <w:tcPr>
            <w:tcW w:w="84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290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w:t>
            </w:r>
          </w:p>
        </w:tc>
        <w:tc>
          <w:tcPr>
            <w:tcW w:w="120" w:type="dxa"/>
            <w:vAlign w:val="bottom"/>
          </w:tcPr>
          <w:p>
            <w:pPr>
              <w:spacing w:after="0"/>
              <w:rPr>
                <w:sz w:val="14"/>
                <w:szCs w:val="14"/>
                <w:color w:val="auto"/>
              </w:rPr>
            </w:pPr>
          </w:p>
        </w:tc>
        <w:tc>
          <w:tcPr>
            <w:tcW w:w="8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1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120" w:type="dxa"/>
            <w:vAlign w:val="bottom"/>
          </w:tcPr>
          <w:p>
            <w:pPr>
              <w:spacing w:after="0"/>
              <w:rPr>
                <w:sz w:val="18"/>
                <w:szCs w:val="18"/>
                <w:color w:val="auto"/>
              </w:rPr>
            </w:pPr>
          </w:p>
        </w:tc>
        <w:tc>
          <w:tcPr>
            <w:tcW w:w="84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1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3"/>
        </w:trPr>
        <w:tc>
          <w:tcPr>
            <w:tcW w:w="2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237"/>
        </w:trPr>
        <w:tc>
          <w:tcPr>
            <w:tcW w:w="29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10,472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24,247,840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141,705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1,711,277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26,111,294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411,778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26,523,072</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7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660" w:type="dxa"/>
            <w:vAlign w:val="bottom"/>
            <w:gridSpan w:val="5"/>
          </w:tcPr>
          <w:p>
            <w:pPr>
              <w:ind w:left="3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20" w:type="dxa"/>
            <w:vAlign w:val="bottom"/>
          </w:tcPr>
          <w:p>
            <w:pPr>
              <w:spacing w:after="0"/>
              <w:rPr>
                <w:sz w:val="18"/>
                <w:szCs w:val="18"/>
                <w:color w:val="auto"/>
              </w:rPr>
            </w:pPr>
          </w:p>
        </w:tc>
        <w:tc>
          <w:tcPr>
            <w:tcW w:w="7080" w:type="dxa"/>
            <w:vAlign w:val="bottom"/>
            <w:tcBorders>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ind w:left="380"/>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48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2,204,253</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2,097,037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(402,839)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gains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4,234</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Payment-in-kind interest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(39,261)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(39,573)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1,818,047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1,737,401</w:t>
            </w:r>
          </w:p>
        </w:tc>
        <w:tc>
          <w:tcPr>
            <w:tcW w:w="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4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4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(473,727)</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loans and securities and receipts of deferred fees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short-term investments</w:t>
            </w:r>
          </w:p>
        </w:tc>
        <w:tc>
          <w:tcPr>
            <w:tcW w:w="48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80" w:type="dxa"/>
            <w:vAlign w:val="bottom"/>
          </w:tcPr>
          <w:p>
            <w:pPr>
              <w:spacing w:after="0"/>
              <w:rPr>
                <w:sz w:val="19"/>
                <w:szCs w:val="19"/>
                <w:color w:val="auto"/>
              </w:rPr>
            </w:pPr>
          </w:p>
        </w:tc>
        <w:tc>
          <w:tcPr>
            <w:tcW w:w="1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(6,442)</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(765,460)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(662,606)</w:t>
            </w:r>
          </w:p>
        </w:tc>
        <w:tc>
          <w:tcPr>
            <w:tcW w:w="20" w:type="dxa"/>
            <w:vAlign w:val="bottom"/>
          </w:tcPr>
          <w:p>
            <w:pPr>
              <w:spacing w:after="0"/>
              <w:rPr>
                <w:sz w:val="19"/>
                <w:szCs w:val="19"/>
                <w:color w:val="auto"/>
              </w:rPr>
            </w:pPr>
          </w:p>
        </w:tc>
      </w:tr>
      <w:tr>
        <w:trPr>
          <w:trHeight w:val="250"/>
        </w:trPr>
        <w:tc>
          <w:tcPr>
            <w:tcW w:w="20" w:type="dxa"/>
            <w:vAlign w:val="bottom"/>
          </w:tcPr>
          <w:p>
            <w:pPr>
              <w:spacing w:after="0"/>
              <w:rPr>
                <w:sz w:val="21"/>
                <w:szCs w:val="21"/>
                <w:color w:val="auto"/>
              </w:rPr>
            </w:pPr>
          </w:p>
        </w:tc>
        <w:tc>
          <w:tcPr>
            <w:tcW w:w="70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offering of common stock, net</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375,350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115,112</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426,024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82,200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(432,689)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(85,881)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senior unsecured notes offerings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1,284,437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1,028,533</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Redemption of senior unsecured notes</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(1,050,000)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(5,341)</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(23,245)</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70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Dividends paid</w:t>
            </w: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(1,372,727)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(1,300,317)</w:t>
            </w:r>
          </w:p>
        </w:tc>
        <w:tc>
          <w:tcPr>
            <w:tcW w:w="2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708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(1,070,208)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(1,242,227)</w:t>
            </w:r>
          </w:p>
        </w:tc>
        <w:tc>
          <w:tcPr>
            <w:tcW w:w="20" w:type="dxa"/>
            <w:vAlign w:val="bottom"/>
          </w:tcPr>
          <w:p>
            <w:pPr>
              <w:spacing w:after="0"/>
              <w:rPr>
                <w:sz w:val="19"/>
                <w:szCs w:val="19"/>
                <w:color w:val="auto"/>
              </w:rPr>
            </w:pPr>
          </w:p>
        </w:tc>
      </w:tr>
      <w:tr>
        <w:trPr>
          <w:trHeight w:val="871"/>
        </w:trPr>
        <w:tc>
          <w:tcPr>
            <w:tcW w:w="7100" w:type="dxa"/>
            <w:vAlign w:val="bottom"/>
            <w:gridSpan w:val="2"/>
          </w:tcPr>
          <w:p>
            <w:pPr>
              <w:jc w:val="right"/>
              <w:ind w:right="1350"/>
              <w:spacing w:after="0"/>
              <w:rPr>
                <w:sz w:val="20"/>
                <w:szCs w:val="20"/>
                <w:color w:val="auto"/>
              </w:rPr>
            </w:pPr>
            <w:r>
              <w:rPr>
                <w:rFonts w:ascii="Times New Roman" w:cs="Times New Roman" w:eastAsia="Times New Roman" w:hAnsi="Times New Roman"/>
                <w:sz w:val="18"/>
                <w:szCs w:val="18"/>
                <w:color w:val="auto"/>
              </w:rPr>
              <w:t>9</w:t>
            </w: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0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9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70"/>
        </w:trPr>
        <w:tc>
          <w:tcPr>
            <w:tcW w:w="708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(166,907)</w:t>
            </w:r>
          </w:p>
        </w:tc>
      </w:tr>
      <w:tr>
        <w:trPr>
          <w:trHeight w:val="229"/>
        </w:trPr>
        <w:tc>
          <w:tcPr>
            <w:tcW w:w="7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7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522,574</w:t>
            </w:r>
          </w:p>
        </w:tc>
      </w:tr>
      <w:tr>
        <w:trPr>
          <w:trHeight w:val="248"/>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507,503</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355,667</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0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4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620,778</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595,391</w:t>
            </w: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3,311</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3,338</w:t>
            </w:r>
          </w:p>
        </w:tc>
      </w:tr>
      <w:tr>
        <w:trPr>
          <w:trHeight w:val="230"/>
        </w:trPr>
        <w:tc>
          <w:tcPr>
            <w:tcW w:w="70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activity:</w:t>
            </w:r>
          </w:p>
        </w:tc>
        <w:tc>
          <w:tcPr>
            <w:tcW w:w="74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Dividends and distributions declared, not paid</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458,192</w:t>
            </w:r>
          </w:p>
        </w:tc>
      </w:tr>
      <w:tr>
        <w:trPr>
          <w:trHeight w:val="230"/>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Issuance of stock-based compensation subject to repurchase for tax withholding</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17,576</w:t>
            </w:r>
          </w:p>
        </w:tc>
      </w:tr>
      <w:tr>
        <w:trPr>
          <w:trHeight w:val="229"/>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Debt issuance costs payable</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0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Accrued capitalized transaction costs</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6,448</w:t>
            </w:r>
          </w:p>
        </w:tc>
      </w:tr>
      <w:tr>
        <w:trPr>
          <w:trHeight w:val="230"/>
        </w:trPr>
        <w:tc>
          <w:tcPr>
            <w:tcW w:w="7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211,903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212,400</w:t>
            </w:r>
          </w:p>
        </w:tc>
      </w:tr>
    </w:tbl>
    <w:p>
      <w:pPr>
        <w:spacing w:after="0" w:line="2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109"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CONSOLIDATED BALANCE SHEETS</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8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8"/>
                <w:szCs w:val="18"/>
                <w:color w:val="auto"/>
              </w:rPr>
            </w:pPr>
          </w:p>
        </w:tc>
        <w:tc>
          <w:tcPr>
            <w:tcW w:w="1780" w:type="dxa"/>
            <w:vAlign w:val="bottom"/>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213"/>
        </w:trPr>
        <w:tc>
          <w:tcPr>
            <w:tcW w:w="7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spacing w:after="0"/>
              <w:rPr>
                <w:sz w:val="18"/>
                <w:szCs w:val="18"/>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Real estate portfolio:</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leases - sales-type, net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Investments in leases - financing receivables, net</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18,640,073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Investments in loans and securities, net</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Land</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149,717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150,727</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456,899</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963,865</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1,015,180</w:t>
            </w:r>
          </w:p>
        </w:tc>
      </w:tr>
      <w:tr>
        <w:trPr>
          <w:trHeight w:val="248"/>
        </w:trPr>
        <w:tc>
          <w:tcPr>
            <w:tcW w:w="714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46,447,442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45,285,760</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8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80" w:type="dxa"/>
            <w:vAlign w:val="bottom"/>
          </w:tcPr>
          <w:p>
            <w:pPr>
              <w:spacing w:after="0"/>
              <w:rPr>
                <w:sz w:val="18"/>
                <w:szCs w:val="18"/>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Liabilities</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net</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16,762,660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16,732,889</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180,401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215,452</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486,258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461,954</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993,160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990,577</w:t>
            </w:r>
          </w:p>
        </w:tc>
      </w:tr>
      <w:tr>
        <w:trPr>
          <w:trHeight w:val="223"/>
        </w:trPr>
        <w:tc>
          <w:tcPr>
            <w:tcW w:w="71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liabilities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18,422,479</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18,400,872</w:t>
            </w:r>
          </w:p>
        </w:tc>
      </w:tr>
      <w:tr>
        <w:trPr>
          <w:trHeight w:val="250"/>
        </w:trPr>
        <w:tc>
          <w:tcPr>
            <w:tcW w:w="7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spacing w:after="0"/>
              <w:rPr>
                <w:sz w:val="21"/>
                <w:szCs w:val="21"/>
                <w:color w:val="auto"/>
              </w:rPr>
            </w:pP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Commitments and contingent liabilities (Note 10)</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270"/>
        </w:trPr>
        <w:tc>
          <w:tcPr>
            <w:tcW w:w="714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r>
      <w:tr>
        <w:trPr>
          <w:trHeight w:val="230"/>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Partners’ Capital</w:t>
            </w: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80" w:type="dxa"/>
            <w:vAlign w:val="bottom"/>
          </w:tcPr>
          <w:p>
            <w:pPr>
              <w:spacing w:after="0"/>
              <w:rPr>
                <w:sz w:val="19"/>
                <w:szCs w:val="19"/>
                <w:color w:val="auto"/>
              </w:rPr>
            </w:pPr>
          </w:p>
        </w:tc>
      </w:tr>
      <w:tr>
        <w:trPr>
          <w:trHeight w:val="175"/>
        </w:trPr>
        <w:tc>
          <w:tcPr>
            <w:tcW w:w="7140" w:type="dxa"/>
            <w:vAlign w:val="bottom"/>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Partners’ capital, 1,081,040,067 and 1,068,598,058 operating partnership units issued and</w:t>
            </w: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780" w:type="dxa"/>
            <w:vAlign w:val="bottom"/>
            <w:shd w:val="clear" w:color="auto" w:fill="CCEEFF"/>
          </w:tcPr>
          <w:p>
            <w:pPr>
              <w:spacing w:after="0"/>
              <w:rPr>
                <w:sz w:val="15"/>
                <w:szCs w:val="15"/>
                <w:color w:val="auto"/>
              </w:rPr>
            </w:pPr>
          </w:p>
        </w:tc>
      </w:tr>
      <w:tr>
        <w:trPr>
          <w:trHeight w:val="243"/>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outstanding as of September 30, 2025 and December 31, 2024, respectively</w:t>
            </w: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27,794,086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26,634,873</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124,304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143,899</w:t>
            </w:r>
          </w:p>
        </w:tc>
      </w:tr>
      <w:tr>
        <w:trPr>
          <w:trHeight w:val="223"/>
        </w:trPr>
        <w:tc>
          <w:tcPr>
            <w:tcW w:w="714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Total VICI LP’s capital</w:t>
            </w: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27,918,390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26,778,772</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106,116</w:t>
            </w:r>
          </w:p>
        </w:tc>
      </w:tr>
      <w:tr>
        <w:trPr>
          <w:trHeight w:val="223"/>
        </w:trPr>
        <w:tc>
          <w:tcPr>
            <w:tcW w:w="71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capital attributable to partners</w:t>
            </w: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28,024,963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26,884,888</w:t>
            </w:r>
          </w:p>
        </w:tc>
      </w:tr>
      <w:tr>
        <w:trPr>
          <w:trHeight w:val="223"/>
        </w:trPr>
        <w:tc>
          <w:tcPr>
            <w:tcW w:w="71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liabilities and partners’ capital</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46,447,442</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45,285,760</w:t>
            </w:r>
          </w:p>
        </w:tc>
      </w:tr>
      <w:tr>
        <w:trPr>
          <w:trHeight w:val="20"/>
        </w:trPr>
        <w:tc>
          <w:tcPr>
            <w:tcW w:w="7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_______________________________________________________</w:t>
      </w:r>
    </w:p>
    <w:p>
      <w:pPr>
        <w:spacing w:after="0" w:line="38"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14"/>
          <w:szCs w:val="14"/>
          <w:i w:val="1"/>
          <w:iCs w:val="1"/>
          <w:color w:val="auto"/>
        </w:rPr>
        <w:t xml:space="preserve">Note: As of September 30, 2025 and December 31, 2024, our Investments in leases - sales-type, Investments in leases - financing receivables, Investments in loans and securities, and Other assets (sales-type sub-leases) are net of allowance for credit losses of $802.1 million, $750.7 million, $39.0 million and $20.4 million, respectively, and $802.7 million, $737.1 million, $25.0 million and $20.6 million, respectively. Refer to </w:t>
      </w:r>
      <w:r>
        <w:rPr>
          <w:rFonts w:ascii="Times New Roman" w:cs="Times New Roman" w:eastAsia="Times New Roman" w:hAnsi="Times New Roman"/>
          <w:sz w:val="14"/>
          <w:szCs w:val="14"/>
          <w:i w:val="1"/>
          <w:iCs w:val="1"/>
          <w:u w:val="single" w:color="auto"/>
          <w:color w:val="0000FF"/>
        </w:rPr>
        <w:t>Note 5 - Allowance for Credit Losses</w:t>
      </w:r>
      <w:r>
        <w:rPr>
          <w:rFonts w:ascii="Times New Roman" w:cs="Times New Roman" w:eastAsia="Times New Roman" w:hAnsi="Times New Roman"/>
          <w:sz w:val="14"/>
          <w:szCs w:val="14"/>
          <w:i w:val="1"/>
          <w:iCs w:val="1"/>
          <w:color w:val="auto"/>
        </w:rPr>
        <w:t xml:space="preserve"> for further details.</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0"/>
          <w:szCs w:val="20"/>
          <w:b w:val="1"/>
          <w:bCs w:val="1"/>
          <w:color w:val="auto"/>
        </w:rPr>
        <w:t>CONSOLIDATED STATEMENTS OF OPERATIONS AND COMPREHENSIVE INCOME</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76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68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680" w:type="dxa"/>
            <w:vAlign w:val="bottom"/>
            <w:gridSpan w:val="4"/>
          </w:tcPr>
          <w:p>
            <w:pPr>
              <w:jc w:val="right"/>
              <w:ind w:right="85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09"/>
        </w:trPr>
        <w:tc>
          <w:tcPr>
            <w:tcW w:w="53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29"/>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531,765</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518,691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1,590,717</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1,543,752</w:t>
            </w:r>
          </w:p>
        </w:tc>
      </w:tr>
      <w:tr>
        <w:trPr>
          <w:trHeight w:val="229"/>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Income from lease financing receivables, loans and securities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1,242,151</w:t>
            </w:r>
          </w:p>
        </w:tc>
      </w:tr>
      <w:tr>
        <w:trPr>
          <w:trHeight w:val="230"/>
        </w:trPr>
        <w:tc>
          <w:tcPr>
            <w:tcW w:w="5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Other income</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57,950</w:t>
            </w:r>
          </w:p>
        </w:tc>
      </w:tr>
      <w:tr>
        <w:trPr>
          <w:trHeight w:val="223"/>
        </w:trPr>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999,298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957,121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2,964,039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2,843,853</w:t>
            </w:r>
          </w:p>
        </w:tc>
      </w:tr>
      <w:tr>
        <w:trPr>
          <w:trHeight w:val="237"/>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29"/>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16,366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48,255</w:t>
            </w:r>
          </w:p>
        </w:tc>
      </w:tr>
      <w:tr>
        <w:trPr>
          <w:trHeight w:val="229"/>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Depreciation</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expenses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57,950</w:t>
            </w:r>
          </w:p>
        </w:tc>
      </w:tr>
      <w:tr>
        <w:trPr>
          <w:trHeight w:val="229"/>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r>
      <w:tr>
        <w:trPr>
          <w:trHeight w:val="229"/>
        </w:trPr>
        <w:tc>
          <w:tcPr>
            <w:tcW w:w="536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3"/>
        </w:trPr>
        <w:tc>
          <w:tcPr>
            <w:tcW w:w="536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136,909</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140,795</w:t>
            </w:r>
          </w:p>
        </w:tc>
      </w:tr>
      <w:tr>
        <w:trPr>
          <w:trHeight w:val="237"/>
        </w:trPr>
        <w:tc>
          <w:tcPr>
            <w:tcW w:w="5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29"/>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Interest expense</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(617,976)</w:t>
            </w:r>
          </w:p>
        </w:tc>
      </w:tr>
      <w:tr>
        <w:trPr>
          <w:trHeight w:val="230"/>
        </w:trPr>
        <w:tc>
          <w:tcPr>
            <w:tcW w:w="536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Interest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3,777</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9,475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10,485</w:t>
            </w:r>
          </w:p>
        </w:tc>
      </w:tr>
      <w:tr>
        <w:trPr>
          <w:trHeight w:val="229"/>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(losses) gains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776,842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747,020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2,096,337</w:t>
            </w:r>
          </w:p>
        </w:tc>
      </w:tr>
      <w:tr>
        <w:trPr>
          <w:trHeight w:val="230"/>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(5,434)</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(5,775)</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773,106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744,540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2,198,582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2,090,562</w:t>
            </w:r>
          </w:p>
        </w:tc>
      </w:tr>
      <w:tr>
        <w:trPr>
          <w:trHeight w:val="230"/>
        </w:trPr>
        <w:tc>
          <w:tcPr>
            <w:tcW w:w="536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2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(2,825)</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(8,558)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(8,722)</w:t>
            </w:r>
          </w:p>
        </w:tc>
      </w:tr>
      <w:tr>
        <w:trPr>
          <w:trHeight w:val="223"/>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741,519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2,190,024</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2,081,840</w:t>
            </w:r>
          </w:p>
        </w:tc>
      </w:tr>
      <w:tr>
        <w:trPr>
          <w:trHeight w:val="20"/>
        </w:trPr>
        <w:tc>
          <w:tcPr>
            <w:tcW w:w="536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223"/>
        </w:trPr>
        <w:tc>
          <w:tcPr>
            <w:tcW w:w="53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Net income per Partnership unit</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30"/>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56"/>
        </w:trPr>
        <w:tc>
          <w:tcPr>
            <w:tcW w:w="5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Weighted average number of Partnership units outstanding</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1,079,485,017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1,058,858,211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1,072,102,181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1,056,153,033</w:t>
            </w:r>
          </w:p>
        </w:tc>
      </w:tr>
      <w:tr>
        <w:trPr>
          <w:trHeight w:val="229"/>
        </w:trPr>
        <w:tc>
          <w:tcPr>
            <w:tcW w:w="53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1,080,600,591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1,060,569,721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1,072,963,412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1,057,128,841</w:t>
            </w:r>
          </w:p>
        </w:tc>
      </w:tr>
      <w:tr>
        <w:trPr>
          <w:trHeight w:val="257"/>
        </w:trPr>
        <w:tc>
          <w:tcPr>
            <w:tcW w:w="536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Other comprehensive income</w:t>
            </w:r>
          </w:p>
        </w:tc>
        <w:tc>
          <w:tcPr>
            <w:tcW w:w="2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741,519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2,190,024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2,081,840</w:t>
            </w:r>
          </w:p>
        </w:tc>
      </w:tr>
      <w:tr>
        <w:trPr>
          <w:trHeight w:val="230"/>
        </w:trPr>
        <w:tc>
          <w:tcPr>
            <w:tcW w:w="53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Reclassification of derivative gain to Interest expense</w:t>
            </w:r>
          </w:p>
        </w:tc>
        <w:tc>
          <w:tcPr>
            <w:tcW w:w="2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w:t>
            </w:r>
          </w:p>
        </w:tc>
      </w:tr>
      <w:tr>
        <w:trPr>
          <w:trHeight w:val="230"/>
        </w:trPr>
        <w:tc>
          <w:tcPr>
            <w:tcW w:w="53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Unrealized (loss) gain on cash flow hedges</w:t>
            </w:r>
          </w:p>
        </w:tc>
        <w:tc>
          <w:tcPr>
            <w:tcW w:w="22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r>
      <w:tr>
        <w:trPr>
          <w:trHeight w:val="230"/>
        </w:trPr>
        <w:tc>
          <w:tcPr>
            <w:tcW w:w="536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 adjustments, net</w:t>
            </w:r>
          </w:p>
        </w:tc>
        <w:tc>
          <w:tcPr>
            <w:tcW w:w="2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(4,652)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2,258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5,474</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(3,559)</w:t>
            </w:r>
          </w:p>
        </w:tc>
      </w:tr>
      <w:tr>
        <w:trPr>
          <w:trHeight w:val="248"/>
        </w:trPr>
        <w:tc>
          <w:tcPr>
            <w:tcW w:w="53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partners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759,240</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734,963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2,170,429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2,069,519</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83"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STATEMENTS OF PARTNERS’ CAPITAL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60" w:type="dxa"/>
            <w:vAlign w:val="bottom"/>
          </w:tcPr>
          <w:p>
            <w:pPr>
              <w:spacing w:after="0"/>
              <w:rPr>
                <w:sz w:val="13"/>
                <w:szCs w:val="13"/>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460" w:type="dxa"/>
            <w:vAlign w:val="bottom"/>
          </w:tcPr>
          <w:p>
            <w:pPr>
              <w:spacing w:after="0"/>
              <w:rPr>
                <w:sz w:val="13"/>
                <w:szCs w:val="13"/>
                <w:color w:val="auto"/>
              </w:rPr>
            </w:pPr>
          </w:p>
        </w:tc>
        <w:tc>
          <w:tcPr>
            <w:tcW w:w="1480" w:type="dxa"/>
            <w:vAlign w:val="bottom"/>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4"/>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2024</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26,634,873</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143,899</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106,116</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26,884,888</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547,827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2,390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550,217</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245</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(462,174)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(462,174)</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(2,697)</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(4,273)</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(6,345)</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(5,949)</w:t>
            </w:r>
          </w:p>
        </w:tc>
        <w:tc>
          <w:tcPr>
            <w:tcW w:w="0" w:type="dxa"/>
            <w:vAlign w:val="bottom"/>
          </w:tcPr>
          <w:p>
            <w:pPr>
              <w:spacing w:after="0"/>
              <w:rPr>
                <w:sz w:val="1"/>
                <w:szCs w:val="1"/>
                <w:color w:val="auto"/>
              </w:rPr>
            </w:pPr>
          </w:p>
        </w:tc>
      </w:tr>
      <w:tr>
        <w:trPr>
          <w:trHeight w:val="23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20"/>
                <w:szCs w:val="20"/>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20"/>
                <w:szCs w:val="20"/>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2025</w:t>
            </w: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26,716,498</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131,640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105,809</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26,953,947</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871,916</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3,343</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875,259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(462,365)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(462,365)</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(2,704)</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4,395</w:t>
            </w: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(6,386)</w:t>
            </w: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10,091</w:t>
            </w:r>
          </w:p>
        </w:tc>
        <w:tc>
          <w:tcPr>
            <w:tcW w:w="0" w:type="dxa"/>
            <w:vAlign w:val="bottom"/>
          </w:tcPr>
          <w:p>
            <w:pPr>
              <w:spacing w:after="0"/>
              <w:rPr>
                <w:sz w:val="1"/>
                <w:szCs w:val="1"/>
                <w:color w:val="auto"/>
              </w:rPr>
            </w:pPr>
          </w:p>
        </w:tc>
      </w:tr>
      <w:tr>
        <w:trPr>
          <w:trHeight w:val="207"/>
        </w:trPr>
        <w:tc>
          <w:tcPr>
            <w:tcW w:w="3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2025</w:t>
            </w:r>
          </w:p>
        </w:tc>
        <w:tc>
          <w:tcPr>
            <w:tcW w:w="260" w:type="dxa"/>
            <w:vAlign w:val="bottom"/>
            <w:tcBorders>
              <w:top w:val="single" w:sz="8" w:color="auto"/>
              <w:bottom w:val="single" w:sz="8" w:color="auto"/>
            </w:tcBorders>
          </w:tcPr>
          <w:p>
            <w:pPr>
              <w:spacing w:after="0"/>
              <w:rPr>
                <w:sz w:val="17"/>
                <w:szCs w:val="17"/>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27,130,572</w:t>
            </w:r>
          </w:p>
        </w:tc>
        <w:tc>
          <w:tcPr>
            <w:tcW w:w="12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135,345</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106,448</w:t>
            </w:r>
          </w:p>
        </w:tc>
        <w:tc>
          <w:tcPr>
            <w:tcW w:w="120" w:type="dxa"/>
            <w:vAlign w:val="bottom"/>
            <w:tcBorders>
              <w:bottom w:val="single" w:sz="8" w:color="CCEEFF"/>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27,372,365</w:t>
            </w:r>
          </w:p>
        </w:tc>
        <w:tc>
          <w:tcPr>
            <w:tcW w:w="0" w:type="dxa"/>
            <w:vAlign w:val="bottom"/>
          </w:tcPr>
          <w:p>
            <w:pPr>
              <w:spacing w:after="0"/>
              <w:rPr>
                <w:sz w:val="1"/>
                <w:szCs w:val="1"/>
                <w:color w:val="auto"/>
              </w:rPr>
            </w:pPr>
          </w:p>
        </w:tc>
      </w:tr>
      <w:tr>
        <w:trPr>
          <w:trHeight w:val="212"/>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770,281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2,825</w:t>
            </w: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773,106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375,727</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(486,900)</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(486,900)</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4,406</w:t>
            </w: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(6,389)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(4,652)</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2025</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27,794,086</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124,304</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106,573</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28,024,963</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4560"/>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0"/>
          <w:szCs w:val="20"/>
          <w:b w:val="1"/>
          <w:bCs w:val="1"/>
          <w:color w:val="auto"/>
        </w:rPr>
        <w:t>CONSOLIDATED STATEMENTS OF PARTNERS’ CAPITAL</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 thousands, except unit and per unit data)</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Partners’ Capital</w:t>
            </w:r>
          </w:p>
        </w:tc>
        <w:tc>
          <w:tcPr>
            <w:tcW w:w="160" w:type="dxa"/>
            <w:vAlign w:val="bottom"/>
          </w:tcPr>
          <w:p>
            <w:pPr>
              <w:spacing w:after="0"/>
              <w:rPr>
                <w:sz w:val="13"/>
                <w:szCs w:val="13"/>
                <w:color w:val="auto"/>
              </w:rPr>
            </w:pPr>
          </w:p>
        </w:tc>
        <w:tc>
          <w:tcPr>
            <w:tcW w:w="188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140" w:type="dxa"/>
            <w:vAlign w:val="bottom"/>
          </w:tcPr>
          <w:p>
            <w:pPr>
              <w:spacing w:after="0"/>
              <w:rPr>
                <w:sz w:val="13"/>
                <w:szCs w:val="13"/>
                <w:color w:val="auto"/>
              </w:rPr>
            </w:pPr>
          </w:p>
        </w:tc>
        <w:tc>
          <w:tcPr>
            <w:tcW w:w="19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Non-Controlling Interests</w:t>
            </w:r>
          </w:p>
        </w:tc>
        <w:tc>
          <w:tcPr>
            <w:tcW w:w="460" w:type="dxa"/>
            <w:vAlign w:val="bottom"/>
          </w:tcPr>
          <w:p>
            <w:pPr>
              <w:spacing w:after="0"/>
              <w:rPr>
                <w:sz w:val="13"/>
                <w:szCs w:val="13"/>
                <w:color w:val="auto"/>
              </w:rPr>
            </w:pPr>
          </w:p>
        </w:tc>
        <w:tc>
          <w:tcPr>
            <w:tcW w:w="1480" w:type="dxa"/>
            <w:vAlign w:val="bottom"/>
            <w:vMerge w:val="restart"/>
          </w:tcPr>
          <w:p>
            <w:pPr>
              <w:jc w:val="right"/>
              <w:ind w:right="739"/>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31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8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8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Comprehensive Income</w:t>
            </w:r>
          </w:p>
        </w:tc>
        <w:tc>
          <w:tcPr>
            <w:tcW w:w="140" w:type="dxa"/>
            <w:vAlign w:val="bottom"/>
          </w:tcPr>
          <w:p>
            <w:pPr>
              <w:spacing w:after="0"/>
              <w:rPr>
                <w:sz w:val="16"/>
                <w:szCs w:val="16"/>
                <w:color w:val="auto"/>
              </w:rPr>
            </w:pPr>
          </w:p>
        </w:tc>
        <w:tc>
          <w:tcPr>
            <w:tcW w:w="1920" w:type="dxa"/>
            <w:vAlign w:val="bottom"/>
            <w:gridSpan w:val="2"/>
            <w:vMerge w:val="continue"/>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December 31, 2023</w:t>
            </w:r>
          </w:p>
        </w:tc>
        <w:tc>
          <w:tcPr>
            <w:tcW w:w="260" w:type="dxa"/>
            <w:vAlign w:val="bottom"/>
            <w:tcBorders>
              <w:top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25,288,647</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153,350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105,632</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25,547,629</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594,142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2,898</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597,040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(440,283)</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(440,283)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(1,204)</w:t>
            </w:r>
          </w:p>
        </w:tc>
        <w:tc>
          <w:tcPr>
            <w:tcW w:w="0" w:type="dxa"/>
            <w:vAlign w:val="bottom"/>
          </w:tcPr>
          <w:p>
            <w:pPr>
              <w:spacing w:after="0"/>
              <w:rPr>
                <w:sz w:val="1"/>
                <w:szCs w:val="1"/>
                <w:color w:val="auto"/>
              </w:rPr>
            </w:pPr>
          </w:p>
        </w:tc>
      </w:tr>
      <w:tr>
        <w:trPr>
          <w:trHeight w:val="162"/>
        </w:trPr>
        <w:tc>
          <w:tcPr>
            <w:tcW w:w="314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tcPr>
          <w:p>
            <w:pPr>
              <w:spacing w:after="0"/>
              <w:rPr>
                <w:sz w:val="14"/>
                <w:szCs w:val="14"/>
                <w:color w:val="auto"/>
              </w:rPr>
            </w:pPr>
          </w:p>
        </w:tc>
        <w:tc>
          <w:tcPr>
            <w:tcW w:w="1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17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4"/>
                <w:szCs w:val="14"/>
                <w:color w:val="auto"/>
              </w:rPr>
            </w:pPr>
          </w:p>
        </w:tc>
        <w:tc>
          <w:tcPr>
            <w:tcW w:w="14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(6,046)</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tcPr>
          <w:p>
            <w:pPr>
              <w:spacing w:after="0"/>
              <w:rPr>
                <w:sz w:val="18"/>
                <w:szCs w:val="18"/>
                <w:color w:val="auto"/>
              </w:rPr>
            </w:pPr>
          </w:p>
        </w:tc>
        <w:tc>
          <w:tcPr>
            <w:tcW w:w="18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460" w:type="dxa"/>
            <w:vAlign w:val="bottom"/>
          </w:tcPr>
          <w:p>
            <w:pPr>
              <w:spacing w:after="0"/>
              <w:rPr>
                <w:sz w:val="18"/>
                <w:szCs w:val="18"/>
                <w:color w:val="auto"/>
              </w:rPr>
            </w:pPr>
          </w:p>
        </w:tc>
        <w:tc>
          <w:tcPr>
            <w:tcW w:w="14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Unrealized gain on cash flow hedges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12,482</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(3,644)</w:t>
            </w:r>
          </w:p>
        </w:tc>
        <w:tc>
          <w:tcPr>
            <w:tcW w:w="0" w:type="dxa"/>
            <w:vAlign w:val="bottom"/>
          </w:tcPr>
          <w:p>
            <w:pPr>
              <w:spacing w:after="0"/>
              <w:rPr>
                <w:sz w:val="1"/>
                <w:szCs w:val="1"/>
                <w:color w:val="auto"/>
              </w:rPr>
            </w:pPr>
          </w:p>
        </w:tc>
      </w:tr>
      <w:tr>
        <w:trPr>
          <w:trHeight w:val="212"/>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March 31, 2024</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25,441,302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156,142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105,900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25,703,344</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746,179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2,803</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748,982</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(438,049)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(438,049)</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(2,693)</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4,243</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(6,384)</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(2,173)</w:t>
            </w:r>
          </w:p>
        </w:tc>
        <w:tc>
          <w:tcPr>
            <w:tcW w:w="0" w:type="dxa"/>
            <w:vAlign w:val="bottom"/>
          </w:tcPr>
          <w:p>
            <w:pPr>
              <w:spacing w:after="0"/>
              <w:rPr>
                <w:sz w:val="1"/>
                <w:szCs w:val="1"/>
                <w:color w:val="auto"/>
              </w:rPr>
            </w:pPr>
          </w:p>
        </w:tc>
      </w:tr>
      <w:tr>
        <w:trPr>
          <w:trHeight w:val="212"/>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June 30, 2024</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25,753,822</w:t>
            </w: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147,585</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106,010</w:t>
            </w:r>
          </w:p>
        </w:tc>
        <w:tc>
          <w:tcPr>
            <w:tcW w:w="1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26,007,417</w:t>
            </w:r>
          </w:p>
        </w:tc>
        <w:tc>
          <w:tcPr>
            <w:tcW w:w="0" w:type="dxa"/>
            <w:vAlign w:val="bottom"/>
          </w:tcPr>
          <w:p>
            <w:pPr>
              <w:spacing w:after="0"/>
              <w:rPr>
                <w:sz w:val="1"/>
                <w:szCs w:val="1"/>
                <w:color w:val="auto"/>
              </w:rPr>
            </w:pPr>
          </w:p>
        </w:tc>
      </w:tr>
      <w:tr>
        <w:trPr>
          <w:trHeight w:val="207"/>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60" w:type="dxa"/>
            <w:vAlign w:val="bottom"/>
          </w:tcPr>
          <w:p>
            <w:pPr>
              <w:spacing w:after="0"/>
              <w:rPr>
                <w:sz w:val="17"/>
                <w:szCs w:val="17"/>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741,519</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3,021</w:t>
            </w:r>
          </w:p>
        </w:tc>
        <w:tc>
          <w:tcPr>
            <w:tcW w:w="1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744,540</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Contributions from parent</w:t>
            </w:r>
          </w:p>
        </w:tc>
        <w:tc>
          <w:tcPr>
            <w:tcW w:w="26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166,405</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166,405</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Distributions to parent</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(458,256)</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(458,256)</w:t>
            </w:r>
          </w:p>
        </w:tc>
        <w:tc>
          <w:tcPr>
            <w:tcW w:w="0" w:type="dxa"/>
            <w:vAlign w:val="bottom"/>
          </w:tcPr>
          <w:p>
            <w:pPr>
              <w:spacing w:after="0"/>
              <w:rPr>
                <w:sz w:val="1"/>
                <w:szCs w:val="1"/>
                <w:color w:val="auto"/>
              </w:rPr>
            </w:pPr>
          </w:p>
        </w:tc>
      </w:tr>
      <w:tr>
        <w:trPr>
          <w:trHeight w:val="219"/>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Distributions to non-controlling interests</w:t>
            </w:r>
          </w:p>
        </w:tc>
        <w:tc>
          <w:tcPr>
            <w:tcW w:w="260" w:type="dxa"/>
            <w:vAlign w:val="bottom"/>
            <w:shd w:val="clear" w:color="auto" w:fill="CCEEFF"/>
          </w:tcPr>
          <w:p>
            <w:pPr>
              <w:spacing w:after="0"/>
              <w:rPr>
                <w:sz w:val="19"/>
                <w:szCs w:val="19"/>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9"/>
                <w:szCs w:val="19"/>
                <w:color w:val="auto"/>
              </w:rPr>
            </w:pPr>
          </w:p>
        </w:tc>
        <w:tc>
          <w:tcPr>
            <w:tcW w:w="18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(2,695)</w:t>
            </w: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 net of forfeitures</w:t>
            </w:r>
          </w:p>
        </w:tc>
        <w:tc>
          <w:tcPr>
            <w:tcW w:w="26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4,592</w:t>
            </w:r>
          </w:p>
        </w:tc>
        <w:tc>
          <w:tcPr>
            <w:tcW w:w="0" w:type="dxa"/>
            <w:vAlign w:val="bottom"/>
          </w:tcPr>
          <w:p>
            <w:pPr>
              <w:spacing w:after="0"/>
              <w:rPr>
                <w:sz w:val="1"/>
                <w:szCs w:val="1"/>
                <w:color w:val="auto"/>
              </w:rPr>
            </w:pPr>
          </w:p>
        </w:tc>
      </w:tr>
      <w:tr>
        <w:trPr>
          <w:trHeight w:val="165"/>
        </w:trPr>
        <w:tc>
          <w:tcPr>
            <w:tcW w:w="3140" w:type="dxa"/>
            <w:vAlign w:val="bottom"/>
            <w:shd w:val="clear" w:color="auto" w:fill="CCEEFF"/>
          </w:tcPr>
          <w:p>
            <w:pPr>
              <w:ind w:left="20"/>
              <w:spacing w:after="0" w:line="165" w:lineRule="exact"/>
              <w:rPr>
                <w:sz w:val="20"/>
                <w:szCs w:val="20"/>
                <w:color w:val="auto"/>
              </w:rPr>
            </w:pPr>
            <w:r>
              <w:rPr>
                <w:rFonts w:ascii="Times New Roman" w:cs="Times New Roman" w:eastAsia="Times New Roman" w:hAnsi="Times New Roman"/>
                <w:sz w:val="16"/>
                <w:szCs w:val="16"/>
                <w:color w:val="auto"/>
              </w:rPr>
              <w:t>Reclassification of derivative gain to Interest</w:t>
            </w:r>
          </w:p>
        </w:tc>
        <w:tc>
          <w:tcPr>
            <w:tcW w:w="260" w:type="dxa"/>
            <w:vAlign w:val="bottom"/>
            <w:shd w:val="clear" w:color="auto" w:fill="CCEEFF"/>
          </w:tcPr>
          <w:p>
            <w:pPr>
              <w:spacing w:after="0"/>
              <w:rPr>
                <w:sz w:val="14"/>
                <w:szCs w:val="14"/>
                <w:color w:val="auto"/>
              </w:rPr>
            </w:pPr>
          </w:p>
        </w:tc>
        <w:tc>
          <w:tcPr>
            <w:tcW w:w="1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9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4"/>
                <w:szCs w:val="14"/>
                <w:color w:val="auto"/>
              </w:rPr>
            </w:pPr>
          </w:p>
        </w:tc>
        <w:tc>
          <w:tcPr>
            <w:tcW w:w="1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(6,100)</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expense</w:t>
            </w:r>
          </w:p>
        </w:tc>
        <w:tc>
          <w:tcPr>
            <w:tcW w:w="260" w:type="dxa"/>
            <w:vAlign w:val="bottom"/>
            <w:shd w:val="clear" w:color="auto" w:fill="CCEEFF"/>
          </w:tcPr>
          <w:p>
            <w:pPr>
              <w:spacing w:after="0"/>
              <w:rPr>
                <w:sz w:val="18"/>
                <w:szCs w:val="18"/>
                <w:color w:val="auto"/>
              </w:rPr>
            </w:pPr>
          </w:p>
        </w:tc>
        <w:tc>
          <w:tcPr>
            <w:tcW w:w="18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vMerge w:val="continue"/>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Unrealized loss on cash flow hedges</w:t>
            </w:r>
          </w:p>
        </w:tc>
        <w:tc>
          <w:tcPr>
            <w:tcW w:w="260" w:type="dxa"/>
            <w:vAlign w:val="bottom"/>
          </w:tcPr>
          <w:p>
            <w:pPr>
              <w:spacing w:after="0"/>
              <w:rPr>
                <w:sz w:val="18"/>
                <w:szCs w:val="18"/>
                <w:color w:val="auto"/>
              </w:rPr>
            </w:pPr>
          </w:p>
        </w:tc>
        <w:tc>
          <w:tcPr>
            <w:tcW w:w="1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(2,714)</w:t>
            </w: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translation adjustments</w:t>
            </w:r>
          </w:p>
        </w:tc>
        <w:tc>
          <w:tcPr>
            <w:tcW w:w="260" w:type="dxa"/>
            <w:vAlign w:val="bottom"/>
            <w:shd w:val="clear" w:color="auto" w:fill="CCEEFF"/>
          </w:tcPr>
          <w:p>
            <w:pPr>
              <w:spacing w:after="0"/>
              <w:rPr>
                <w:sz w:val="18"/>
                <w:szCs w:val="18"/>
                <w:color w:val="auto"/>
              </w:rPr>
            </w:pPr>
          </w:p>
        </w:tc>
        <w:tc>
          <w:tcPr>
            <w:tcW w:w="18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9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2,258</w:t>
            </w:r>
          </w:p>
        </w:tc>
        <w:tc>
          <w:tcPr>
            <w:tcW w:w="0" w:type="dxa"/>
            <w:vAlign w:val="bottom"/>
          </w:tcPr>
          <w:p>
            <w:pPr>
              <w:spacing w:after="0"/>
              <w:rPr>
                <w:sz w:val="1"/>
                <w:szCs w:val="1"/>
                <w:color w:val="auto"/>
              </w:rPr>
            </w:pPr>
          </w:p>
        </w:tc>
      </w:tr>
      <w:tr>
        <w:trPr>
          <w:trHeight w:val="212"/>
        </w:trPr>
        <w:tc>
          <w:tcPr>
            <w:tcW w:w="3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Balance as of September 30, 2024</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26,208,082</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141,029</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106,336</w:t>
            </w:r>
          </w:p>
        </w:tc>
        <w:tc>
          <w:tcPr>
            <w:tcW w:w="120" w:type="dxa"/>
            <w:vAlign w:val="bottom"/>
          </w:tcPr>
          <w:p>
            <w:pPr>
              <w:spacing w:after="0"/>
              <w:rPr>
                <w:sz w:val="18"/>
                <w:szCs w:val="18"/>
                <w:color w:val="auto"/>
              </w:rPr>
            </w:pPr>
          </w:p>
        </w:tc>
        <w:tc>
          <w:tcPr>
            <w:tcW w:w="46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26,455,447</w:t>
            </w: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714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3620" w:type="dxa"/>
            <w:vAlign w:val="bottom"/>
            <w:tcBorders>
              <w:bottom w:val="single" w:sz="8" w:color="auto"/>
            </w:tcBorders>
            <w:gridSpan w:val="4"/>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7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31"/>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750"/>
              <w:spacing w:after="0"/>
              <w:rPr>
                <w:sz w:val="20"/>
                <w:szCs w:val="20"/>
                <w:color w:val="auto"/>
              </w:rPr>
            </w:pPr>
            <w:r>
              <w:rPr>
                <w:rFonts w:ascii="Times New Roman" w:cs="Times New Roman" w:eastAsia="Times New Roman" w:hAnsi="Times New Roman"/>
                <w:sz w:val="16"/>
                <w:szCs w:val="16"/>
                <w:b w:val="1"/>
                <w:bCs w:val="1"/>
                <w:color w:val="auto"/>
              </w:rPr>
              <w:t>2024</w:t>
            </w:r>
          </w:p>
        </w:tc>
      </w:tr>
      <w:tr>
        <w:trPr>
          <w:trHeight w:val="211"/>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Net income</w:t>
            </w: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2,198,582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2,090,562</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reconcile net income to cash flows provided by operating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(393,076)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(402,839)</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Stock-based compensation</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29"/>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Depreciation</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570</w:t>
            </w:r>
          </w:p>
        </w:tc>
      </w:tr>
      <w:tr>
        <w:trPr>
          <w:trHeight w:val="23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Other gains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29"/>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34,175</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r>
      <w:tr>
        <w:trPr>
          <w:trHeight w:val="230"/>
        </w:trPr>
        <w:tc>
          <w:tcPr>
            <w:tcW w:w="7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Net proceeds from settlement of derivatives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w:t>
            </w:r>
          </w:p>
        </w:tc>
      </w:tr>
      <w:tr>
        <w:trPr>
          <w:trHeight w:val="229"/>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Deferred income taxes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4,165</w:t>
            </w:r>
          </w:p>
        </w:tc>
      </w:tr>
      <w:tr>
        <w:trPr>
          <w:trHeight w:val="230"/>
        </w:trPr>
        <w:tc>
          <w:tcPr>
            <w:tcW w:w="71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Payment-in-kind interest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71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(7,822)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(5,514)</w:t>
            </w:r>
          </w:p>
        </w:tc>
      </w:tr>
      <w:tr>
        <w:trPr>
          <w:trHeight w:val="230"/>
        </w:trPr>
        <w:tc>
          <w:tcPr>
            <w:tcW w:w="71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Accrued expenses and deferred revenue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(40,464)</w:t>
            </w:r>
          </w:p>
        </w:tc>
      </w:tr>
      <w:tr>
        <w:trPr>
          <w:trHeight w:val="229"/>
        </w:trPr>
        <w:tc>
          <w:tcPr>
            <w:tcW w:w="71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r>
      <w:tr>
        <w:trPr>
          <w:trHeight w:val="223"/>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1,808,462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1,728,005</w:t>
            </w:r>
          </w:p>
        </w:tc>
      </w:tr>
      <w:tr>
        <w:trPr>
          <w:trHeight w:val="250"/>
        </w:trPr>
        <w:tc>
          <w:tcPr>
            <w:tcW w:w="7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(261,800)</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(786,360)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(473,727)</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Principal repayments of loans and securities and receipts of deferred fees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20,296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80,750</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Capitalized transaction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(2,091)</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Investments in short-term investments</w:t>
            </w:r>
          </w:p>
        </w:tc>
        <w:tc>
          <w:tcPr>
            <w:tcW w:w="4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(29,579)</w:t>
            </w: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480" w:type="dxa"/>
            <w:vAlign w:val="bottom"/>
          </w:tcPr>
          <w:p>
            <w:pPr>
              <w:spacing w:after="0"/>
              <w:rPr>
                <w:sz w:val="19"/>
                <w:szCs w:val="19"/>
                <w:color w:val="auto"/>
              </w:rPr>
            </w:pPr>
          </w:p>
        </w:tc>
        <w:tc>
          <w:tcPr>
            <w:tcW w:w="16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29,579</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Proceeds from sale of real estate</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952</w:t>
            </w:r>
          </w:p>
        </w:tc>
      </w:tr>
      <w:tr>
        <w:trPr>
          <w:trHeight w:val="230"/>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Acquisition of property and equipment</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(4,507)</w:t>
            </w:r>
          </w:p>
        </w:tc>
      </w:tr>
      <w:tr>
        <w:trPr>
          <w:trHeight w:val="223"/>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(764,522)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(660,671)</w:t>
            </w:r>
          </w:p>
        </w:tc>
      </w:tr>
      <w:tr>
        <w:trPr>
          <w:trHeight w:val="250"/>
        </w:trPr>
        <w:tc>
          <w:tcPr>
            <w:tcW w:w="71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520" w:type="dxa"/>
            <w:vAlign w:val="bottom"/>
          </w:tcPr>
          <w:p>
            <w:pPr>
              <w:spacing w:after="0"/>
              <w:rPr>
                <w:sz w:val="21"/>
                <w:szCs w:val="21"/>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Contributions from Parent</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438,943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166,405</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to Parent</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(1,386,158)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(1,315,405)</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Revolving Credit Facility</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426,024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82,200</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Repayment of Revolving Credit Facility</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(432,689)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(85,881)</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Proceeds from senior unsecured notes offerings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1,284,437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1,028,533</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Redemption of senior unsecured notes</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(1,300,000)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(1,050,000)</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w:t>
            </w: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(19,401)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Repurchase of stock for tax withholding</w:t>
            </w: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(7,232)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(5,341)</w:t>
            </w:r>
          </w:p>
        </w:tc>
      </w:tr>
      <w:tr>
        <w:trPr>
          <w:trHeight w:val="229"/>
        </w:trPr>
        <w:tc>
          <w:tcPr>
            <w:tcW w:w="71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Distributions to non-controlling interests</w:t>
            </w: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(8,100)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(8,015)</w:t>
            </w:r>
          </w:p>
        </w:tc>
      </w:tr>
      <w:tr>
        <w:trPr>
          <w:trHeight w:val="223"/>
        </w:trPr>
        <w:tc>
          <w:tcPr>
            <w:tcW w:w="71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(1,004,176)</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(1,190,792)</w:t>
            </w:r>
          </w:p>
        </w:tc>
      </w:tr>
      <w:tr>
        <w:trPr>
          <w:trHeight w:val="871"/>
        </w:trPr>
        <w:tc>
          <w:tcPr>
            <w:tcW w:w="7140" w:type="dxa"/>
            <w:vAlign w:val="bottom"/>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115"/>
        </w:trPr>
        <w:tc>
          <w:tcPr>
            <w:tcW w:w="7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CONSOLIDATED STATEMENTS OF CASH FLOWS</w:t>
      </w:r>
    </w:p>
    <w:p>
      <w:pPr>
        <w:spacing w:after="0" w:line="6"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20"/>
          <w:szCs w:val="20"/>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r>
      <w:tr>
        <w:trPr>
          <w:trHeight w:val="257"/>
        </w:trPr>
        <w:tc>
          <w:tcPr>
            <w:tcW w:w="7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320" w:type="dxa"/>
            <w:vAlign w:val="bottom"/>
          </w:tcPr>
          <w:p>
            <w:pPr>
              <w:spacing w:after="0"/>
              <w:rPr>
                <w:sz w:val="22"/>
                <w:szCs w:val="22"/>
                <w:color w:val="auto"/>
              </w:rPr>
            </w:pPr>
          </w:p>
        </w:tc>
      </w:tr>
      <w:tr>
        <w:trPr>
          <w:trHeight w:val="229"/>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40,273</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(122,933)</w:t>
            </w:r>
          </w:p>
        </w:tc>
      </w:tr>
      <w:tr>
        <w:trPr>
          <w:trHeight w:val="229"/>
        </w:trPr>
        <w:tc>
          <w:tcPr>
            <w:tcW w:w="71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7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456,899</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471,584</w:t>
            </w: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740" w:type="dxa"/>
            <w:vAlign w:val="bottom"/>
            <w:tcBorders>
              <w:bottom w:val="single" w:sz="8" w:color="auto"/>
            </w:tcBorders>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497,172</w:t>
            </w:r>
          </w:p>
        </w:tc>
        <w:tc>
          <w:tcPr>
            <w:tcW w:w="1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348,651</w:t>
            </w: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cash flow information:</w:t>
            </w:r>
          </w:p>
        </w:tc>
        <w:tc>
          <w:tcPr>
            <w:tcW w:w="7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29"/>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Cash paid for interest</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620,778</w:t>
            </w:r>
          </w:p>
        </w:tc>
        <w:tc>
          <w:tcPr>
            <w:tcW w:w="100" w:type="dxa"/>
            <w:vAlign w:val="bottom"/>
          </w:tcPr>
          <w:p>
            <w:pPr>
              <w:spacing w:after="0"/>
              <w:rPr>
                <w:sz w:val="19"/>
                <w:szCs w:val="19"/>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595,391</w:t>
            </w:r>
          </w:p>
        </w:tc>
      </w:tr>
      <w:tr>
        <w:trPr>
          <w:trHeight w:val="230"/>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Cash paid for income taxes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w:t>
            </w:r>
          </w:p>
        </w:tc>
      </w:tr>
      <w:tr>
        <w:trPr>
          <w:trHeight w:val="229"/>
        </w:trPr>
        <w:tc>
          <w:tcPr>
            <w:tcW w:w="7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non-cash investing and financing activity:</w:t>
            </w:r>
          </w:p>
        </w:tc>
        <w:tc>
          <w:tcPr>
            <w:tcW w:w="7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Distributions payable</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486,468</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458,192</w:t>
            </w:r>
          </w:p>
        </w:tc>
      </w:tr>
      <w:tr>
        <w:trPr>
          <w:trHeight w:val="230"/>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Debt issuance costs payable</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r>
      <w:tr>
        <w:trPr>
          <w:trHeight w:val="229"/>
        </w:trPr>
        <w:tc>
          <w:tcPr>
            <w:tcW w:w="71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capitalized transaction costs</w:t>
            </w:r>
          </w:p>
        </w:tc>
        <w:tc>
          <w:tcPr>
            <w:tcW w:w="740" w:type="dxa"/>
            <w:vAlign w:val="bottom"/>
            <w:shd w:val="clear" w:color="auto" w:fill="CCEEFF"/>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6,448</w:t>
            </w:r>
          </w:p>
        </w:tc>
      </w:tr>
      <w:tr>
        <w:trPr>
          <w:trHeight w:val="234"/>
        </w:trPr>
        <w:tc>
          <w:tcPr>
            <w:tcW w:w="71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Non-cash change in Investments in leases - financing receivables</w:t>
            </w:r>
          </w:p>
        </w:tc>
        <w:tc>
          <w:tcPr>
            <w:tcW w:w="740" w:type="dxa"/>
            <w:vAlign w:val="bottom"/>
          </w:tcPr>
          <w:p>
            <w:pPr>
              <w:jc w:val="right"/>
              <w:ind w:right="53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211,903</w:t>
            </w:r>
          </w:p>
        </w:tc>
        <w:tc>
          <w:tcPr>
            <w:tcW w:w="100" w:type="dxa"/>
            <w:vAlign w:val="bottom"/>
          </w:tcPr>
          <w:p>
            <w:pPr>
              <w:spacing w:after="0"/>
              <w:rPr>
                <w:sz w:val="20"/>
                <w:szCs w:val="20"/>
                <w:color w:val="auto"/>
              </w:rPr>
            </w:pPr>
          </w:p>
        </w:tc>
        <w:tc>
          <w:tcPr>
            <w:tcW w:w="680" w:type="dxa"/>
            <w:vAlign w:val="bottom"/>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212,400</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In these notes, the words the “Company,” “VICI,” “we,” “our,” and “us” refer to VICI Properties Inc. and its subsidiaries, including VICI LP, on a consolidated basis, unless otherwise stated or the context requires otherwise.</w:t>
      </w:r>
    </w:p>
    <w:p>
      <w:pPr>
        <w:spacing w:after="0" w:line="50"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We refer to (i) our Condensed Consolidated Financial Statements as our “Financial Statements,” (ii) our Consolidated Balance Sheets as our “Balance Sheet,” (iii) our Consolidated Statements of Operations and Comprehensive Income as our “Statement of Operations,” and (iv) our Consolidated Statement of Cash Flows as our “Statement of Cash Flows.” References to numbered “Notes” refer to the Notes to our Consolidated Financial Statements.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 — Business and Organization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Business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primarily engaged in the business of owning and acquiring gaming, hospitality, wellness, entertainment and leisure destinations, subject to long-term triple-net leases. As of September 30, 2025, we own 93 experiential assets across a geographically diverse portfolio consisting of 54 gaming properties and 39 other experiential properties across the United States and Canada, including Caesars Palace Las Vegas, MGM Grand and the Venetian Resort Las Vegas (the “Venetian Resort”). Our gaming and entertainment facilities are leased to leading brands that seek to drive consumer loyalty and value with guests through superior services, experiences, products and continuous innovation. VICI also owns four championship golf courses, which are managed by Cabot-Managed Properties and are located near certain of our properties.</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Properties Inc., the parent company, is a Maryland corporation and internally managed REIT for U.S. federal income tax purposes. Our real property business, which represents the substantial majority of our assets, is conducted through VICI OP and indirectly through VICI LP, and our golf course business, VICI Golf, is conducted through a direct wholly owned TRS of VICI. As a REIT, we generally will not be subject to U.S. federal income taxes on our taxable income to the extent that we annually distribute all of our net taxable income to stockholders and maintain our qualification as a REIT.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2 — Summary of Significant Accounting Policies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accompanying Financial Statements have been prepared in accordance with U.S. generally accepted accounting principles (“GAAP”) for interim financial information set forth in the Accounting Standards Codification (“ASC”), as published by the Financial Accounting Standards Board (“FASB”), and with the applicable rules and regulations of the Securities and Exchange Commission (“SEC”). The Financial Statements, including the notes thereto, are unaudited and condense or exclude some of the disclosures and information normally required in audited financial statements.</w:t>
      </w:r>
    </w:p>
    <w:p>
      <w:pPr>
        <w:spacing w:after="0" w:line="126"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We believe the disclosures made are adequate to prevent the information presented from being misleading. However, the accompanying unaudited Financial Statements and related notes should be read in conjunction with our audited financial statements and notes thereto included in our most recent </w:t>
      </w:r>
      <w:hyperlink r:id="rId28">
        <w:r>
          <w:rPr>
            <w:rFonts w:ascii="Times New Roman" w:cs="Times New Roman" w:eastAsia="Times New Roman" w:hAnsi="Times New Roman"/>
            <w:sz w:val="18"/>
            <w:szCs w:val="18"/>
            <w:u w:val="single" w:color="auto"/>
            <w:color w:val="0000FF"/>
          </w:rPr>
          <w:t>Annual Report on Form 10-K</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updated from time to time in our other filings with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adjustments considered necessary for a fair statement of results for the interim period have been included and are of a normal and recurring 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Certain prior period amounts have been reclassified to conform to the current period presentation.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us to make estimates and assumptions. These estimates and assumptions affect the reported amounts of assets and liabilities and the disclosure of contingent assets and liabilities at the date of the financial statements and the reported amounts of revenues and expenses during the reporting periods. Actual results could differ materially from these estimates.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Operating results for the three and nine months ended September 30, 2025 are not necessarily indicative of the results that may be expected for the year ending December 31, 2025.</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accompanying Financial Statements include our accounts and the accounts of VICI LP, and the subsidiaries in which we or VICI LP has a controlling interest. All intercompany account balances and transactions have been eliminated in consolidation. We consolidate all subsidiaries in which we have a controlling financial interest and variable interest entities for which we or one of our consolidated subsidiaries is the primary beneficiary.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present non-controlling interests and classify such interests as a component of consolidated stockholders’ equity or partners’ capital, separate from VICI stockholders’ equity and VICI LP partners’ capital. As of September 30, 2025, VICI’s non-controlling interests were comprised of (i) an approximately 1.1% third-party ownership of VICI OP in the form of VICI OP Units, (ii) a 20% third-party ownership of Harrah’s Joliet LandCo LLC, the entity that owns the Harrah’s Joliet facility and is the lessor under the related lease agreement with Caesars Entertainment, Inc. (together with, as the context requires, its subsidiaries, “Caesars”) for such facility (the “Joliet Lease”) and (iii) a third-party minority equity interest, in the form of Class A Units, of VICI Bowl HoldCo LLC (“Lucky Strike OP Units”), the entity that (a) owns the portfolio of bowling entertainment centers leased to Lucky Strike Entertainment Corporation (“Lucky Strike Entertainment”) and (b) is the lessor under the related Lucky Strike Entertainment master lease agreement, which interest entitles the non-controlling interest holder to a preferred return that currently approximates 4.2% of the entity’s cash flows.</w:t>
      </w:r>
    </w:p>
    <w:p>
      <w:pPr>
        <w:spacing w:after="0" w:line="138" w:lineRule="exact"/>
        <w:rPr>
          <w:sz w:val="20"/>
          <w:szCs w:val="20"/>
          <w:color w:val="auto"/>
        </w:rPr>
      </w:pPr>
    </w:p>
    <w:p>
      <w:pPr>
        <w:ind w:right="120"/>
        <w:spacing w:after="0" w:line="438" w:lineRule="auto"/>
        <w:rPr>
          <w:sz w:val="20"/>
          <w:szCs w:val="20"/>
          <w:color w:val="auto"/>
        </w:rPr>
      </w:pPr>
      <w:r>
        <w:rPr>
          <w:rFonts w:ascii="Times New Roman" w:cs="Times New Roman" w:eastAsia="Times New Roman" w:hAnsi="Times New Roman"/>
          <w:sz w:val="18"/>
          <w:szCs w:val="18"/>
          <w:color w:val="auto"/>
        </w:rPr>
        <w:t xml:space="preserve">VICI LP’s non-controlling interests are the third-party ownership interests in Harrah’s Joliet LandCo LLC and VICI Bowl HoldCo LLC referenced above. </w:t>
      </w:r>
      <w:r>
        <w:rPr>
          <w:rFonts w:ascii="Times New Roman" w:cs="Times New Roman" w:eastAsia="Times New Roman" w:hAnsi="Times New Roman"/>
          <w:sz w:val="18"/>
          <w:szCs w:val="18"/>
          <w:b w:val="1"/>
          <w:bCs w:val="1"/>
          <w:i w:val="1"/>
          <w:iCs w:val="1"/>
          <w:color w:val="auto"/>
        </w:rPr>
        <w:t>Reportable Segments</w:t>
      </w:r>
    </w:p>
    <w:p>
      <w:pPr>
        <w:spacing w:after="0" w:line="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consist of real estate investment activities, which represent substantially all of our business. The operating results are regularly reviewed, on a consolidated basis, by the Chief Operating Decision Maker (“CODM”) and are considered to be one operating segment. Accordingly, all operations have been considered to represent one reportable segment.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14 - Segment Information</w:t>
      </w:r>
      <w:r>
        <w:rPr>
          <w:rFonts w:ascii="Times New Roman" w:cs="Times New Roman" w:eastAsia="Times New Roman" w:hAnsi="Times New Roman"/>
          <w:sz w:val="18"/>
          <w:szCs w:val="18"/>
          <w:color w:val="auto"/>
        </w:rPr>
        <w:t xml:space="preserve"> for further information.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Cash Equivalents and Restricted Cash</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Cash consists of cash-on-hand and cash-in-bank. Highly liquid investments with an original maturity of three months or less from the date of purchase are considered cash equivalents and are carried at cost, which approximates fair value. As of September 30, 2025 and December 31, 2024, we did not have any restricted cash.</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Investments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with an original maturity of greater than three months and less than one year from the date of purchase are considered short-term investments and are stated at fair value.</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may invest our excess cash in short-term investment grade commercial paper as well as discount notes issued by government-sponsored enterprises including the Federal Home Loan Mortgage Corporation and certain of the Federal Home Loan Banks. These investments generally have original maturities between 91 and 180 days and are accounted for as available for sale securities. Interest on our short-term investments is recognized as interest income in our Statement of Operations. We did not have any short-term investments as of September 30, 2025 and December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Purchase Accounting</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assess all of our property acquisitions under ASC 805 “Business Combinations” (“ASC 805”) to determine if such acquisitions should be accounted for as a business combination or an asset acquisition. Under ASC 805, an acquisition does not qualify as a business combination when (i) substantially all of the fair value is concentrated in a single identifiable asset or group of similar identifiable assets, (ii) the acquisition does not include a substantive process in the form of an acquired workforce, or (iii) the acquisition does not include an acquired contract that cannot be replaced without significant cost, effort or delay. Generally, and to date, all of our acquisitions have been determined to be asset acquisitions and, in accordance with ASC 805-50, all applicable transaction costs are capitalized as part of the purchase price of the acquisition.</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allocate the purchase price, including the costs incurred to acquire the assets, to the identifiable assets acquired and liabilities assumed, as applicable, using their relative fair value. Generally, the assets acquired are comprised of land, building and site improvements, and in certain instances existing leases and/or debt. Further, since all the components of our leases are classified as sales-type leases or financing receivables, as further described below, the assets acquired are transferred into the net investment in lease or financing receivable, as applicable.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Sales-type, Net</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account for our investments in leases under ASC 842 “Leases” (“ASC 842”). Upon lease inception or lease modification, we assess lease classification to determine whether the lease should be classified as a direct financing, sales-type or operating lease. As required by ASC 842, we separately assess each lease component of the property, generally comprised of land and building, to determine the classification. If the lease component is determined to be a direct financing or sales-type lease, we record a net investment in the lease, which is equal to the sum of the lease receivable and the unguaranteed residual asset, discounted at the rate implicit in the lease, net of allowance for credit losses. Any difference between the fair value of the asset and the net investment in the lease is considered selling profit or loss and is either recognized upon execution of the lease or deferred and recognized over the life of the lease, depending on the classification of the lease. Since we purchase properties and simultaneously enter into new leases directly with the tenants, the net investment in the lease is generally equal to the purchase price of the asset, and, due to the long-term nature of our leases, the land and building components of an investment generally have the same lease classification.</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Leases - Financing Receivables, Net</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accordance with ASC 842, for transactions in which we enter into a contract to acquire an asset and lease it back to the seller under a lease classified as a sales-type lease (i.e., a sale leaseback transaction), control of the asset is not considered to have transferred to us. As a result, we do not recognize the net investment in the lease but instead recognize a financial asset in accordance with ASC 310 “Receivables” (“ASC 310”); however, the accounting for the financing receivable under ASC 310 is materially consistent with the accounting for our investments in leases - sales-type under ASC 842.</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Term</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Under ASC 842, at the inception of a lease or upon a lease modification, we assess the noncancelable lease term, which includes any reasonably certain renewal periods. All of our lease agreements provide for an initial term, with one or more tenant renewal options.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our gaming assets and certain other irreplaceable real estate, upon lease inception or modification, we have generally concluded that the lease term includes all of the periods covered by extension options as it was reasonably certain at such time that our tenants would renew the lease agreements. At such time, we believed our tenants were economically compelled to renew the lease agreements due to the importance of our real estate to the operation of their business, the significant capital they have invested and are required to invest in our properties under the terms of the lease agreements and the lack of suitable replacement assets.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Leases and Lease Financing Receivables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recognize the related income from our sales-type leases and lease financing receivables on an effective interest basis at a constant rate of return over the terms of the applicable leases. As a result, the cash payments accounted for under sales-type leases and lease financing receivables will not equal income from our lease agreements. Rather, a portion of the cash rent we receive is recorded as Income from sales-type leases or Income from lease financing receivables, loans and securities, as applicable, in our Statement of Operations and a portion is recorded as a change to Investments in leases - sales-type, net or Investments in leases - financing receivables, net, as applicable.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Initial direct costs incurred in connection with entering into investments classified as sales-type leases are included in the balance of the net investment in lease. Such amounts will be recognized as a reduction to Income from investments in leases over the life of the lease using the effective interest method. Costs that would have been incurred regardless of whether the lease was signed, such as legal fees and certain other third-party fees, are expensed as incurred to Transaction and acquisition expenses in our Statement of Operations.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Loan origination fees and costs incurred in connection with entering into investments classified as lease financing receivables are included in the balance of the net investment and such amounts will be recognized as a reduction to Income from investments in loans and lease financing receivables over the life of the lease using the effective interest method.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Investments in Loans and Securities, net</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Investments in loans are held-for-investment and are carried at historical cost, inclusive of unamortized loan origination costs and fees and net of allowances for credit losses. Income is recognized on an effective interest basis at a constant rate of return over the life of the related loan.</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classify our investments in securities on the date of acquisition of the investment as either trading, available-for-sale or held-to-maturity. We classify our debt securities as held-to-maturity, as we have the intent and ability to hold this security until maturity, the accounting of which is materially consistent with that of our Investments in loans.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Allowance for Credit Losses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326 “Financial Instruments-Credit Losses” (“ASC 326”) requires that we measure and record current expected credit losses (“CECL”) for the majority of our investments, the scope of which includes our Investments in leases - sales-type, Investments in leases - financing receivables and Investments in loans and securities.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Leases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relation to our lease portfolio, we have elected to use a discounted cash flow model to estimate the allowance for credit losses, or CECL allowance, for our Investments in leases - sales-type and Investments in leases - financing receivables, which comprise the substantial majority of our CECL allowance. This model requires us to develop cash flows that project estimated credit losses over the life of the lease and discount these cash flows at the investment’s effective interest rate. We then record a CECL allowance equal to the difference between the amortized cost basis of the investment and the present value of the expected credit loss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Expected losses within our cash flows are determined by estimating the probability of default (“PD”) and loss given default (“LGD”) of our tenants and their parent guarantors, as applicable, over the life of each individual lease or financial investment. We have engaged a nationally recognized data analytics firm to assist us with estimating both the PD and LGD of our tenants and their parent guarantors, as applicable. The PD and LGD are estimated during a reasonable and supportable period for which we believe we are able to estimate future economic conditions (the “R&amp;S Period”) and a long-term period for which we revert to long-term historical averages (the “Long-Term Period”). The PD and LGD estimates for the R&amp;S Period are developed using the current financial condition of the tenant and parent guarantor, as applicable, and applied to a projection of economic conditions over a two-year term. The PD and LGD for the Long-Term Period are estimated using the average historical default rates and historical loss rates, respectively, of public companies over approximately the past 40 years that have similar credit profiles or characteristics to our tenants and their parent guarantors, as applicable. We are unable to use our historical data to estimate losses as we have no loss history to date.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Investments in Loans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relation to our loan portfolio, we engage a nationally recognized data analytics firm to provide loan level market data and a forward-looking commercial real estate loss forecasting tool. The credit loss model generates the PD and LGD using sub-market loan-level data and the estimated fair value of collateral to generate net operating income and forecast the expected loss for each loan.</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Unfunded Commitments</w:t>
      </w:r>
    </w:p>
    <w:p>
      <w:pPr>
        <w:spacing w:after="0" w:line="17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are required to estimate a CECL allowance related to contractual commitments to extend credit, such as future funding commitments under a revolving credit facility, delayed draw term loan, construction loan or through commitments made to our tenants to fund the development and construction of improvements at our properties. We estimate the amount that we will fund for each contractual commitment based on (i) discussions with our borrowers and tenants, (ii) our borrowers’ and tenants’ business plans and financial condition, and (iii) other relevant factors. Based on these considerations, we apply a CECL allowance to the estimated amount of credit we expect to extend. The CECL allowance for unfunded commitments is calculated using the same methodology as the allowance for the respective investments subject to the CECL model. The CECL allowance related to these future commitments is recorded as a component of Other liabilities on our Balance Sheets.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Presentation</w:t>
      </w:r>
    </w:p>
    <w:p>
      <w:pPr>
        <w:spacing w:after="0" w:line="1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initial CECL allowance is recorded as a reduction to our net Investments in leases - sales-type, Investments in leases - financing receivables, Investments in loans and securities and Sales-type sub-leases (included in Other assets) on our Balance</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Sheets. We are required to update our CECL allowance on a quarterly basis with the resulting change being recorded in the Statement of Operations for the relevant period. Finally, each time we make a new investment in an asset subject to ASC 326, we are required to record an initial CECL allowance for such asset, which results in a non-cash charge to the Statement of Operations for the relevant period.</w:t>
      </w:r>
    </w:p>
    <w:p>
      <w:pPr>
        <w:spacing w:after="0" w:line="9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Write-offs of our investments in leases and loans are deducted from the allowance in the period in which they are deemed uncollectible. Recoveries of amounts previously written off are recorded when received. There were no charge-offs or recoveries for the three and nine months ended September 30, 2025 and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Translation and Remeasurement</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investments in our Canadian gaming assets and certain of our loans are denominated in foreign currencies and, accordingly, we translate the financial statements of the subsidiaries that own such assets into U.S. Dollars (“USD” or “US$”) when we consolidate their financial results and position. Generally, assets and liabilities are translated at the exchange rate in effect at the date of the Balance Sheet and the resulting translation adjustments are included in Accumulated other comprehensive income in the Balance Sheets. Certain balance sheet items, primarily equity and capital-related accounts, are reflected at the historical exchange rate. Income Statement accounts are translated using the average exchange rate for the period.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and certain of our consolidated subsidiaries have intercompany and third-party debt that is denominated in foreign currencies, which are neither our nor our consolidated subsidiaries’ functional currency of USD. When the debt and related operating receivables and/or payables are remeasured to the functional currency of the entity, a gain or loss can result. The resulting adjustment is reflected in Other losses in the Statement of Operations.</w:t>
      </w:r>
    </w:p>
    <w:p>
      <w:pPr>
        <w:spacing w:after="0" w:line="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Other Expenses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Other income primarily represents sub-lease income related to certain ground and use leases. Under the lease agreements, the tenants are required to pay all costs associated with such ground and use leases and provides for their direct payment to the landlord. This income and the related expense are recorded on a gross basis in our Statement of Operations as required under GAAP as we are the primary obligor under these certain ground and use leases.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Measurements</w:t>
      </w:r>
    </w:p>
    <w:p>
      <w:pPr>
        <w:spacing w:after="0" w:line="1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the fair value of financial instruments based on assumptions that market participants would use in pricing the asset or liability. As a basis for considering market participant assumptions in fair value measurements, a fair value hierarchy distinguishes between market participant assumptions based on market data obtained from sources independent of the reporting entity and the reporting entity’s own assumptions about market participant assumptions. In accordance with the fair value hierarchy, Level 1 assets/liabilities are valued based on quoted prices for identical instruments in active markets, Level 2 assets/liabilities are valued based on quoted prices in active markets for similar instruments, on quoted prices in less active or inactive markets or on other “observable” market inputs, and Level 3 assets/liabilities are valued based significantly on “unobservable” market inputs.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u w:val="single" w:color="auto"/>
          <w:color w:val="0000FF"/>
        </w:rPr>
        <w:t>Note 9 - Fair Value</w:t>
      </w:r>
      <w:r>
        <w:rPr>
          <w:rFonts w:ascii="Times New Roman" w:cs="Times New Roman" w:eastAsia="Times New Roman" w:hAnsi="Times New Roman"/>
          <w:sz w:val="18"/>
          <w:szCs w:val="18"/>
          <w:color w:val="auto"/>
        </w:rPr>
        <w:t xml:space="preserve"> for further information.</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Derivative Financial Instruments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record our derivative financial instruments as either Other assets or Other liabilities on our Balance Sheet at fair value.</w:t>
      </w:r>
    </w:p>
    <w:p>
      <w:pPr>
        <w:spacing w:after="0" w:line="15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accounting for changes in the fair value of derivatives depends on the intended use of the derivative, whether we elected to designate a derivative in a hedging relationship and apply hedge accounting and whether the hedging relationship has satisfied the criteria necessary to apply hedge accounting. Derivatives designated and qualifying as a hedge of the exposure to variability in expected future cash flows are considered cash flow hedges. We formally document our hedge relationships and designation at the contract’s inception. This documentation includes the identification of the hedging instruments and the hedged items, its risk management objectives, strategy for undertaking the hedge transaction and our evaluation of the effectiveness of its hedged transaction.</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a quarterly basis, we also assess whether the derivative we designated in each hedging relationship is expected to be, and has been, highly effective in offsetting changes in the value or cash flows of the hedged transactions. If it is determined that a derivative is not highly effective at hedging the designated exposure, hedge accounting is discontinued and the changes in fair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value of the instrument are included in Net income prospectively. If the hedge relationship is terminated, then the value of the derivative previously recorded in Accumulated other comprehensive income is recognized in earnings when the hedged transactions affect earnings. Changes in the fair value of our derivative instruments that qualify as hedges are reported as a component of Accumulated other comprehensive income in our Balance Sheet with a corresponding change in Unrealized (loss) gain on cash flow hedges within Other comprehensive income on our Statement of Operations.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derivative instruments to mitigate the effects of interest rate volatility, whether from variable rate debt or future forecasted transactions, which could unfavorably impact our future earnings and forecasted cash flows. We do not use derivative instruments for speculative or trading purposes.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Concentrations of Credit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MGM Resorts International (together with, as the context requires, its subsidiaries, “MGM”) and Caesars are the guarantors of all of the lease payment obligations of the tenants under the applicable leases of the properties that they each respectively lease from us. Revenue from our lease agreements with MGM represented 38% of our lease revenues for each of the three and nine months ended September 30, 2025 and 2024. Contractual rent from our lease agreements with MGM represented 36% of our total contractual rent for each of the three and nine months ended September 30, 2025 and 2024. Revenue from our lease agreements with Caesars represented 36% of our lease revenues for each of the three and nine months ended September 30, 2025 and 2024. Contractual rent from our lease agreements with Caesars represented 37% of our total contractual rent for each of the three and nine months ended September 30, 2025, and 37% and 38% of our total contractual rent for the three and nine months ended September 30, 2024, respectively.</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our properties on the Las Vegas Strip generated approximately 49% of our lease revenues for each of the three and nine months ended September 30, 2025 and 48% of our lease revenues for each of the three and nine months ended September 30, 2024. Other than having two tenants from which we derive and will continue to derive a substantial portion of our revenue and our concentration in the Las Vegas market, we do not believe there are any other significant concentrations of credit risk.</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Pronouncements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ASU 2023-09 requires entities to disclose additional information with respect to the effective tax rate reconciliation and to disclose the disaggregation by jurisdiction of income tax expense and income taxes paid. ASU 2023-09 is effective for fiscal years beginning after December 15, 2024, with early adoption permitted. We are currently evaluating the impact of ASU 2023-09 on our Financial Statements.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Tax Legislation</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Organization for Economic Co-operation and Development (“OECD”) has proposed a global minimum tax of 15% of reported profits (“Pillar Two”) that has been agreed upon in principle by over 140 countries. During 2023, many countries incorporated Pillar Two model rules into their laws. The model rules provide a framework for applying the minimum tax and some countries have adopted Pillar Two effective January 1, 2024; however, countries must individually enact Pillar Two, which may result in variation in the application of the model rules and timelines.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addition, effective July 4, 2025, certain changes to U.S. tax law were approved that may impact us and our stockholders. Among other changes, this legislation (i) permanently extended the 20% deduction for “qualified REIT dividends” for individuals and other non-corporate taxpayers under Section 199A of the Internal Revenue Code (the “Code”), (ii) increased the percentage limit under the REIT asset test applicable to TRSs from 20% to 25% for taxable years beginning after December 31, 2025, and (iii) increased the basis on which the 30% interest deduction limit under Section 163(j) of the Code applies by excluding depreciation, amortization and depletion from the definition of “adjusted taxable income” (i.e. based on EBITDA rather than EBIT) for taxable years beginning after December 31, 2024.</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have evaluated both Pillar Two and the changes to the tax law and we do not expect them to have a material impact on our Financial Statements. However, there remains some uncertainty as to the final Pillar Two model rules. We will continue to monitor the United States and global legislative actions related to Pillar Two for potential impacts.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3 — Real Estate Transactions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2025 Activity</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Northfield Park Severance Lease</w:t>
      </w:r>
    </w:p>
    <w:p>
      <w:pPr>
        <w:spacing w:after="0" w:line="17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Subsequent to quarter-end, on October 16, 2025, we announced that, in connection with MGM’s agreement to sell the operations of MGM Northfield Park (“Northfield Park”), located in Northfield, Ohio, to an affiliate of funds managed by Clairvest Group Inc. (“Clairvest”), we agreed to enter into (i) a new triple-net lease agreement with an affiliate of Clairvest with respect to the real property of Northfield Park (the “Northfield Park Lease”) and (ii) an amendment to the existing MGM Master Lease (as defined below) in order to account for MGM’s divestiture of the operations of Northfield Park and to reduce the annual base rent under the MGM Master Lease by the initial base rent under the Northfield Park Lease. The Northfield Park Lease will have an initial annual base rent of $53.0 million (or $54.0 million if the transaction closes on or after May 1, 2026 to reflect the 2.0% annual escalation provided under the MGM Master Lease). Upon closing, the Northfield Park Lease will begin a new 25-year lease term with three 10-year tenant renewal options, with other economic terms substantially similar to the MGM Master Lease, including escalation of 2.0% per annum (with escalation equal to the greater of 2.0% and the change in CPI (capped at 3.0%) beginning at the same time as the MGM Master Lease in 2032) and a minimum capital expenditure requirement equal to 1.0% of annual net revenue. The Northfield Park Lease will be guaranteed by an affiliate of funds managed by Clairvest that will own the operations of Northfield Park. The transaction is subject to customary closing conditions and regulatory approvals and is expected to be completed in the first half of 2026.</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Real Estate Debt 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real estate debt investment activity during the nine months ended September 30, 2025:</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4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Investment Name</w:t>
            </w:r>
          </w:p>
        </w:tc>
        <w:tc>
          <w:tcPr>
            <w:tcW w:w="120" w:type="dxa"/>
            <w:vAlign w:val="bottom"/>
          </w:tcPr>
          <w:p>
            <w:pPr>
              <w:spacing w:after="0"/>
              <w:rPr>
                <w:sz w:val="16"/>
                <w:szCs w:val="16"/>
                <w:color w:val="auto"/>
              </w:rPr>
            </w:pPr>
          </w:p>
        </w:tc>
        <w:tc>
          <w:tcPr>
            <w:tcW w:w="156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Maximum Principal</w:t>
            </w:r>
          </w:p>
        </w:tc>
        <w:tc>
          <w:tcPr>
            <w:tcW w:w="100" w:type="dxa"/>
            <w:vAlign w:val="bottom"/>
          </w:tcPr>
          <w:p>
            <w:pPr>
              <w:spacing w:after="0"/>
              <w:rPr>
                <w:sz w:val="16"/>
                <w:szCs w:val="16"/>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5580" w:type="dxa"/>
            <w:vAlign w:val="bottom"/>
            <w:vMerge w:val="restart"/>
          </w:tcPr>
          <w:p>
            <w:pPr>
              <w:ind w:left="2440"/>
              <w:spacing w:after="0"/>
              <w:rPr>
                <w:sz w:val="20"/>
                <w:szCs w:val="20"/>
                <w:color w:val="auto"/>
              </w:rPr>
            </w:pPr>
            <w:r>
              <w:rPr>
                <w:rFonts w:ascii="Times New Roman" w:cs="Times New Roman" w:eastAsia="Times New Roman" w:hAnsi="Times New Roman"/>
                <w:sz w:val="16"/>
                <w:szCs w:val="16"/>
                <w:b w:val="1"/>
                <w:bCs w:val="1"/>
                <w:color w:val="auto"/>
              </w:rPr>
              <w:t>Collateral</w:t>
            </w:r>
          </w:p>
        </w:tc>
        <w:tc>
          <w:tcPr>
            <w:tcW w:w="0" w:type="dxa"/>
            <w:vAlign w:val="bottom"/>
          </w:tcPr>
          <w:p>
            <w:pPr>
              <w:spacing w:after="0"/>
              <w:rPr>
                <w:sz w:val="1"/>
                <w:szCs w:val="1"/>
                <w:color w:val="auto"/>
              </w:rPr>
            </w:pPr>
          </w:p>
        </w:tc>
      </w:tr>
      <w:tr>
        <w:trPr>
          <w:trHeight w:val="214"/>
        </w:trPr>
        <w:tc>
          <w:tcPr>
            <w:tcW w:w="246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tcPr>
          <w:p>
            <w:pPr>
              <w:jc w:val="right"/>
              <w:ind w:right="47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55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3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One Beverly Hills Loan</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450,000</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Mezzanine</w:t>
            </w:r>
          </w:p>
        </w:tc>
        <w:tc>
          <w:tcPr>
            <w:tcW w:w="100" w:type="dxa"/>
            <w:vAlign w:val="bottom"/>
            <w:tcBorders>
              <w:top w:val="single" w:sz="8" w:color="CCEEFF"/>
            </w:tcBorders>
            <w:shd w:val="clear" w:color="auto" w:fill="CCEEFF"/>
          </w:tcPr>
          <w:p>
            <w:pPr>
              <w:spacing w:after="0"/>
              <w:rPr>
                <w:sz w:val="19"/>
                <w:szCs w:val="19"/>
                <w:color w:val="auto"/>
              </w:rPr>
            </w:pPr>
          </w:p>
        </w:tc>
        <w:tc>
          <w:tcPr>
            <w:tcW w:w="55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Luxury experiential lifestyle hub in Beverly Hills, California</w:t>
            </w:r>
          </w:p>
        </w:tc>
        <w:tc>
          <w:tcPr>
            <w:tcW w:w="0" w:type="dxa"/>
            <w:vAlign w:val="bottom"/>
          </w:tcPr>
          <w:p>
            <w:pPr>
              <w:spacing w:after="0"/>
              <w:rPr>
                <w:sz w:val="1"/>
                <w:szCs w:val="1"/>
                <w:color w:val="auto"/>
              </w:rPr>
            </w:pPr>
          </w:p>
        </w:tc>
      </w:tr>
      <w:tr>
        <w:trPr>
          <w:trHeight w:val="184"/>
        </w:trPr>
        <w:tc>
          <w:tcPr>
            <w:tcW w:w="246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North Fork Casino Loan</w:t>
            </w:r>
          </w:p>
        </w:tc>
        <w:tc>
          <w:tcPr>
            <w:tcW w:w="120" w:type="dxa"/>
            <w:vAlign w:val="bottom"/>
          </w:tcPr>
          <w:p>
            <w:pPr>
              <w:spacing w:after="0"/>
              <w:rPr>
                <w:sz w:val="16"/>
                <w:szCs w:val="16"/>
                <w:color w:val="auto"/>
              </w:rPr>
            </w:pPr>
          </w:p>
        </w:tc>
        <w:tc>
          <w:tcPr>
            <w:tcW w:w="15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510,000</w:t>
            </w:r>
          </w:p>
        </w:tc>
        <w:tc>
          <w:tcPr>
            <w:tcW w:w="100" w:type="dxa"/>
            <w:vAlign w:val="bottom"/>
          </w:tcPr>
          <w:p>
            <w:pPr>
              <w:spacing w:after="0"/>
              <w:rPr>
                <w:sz w:val="16"/>
                <w:szCs w:val="16"/>
                <w:color w:val="auto"/>
              </w:rPr>
            </w:pPr>
          </w:p>
        </w:tc>
        <w:tc>
          <w:tcPr>
            <w:tcW w:w="142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color w:val="auto"/>
                <w:w w:val="98"/>
              </w:rPr>
              <w:t>Senior Secured</w:t>
            </w:r>
          </w:p>
        </w:tc>
        <w:tc>
          <w:tcPr>
            <w:tcW w:w="5580" w:type="dxa"/>
            <w:vAlign w:val="bottom"/>
          </w:tcPr>
          <w:p>
            <w:pPr>
              <w:ind w:left="20"/>
              <w:spacing w:after="0" w:line="184" w:lineRule="exact"/>
              <w:rPr>
                <w:sz w:val="20"/>
                <w:szCs w:val="20"/>
                <w:color w:val="auto"/>
              </w:rPr>
            </w:pPr>
            <w:r>
              <w:rPr>
                <w:rFonts w:ascii="Times New Roman" w:cs="Times New Roman" w:eastAsia="Times New Roman" w:hAnsi="Times New Roman"/>
                <w:sz w:val="18"/>
                <w:szCs w:val="18"/>
                <w:color w:val="auto"/>
              </w:rPr>
              <w:t>The personal property and revenues of the North Fork Mono Casino &amp;</w:t>
            </w:r>
          </w:p>
        </w:tc>
        <w:tc>
          <w:tcPr>
            <w:tcW w:w="0" w:type="dxa"/>
            <w:vAlign w:val="bottom"/>
          </w:tcPr>
          <w:p>
            <w:pPr>
              <w:spacing w:after="0"/>
              <w:rPr>
                <w:sz w:val="1"/>
                <w:szCs w:val="1"/>
                <w:color w:val="auto"/>
              </w:rPr>
            </w:pPr>
          </w:p>
        </w:tc>
      </w:tr>
      <w:tr>
        <w:trPr>
          <w:trHeight w:val="140"/>
        </w:trPr>
        <w:tc>
          <w:tcPr>
            <w:tcW w:w="24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15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7"/>
              </w:rPr>
              <w:t>Loan</w:t>
            </w:r>
          </w:p>
        </w:tc>
        <w:tc>
          <w:tcPr>
            <w:tcW w:w="558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Resort located near Madera, California</w:t>
            </w:r>
          </w:p>
        </w:tc>
        <w:tc>
          <w:tcPr>
            <w:tcW w:w="0" w:type="dxa"/>
            <w:vAlign w:val="bottom"/>
          </w:tcPr>
          <w:p>
            <w:pPr>
              <w:spacing w:after="0"/>
              <w:rPr>
                <w:sz w:val="1"/>
                <w:szCs w:val="1"/>
                <w:color w:val="auto"/>
              </w:rPr>
            </w:pPr>
          </w:p>
        </w:tc>
      </w:tr>
      <w:tr>
        <w:trPr>
          <w:trHeight w:val="94"/>
        </w:trPr>
        <w:tc>
          <w:tcPr>
            <w:tcW w:w="2360" w:type="dxa"/>
            <w:vAlign w:val="bottom"/>
            <w:tcBorders>
              <w:bottom w:val="single" w:sz="8" w:color="CCEEFF"/>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60" w:type="dxa"/>
            <w:vAlign w:val="bottom"/>
            <w:tcBorders>
              <w:bottom w:val="single" w:sz="8" w:color="auto"/>
            </w:tcBorders>
          </w:tcPr>
          <w:p>
            <w:pPr>
              <w:spacing w:after="0"/>
              <w:rPr>
                <w:sz w:val="8"/>
                <w:szCs w:val="8"/>
                <w:color w:val="auto"/>
              </w:rPr>
            </w:pPr>
          </w:p>
        </w:tc>
        <w:tc>
          <w:tcPr>
            <w:tcW w:w="100" w:type="dxa"/>
            <w:vAlign w:val="bottom"/>
            <w:tcBorders>
              <w:bottom w:val="single" w:sz="8" w:color="CCEEFF"/>
            </w:tcBorders>
          </w:tcPr>
          <w:p>
            <w:pPr>
              <w:spacing w:after="0"/>
              <w:rPr>
                <w:sz w:val="8"/>
                <w:szCs w:val="8"/>
                <w:color w:val="auto"/>
              </w:rPr>
            </w:pPr>
          </w:p>
        </w:tc>
        <w:tc>
          <w:tcPr>
            <w:tcW w:w="1420" w:type="dxa"/>
            <w:vAlign w:val="bottom"/>
            <w:tcBorders>
              <w:bottom w:val="single" w:sz="8" w:color="CCEEFF"/>
            </w:tcBorders>
            <w:gridSpan w:val="2"/>
            <w:vMerge w:val="continue"/>
          </w:tcPr>
          <w:p>
            <w:pPr>
              <w:spacing w:after="0"/>
              <w:rPr>
                <w:sz w:val="8"/>
                <w:szCs w:val="8"/>
                <w:color w:val="auto"/>
              </w:rPr>
            </w:pPr>
          </w:p>
        </w:tc>
        <w:tc>
          <w:tcPr>
            <w:tcW w:w="5580" w:type="dxa"/>
            <w:vAlign w:val="bottom"/>
            <w:tcBorders>
              <w:bottom w:val="single" w:sz="8" w:color="CCEEFF"/>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8"/>
        </w:trPr>
        <w:tc>
          <w:tcPr>
            <w:tcW w:w="24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960,000</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5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5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One Beverly Hills Mezzanine Loan</w:t>
      </w:r>
    </w:p>
    <w:p>
      <w:pPr>
        <w:spacing w:after="0" w:line="17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On February 19, 2025, we purchased a $300.0 million interest in an existing mezzanine loan related to the development of One Beverly Hills, a landmark 17.5-acre luxury experiential lifestyle hub in Beverly Hills, California. On June 23, 2025, we purchased an additional $150.0 million interest in the existing mezzanine loan, </w:t>
      </w:r>
      <w:r>
        <w:rPr>
          <w:rFonts w:ascii="Times New Roman" w:cs="Times New Roman" w:eastAsia="Times New Roman" w:hAnsi="Times New Roman"/>
          <w:sz w:val="18"/>
          <w:szCs w:val="18"/>
          <w:color w:val="231F20"/>
        </w:rPr>
        <w:t>concurrent with a commensurate increase in the total size of the mezzanine loan</w:t>
      </w:r>
      <w:r>
        <w:rPr>
          <w:rFonts w:ascii="Times New Roman" w:cs="Times New Roman" w:eastAsia="Times New Roman" w:hAnsi="Times New Roman"/>
          <w:sz w:val="18"/>
          <w:szCs w:val="18"/>
          <w:color w:val="auto"/>
        </w:rPr>
        <w:t>. One Beverly Hills is being developed by Cain and will be anchored by Aman Beverly Hills, featuring an Aman Hotel and Aman-branded residences, and include a full-scale refurbishment of The Beverly Hilton, additional retail, food and beverage offerings, and 10 acres of botanical gardens and open space. Construction of the development has commenced and is expected to be completed in phases in 2028.</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mezzanine loan has an initial maturity in March 2026 and one 12-month extension option, subject to certain conditions. Under the provisions of the existing mezzanine loan, interest is paid-in-kind and added to the outstanding principal balance. We funded each of the investments with a combination of cash on hand and a draw under the Revolving Credit Facility (as defined below).</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North Fork Casino Loan</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4, 2025, we provided a commitment of up to $510.0 million of a $725.0 million delayed draw term loan facility (the “Term Loan Arrangement”) to the North Fork Rancheria Economic Development Authority, a wholly owned entity of the North Fork Rancheria of Mono Indians of California. Proceeds from the Term Loan Arrangement will be used for the development of the North Fork Mono Casino &amp; Resort (“North Fork”) located near Madera, California, which will be developed and managed by affiliates of Red Rock Resorts, Inc. (“Red Rock Resorts”). The Term Loan Arrangement consists of</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 and is expected to be completed in the second half of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4 — Real Estate Portfolio</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2025, our real estate portfolio consisted of the following:</w:t>
      </w:r>
    </w:p>
    <w:p>
      <w:pPr>
        <w:spacing w:after="0" w:line="117" w:lineRule="exact"/>
        <w:rPr>
          <w:sz w:val="20"/>
          <w:szCs w:val="20"/>
          <w:color w:val="auto"/>
        </w:rPr>
      </w:pPr>
    </w:p>
    <w:p>
      <w:pPr>
        <w:ind w:left="660" w:right="2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sales-type, representing our investment in 26 casino assets leased on a triple-net basis to our tenants under ten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leases – financing receivables, representing our investment in 28 casino assets and 39 other experiential properties leased on a triple-net basis to our tenants under ten separate lease agreements;</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loans and securities, representing our 18 debt investments in senior secured and mezzanine loans, preferred equity and the senior secured notes; and</w:t>
      </w:r>
    </w:p>
    <w:p>
      <w:pPr>
        <w:spacing w:after="0" w:line="53"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Land, representing our investment in certain underdeveloped or undeveloped land adjacent to the Las Vegas strip and non-operating, vacant land parcels.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the balances of our real estate portfolio as of September 30, 2025 and December 31, 2024:</w:t>
      </w:r>
    </w:p>
    <w:p>
      <w:pPr>
        <w:spacing w:after="0" w:line="12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90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20" w:type="dxa"/>
            <w:vAlign w:val="bottom"/>
          </w:tcPr>
          <w:p>
            <w:pPr>
              <w:spacing w:after="0"/>
              <w:rPr>
                <w:sz w:val="17"/>
                <w:szCs w:val="17"/>
                <w:color w:val="auto"/>
              </w:rPr>
            </w:pPr>
          </w:p>
        </w:tc>
        <w:tc>
          <w:tcPr>
            <w:tcW w:w="180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Investments in leases – sales-type, net </w:t>
            </w:r>
            <w:r>
              <w:rPr>
                <w:rFonts w:ascii="Times New Roman" w:cs="Times New Roman" w:eastAsia="Times New Roman" w:hAnsi="Times New Roman"/>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r>
      <w:tr>
        <w:trPr>
          <w:trHeight w:val="230"/>
        </w:trPr>
        <w:tc>
          <w:tcPr>
            <w:tcW w:w="20" w:type="dxa"/>
            <w:vAlign w:val="bottom"/>
            <w:tcBorders>
              <w:bottom w:val="single" w:sz="8" w:color="CCEEFF"/>
            </w:tcBorders>
          </w:tcPr>
          <w:p>
            <w:pPr>
              <w:spacing w:after="0"/>
              <w:rPr>
                <w:sz w:val="19"/>
                <w:szCs w:val="19"/>
                <w:color w:val="auto"/>
              </w:rPr>
            </w:pPr>
          </w:p>
        </w:tc>
        <w:tc>
          <w:tcPr>
            <w:tcW w:w="70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net </w:t>
            </w:r>
            <w:r>
              <w:rPr>
                <w:rFonts w:ascii="Times New Roman" w:cs="Times New Roman" w:eastAsia="Times New Roman" w:hAnsi="Times New Roman"/>
                <w:sz w:val="23"/>
                <w:szCs w:val="23"/>
                <w:i w:val="1"/>
                <w:iCs w:val="1"/>
                <w:color w:val="auto"/>
                <w:vertAlign w:val="superscript"/>
              </w:rPr>
              <w:t>(1)</w:t>
            </w: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18,640,073</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18,430,320</w:t>
            </w:r>
          </w:p>
        </w:tc>
      </w:tr>
      <w:tr>
        <w:trPr>
          <w:trHeight w:val="223"/>
        </w:trPr>
        <w:tc>
          <w:tcPr>
            <w:tcW w:w="20" w:type="dxa"/>
            <w:vAlign w:val="bottom"/>
            <w:shd w:val="clear" w:color="auto" w:fill="CCEEFF"/>
          </w:tcPr>
          <w:p>
            <w:pPr>
              <w:spacing w:after="0"/>
              <w:rPr>
                <w:sz w:val="19"/>
                <w:szCs w:val="19"/>
                <w:color w:val="auto"/>
              </w:rPr>
            </w:pPr>
          </w:p>
        </w:tc>
        <w:tc>
          <w:tcPr>
            <w:tcW w:w="70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investments in leases, net</w:t>
            </w: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42,403,689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42,011,421</w:t>
            </w:r>
          </w:p>
        </w:tc>
      </w:tr>
    </w:tbl>
    <w:p>
      <w:pPr>
        <w:spacing w:after="0" w:line="1" w:lineRule="exact"/>
        <w:rPr>
          <w:sz w:val="20"/>
          <w:szCs w:val="20"/>
          <w:color w:val="auto"/>
        </w:rPr>
      </w:pPr>
    </w:p>
    <w:p>
      <w:pPr>
        <w:sectPr>
          <w:pgSz w:w="11900" w:h="16838" w:orient="portrait"/>
          <w:cols w:equalWidth="0" w:num="1">
            <w:col w:w="11240"/>
          </w:cols>
          <w:pgMar w:left="320" w:top="283" w:right="339" w:bottom="1440" w:gutter="0" w:footer="0" w:header="0"/>
        </w:sectPr>
      </w:pPr>
    </w:p>
    <w:p>
      <w:pPr>
        <w:ind w:left="20"/>
        <w:spacing w:after="0"/>
        <w:rPr>
          <w:sz w:val="20"/>
          <w:szCs w:val="20"/>
          <w:color w:val="auto"/>
        </w:rPr>
      </w:pPr>
      <w:r>
        <w:rPr>
          <w:rFonts w:ascii="Times New Roman" w:cs="Times New Roman" w:eastAsia="Times New Roman" w:hAnsi="Times New Roman"/>
          <w:sz w:val="17"/>
          <w:szCs w:val="17"/>
          <w:color w:val="auto"/>
        </w:rPr>
        <w:t>Investments in loans and securities, net</w:t>
      </w:r>
    </w:p>
    <w:p>
      <w:pPr>
        <w:spacing w:after="0" w:line="3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Land</w:t>
      </w:r>
    </w:p>
    <w:p>
      <w:pPr>
        <w:spacing w:after="0" w:line="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Total real estate portfolio</w:t>
      </w:r>
    </w:p>
    <w:p>
      <w:pPr>
        <w:spacing w:after="0" w:line="1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1,651,533</w:t>
            </w:r>
          </w:p>
        </w:tc>
      </w:tr>
      <w:tr>
        <w:trPr>
          <w:trHeight w:val="234"/>
        </w:trPr>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149,717</w:t>
            </w:r>
          </w:p>
        </w:tc>
        <w:tc>
          <w:tcPr>
            <w:tcW w:w="100" w:type="dxa"/>
            <w:vAlign w:val="bottom"/>
          </w:tcPr>
          <w:p>
            <w:pPr>
              <w:spacing w:after="0"/>
              <w:rPr>
                <w:sz w:val="20"/>
                <w:szCs w:val="20"/>
                <w:color w:val="auto"/>
              </w:rPr>
            </w:pPr>
          </w:p>
        </w:tc>
        <w:tc>
          <w:tcPr>
            <w:tcW w:w="62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150,727</w:t>
            </w:r>
          </w:p>
        </w:tc>
      </w:tr>
      <w:tr>
        <w:trPr>
          <w:trHeight w:val="223"/>
        </w:trPr>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44,986,405</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43,813,681</w:t>
            </w:r>
          </w:p>
        </w:tc>
      </w:tr>
      <w:tr>
        <w:trPr>
          <w:trHeight w:val="20"/>
        </w:trPr>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-4502785</wp:posOffset>
            </wp:positionH>
            <wp:positionV relativeFrom="paragraph">
              <wp:posOffset>-334010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59" w:lineRule="exact"/>
        <w:rPr>
          <w:sz w:val="20"/>
          <w:szCs w:val="20"/>
          <w:color w:val="auto"/>
        </w:rPr>
      </w:pPr>
    </w:p>
    <w:p>
      <w:pPr>
        <w:sectPr>
          <w:pgSz w:w="11900" w:h="16838" w:orient="portrait"/>
          <w:cols w:equalWidth="0" w:num="2">
            <w:col w:w="6380" w:space="720"/>
            <w:col w:w="4140"/>
          </w:cols>
          <w:pgMar w:left="320" w:top="283" w:right="339" w:bottom="1440" w:gutter="0" w:footer="0" w:header="0"/>
          <w:type w:val="continuous"/>
        </w:sectPr>
      </w:pPr>
    </w:p>
    <w:p>
      <w:pPr>
        <w:jc w:val="both"/>
        <w:ind w:firstLine="8"/>
        <w:spacing w:after="0" w:line="262" w:lineRule="auto"/>
        <w:tabs>
          <w:tab w:leader="none" w:pos="215" w:val="left"/>
        </w:tabs>
        <w:numPr>
          <w:ilvl w:val="0"/>
          <w:numId w:val="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estimated residual values of the leased property (not guaranteed) under the respective lease agreements, which has a material impact on the determination of the rate implicit in the lease and the lease classification. As of September 30, 2025 and December 31, 2024, the estimated residual value of the leased properties under our lease agreements was $16.5 billion and $16.4 billion, respectively.</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Leases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leases and lease financing receivables: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sales-type leases – fixed rent</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503,040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494,641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1,505,431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1,467,825</w:t>
            </w: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Income from sales-type leases – contingent rent </w:t>
            </w:r>
            <w:r>
              <w:rPr>
                <w:rFonts w:ascii="Times New Roman" w:cs="Times New Roman" w:eastAsia="Times New Roman" w:hAnsi="Times New Roman"/>
                <w:sz w:val="23"/>
                <w:szCs w:val="23"/>
                <w:i w:val="1"/>
                <w:iCs w:val="1"/>
                <w:color w:val="auto"/>
                <w:vertAlign w:val="superscript"/>
              </w:rPr>
              <w:t>(1)</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28,725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24,050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85,286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75,927</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lease financing receivables – fixed rent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385,112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379,657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1,150,865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1,135,643</w:t>
            </w:r>
          </w:p>
        </w:tc>
      </w:tr>
      <w:tr>
        <w:trPr>
          <w:trHeight w:val="23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Income from lease financing receivables – contingent rent </w:t>
            </w:r>
            <w:r>
              <w:rPr>
                <w:rFonts w:ascii="Times New Roman" w:cs="Times New Roman" w:eastAsia="Times New Roman" w:hAnsi="Times New Roman"/>
                <w:sz w:val="23"/>
                <w:szCs w:val="23"/>
                <w:i w:val="1"/>
                <w:iCs w:val="1"/>
                <w:color w:val="auto"/>
                <w:vertAlign w:val="superscript"/>
              </w:rPr>
              <w:t>(1)</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5,693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9,634</w:t>
            </w: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lease revenue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2,747,275</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2,689,029</w:t>
            </w:r>
          </w:p>
        </w:tc>
      </w:tr>
      <w:tr>
        <w:trPr>
          <w:trHeight w:val="229"/>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(2)</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(131,247)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(135,944)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(393,370)</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lease revenue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787,528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765,615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2,286,040</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jc w:val="both"/>
        <w:ind w:firstLine="8"/>
        <w:spacing w:after="0" w:line="260" w:lineRule="auto"/>
        <w:tabs>
          <w:tab w:leader="none" w:pos="211"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At lease inception (or upon modification), we determine the minimum lease payments under ASC 842, which exclude amounts determined to be contingent rent. Contingent rent is generally amounts in excess of specified floors or the variable rent portion of our leases. The minimum lease payments are recognized on an effective interest basis at a constant rate of return over the life of the lease and the contingent rent portion of the lease payments are recognized as earned, both in accordance with ASC 842.</w:t>
      </w:r>
    </w:p>
    <w:p>
      <w:pPr>
        <w:ind w:firstLine="8"/>
        <w:spacing w:after="0" w:line="283" w:lineRule="auto"/>
        <w:tabs>
          <w:tab w:leader="none" w:pos="204" w:val="left"/>
        </w:tabs>
        <w:numPr>
          <w:ilvl w:val="0"/>
          <w:numId w:val="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the minimum lease payments from sales-type leases and lease financing receivables in order to recognize income on an effective interest basis at a constant rate of return over the term of the leases.</w:t>
      </w:r>
    </w:p>
    <w:p>
      <w:pPr>
        <w:sectPr>
          <w:pgSz w:w="11900" w:h="16838" w:orient="portrait"/>
          <w:cols w:equalWidth="0" w:num="1">
            <w:col w:w="11240"/>
          </w:cols>
          <w:pgMar w:left="320" w:top="283" w:right="339" w:bottom="1440" w:gutter="0" w:footer="0" w:header="0"/>
          <w:type w:val="continuous"/>
        </w:sect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At September 30, 2025, minimum lease payments owed to us for each of the five succeeding years and thereafter under sales-type leases and our leases accounted for as financing receivables, are as follows: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66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200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4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 xml:space="preserve">Minimum Lease Payments </w:t>
            </w:r>
            <w:r>
              <w:rPr>
                <w:rFonts w:ascii="Times New Roman" w:cs="Times New Roman" w:eastAsia="Times New Roman" w:hAnsi="Times New Roman"/>
                <w:sz w:val="21"/>
                <w:szCs w:val="21"/>
                <w:b w:val="1"/>
                <w:bCs w:val="1"/>
                <w:i w:val="1"/>
                <w:iCs w:val="1"/>
                <w:color w:val="auto"/>
                <w:w w:val="97"/>
                <w:vertAlign w:val="superscript"/>
              </w:rPr>
              <w:t>(1) (2)</w:t>
            </w:r>
          </w:p>
        </w:tc>
        <w:tc>
          <w:tcPr>
            <w:tcW w:w="6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r>
      <w:tr>
        <w:trPr>
          <w:trHeight w:val="208"/>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4580" w:type="dxa"/>
            <w:vAlign w:val="bottom"/>
            <w:tcBorders>
              <w:bottom w:val="single" w:sz="8" w:color="auto"/>
            </w:tcBorders>
            <w:gridSpan w:val="4"/>
          </w:tcPr>
          <w:p>
            <w:pPr>
              <w:jc w:val="right"/>
              <w:ind w:right="1692"/>
              <w:spacing w:after="0"/>
              <w:rPr>
                <w:sz w:val="20"/>
                <w:szCs w:val="20"/>
                <w:color w:val="auto"/>
              </w:rPr>
            </w:pPr>
            <w:r>
              <w:rPr>
                <w:rFonts w:ascii="Times New Roman" w:cs="Times New Roman" w:eastAsia="Times New Roman" w:hAnsi="Times New Roman"/>
                <w:sz w:val="16"/>
                <w:szCs w:val="16"/>
                <w:b w:val="1"/>
                <w:bCs w:val="1"/>
                <w:color w:val="auto"/>
              </w:rPr>
              <w:t>Investments in Leases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900" w:type="dxa"/>
            <w:vAlign w:val="bottom"/>
          </w:tcPr>
          <w:p>
            <w:pPr>
              <w:spacing w:after="0"/>
              <w:rPr>
                <w:sz w:val="18"/>
                <w:szCs w:val="18"/>
                <w:color w:val="auto"/>
              </w:rPr>
            </w:pPr>
          </w:p>
        </w:tc>
      </w:tr>
      <w:tr>
        <w:trPr>
          <w:trHeight w:val="198"/>
        </w:trPr>
        <w:tc>
          <w:tcPr>
            <w:tcW w:w="20" w:type="dxa"/>
            <w:vAlign w:val="bottom"/>
          </w:tcPr>
          <w:p>
            <w:pPr>
              <w:spacing w:after="0"/>
              <w:rPr>
                <w:sz w:val="17"/>
                <w:szCs w:val="17"/>
                <w:color w:val="auto"/>
              </w:rPr>
            </w:pPr>
          </w:p>
        </w:tc>
        <w:tc>
          <w:tcPr>
            <w:tcW w:w="35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500" w:type="dxa"/>
            <w:vAlign w:val="bottom"/>
          </w:tcPr>
          <w:p>
            <w:pPr>
              <w:spacing w:after="0"/>
              <w:rPr>
                <w:sz w:val="17"/>
                <w:szCs w:val="17"/>
                <w:color w:val="auto"/>
              </w:rPr>
            </w:pPr>
          </w:p>
        </w:tc>
        <w:tc>
          <w:tcPr>
            <w:tcW w:w="2100" w:type="dxa"/>
            <w:vAlign w:val="bottom"/>
            <w:gridSpan w:val="2"/>
          </w:tcPr>
          <w:p>
            <w:pPr>
              <w:ind w:left="380"/>
              <w:spacing w:after="0" w:line="183" w:lineRule="exact"/>
              <w:rPr>
                <w:sz w:val="20"/>
                <w:szCs w:val="20"/>
                <w:color w:val="auto"/>
              </w:rPr>
            </w:pPr>
            <w:r>
              <w:rPr>
                <w:rFonts w:ascii="Times New Roman" w:cs="Times New Roman" w:eastAsia="Times New Roman" w:hAnsi="Times New Roman"/>
                <w:sz w:val="16"/>
                <w:szCs w:val="16"/>
                <w:b w:val="1"/>
                <w:bCs w:val="1"/>
                <w:color w:val="auto"/>
              </w:rPr>
              <w:t>Sales-Type</w:t>
            </w:r>
          </w:p>
        </w:tc>
        <w:tc>
          <w:tcPr>
            <w:tcW w:w="120" w:type="dxa"/>
            <w:vAlign w:val="bottom"/>
          </w:tcPr>
          <w:p>
            <w:pPr>
              <w:spacing w:after="0"/>
              <w:rPr>
                <w:sz w:val="17"/>
                <w:szCs w:val="17"/>
                <w:color w:val="auto"/>
              </w:rPr>
            </w:pPr>
          </w:p>
        </w:tc>
        <w:tc>
          <w:tcPr>
            <w:tcW w:w="2460" w:type="dxa"/>
            <w:vAlign w:val="bottom"/>
            <w:gridSpan w:val="2"/>
          </w:tcPr>
          <w:p>
            <w:pPr>
              <w:jc w:val="center"/>
              <w:ind w:right="220"/>
              <w:spacing w:after="0" w:line="183" w:lineRule="exact"/>
              <w:rPr>
                <w:sz w:val="20"/>
                <w:szCs w:val="20"/>
                <w:color w:val="auto"/>
              </w:rPr>
            </w:pPr>
            <w:r>
              <w:rPr>
                <w:rFonts w:ascii="Times New Roman" w:cs="Times New Roman" w:eastAsia="Times New Roman" w:hAnsi="Times New Roman"/>
                <w:sz w:val="16"/>
                <w:szCs w:val="16"/>
                <w:b w:val="1"/>
                <w:bCs w:val="1"/>
                <w:color w:val="auto"/>
              </w:rPr>
              <w:t>Financing Receivables</w:t>
            </w:r>
          </w:p>
        </w:tc>
        <w:tc>
          <w:tcPr>
            <w:tcW w:w="600" w:type="dxa"/>
            <w:vAlign w:val="bottom"/>
          </w:tcPr>
          <w:p>
            <w:pPr>
              <w:spacing w:after="0"/>
              <w:rPr>
                <w:sz w:val="17"/>
                <w:szCs w:val="17"/>
                <w:color w:val="auto"/>
              </w:rPr>
            </w:pPr>
          </w:p>
        </w:tc>
        <w:tc>
          <w:tcPr>
            <w:tcW w:w="1900" w:type="dxa"/>
            <w:vAlign w:val="bottom"/>
          </w:tcPr>
          <w:p>
            <w:pPr>
              <w:jc w:val="right"/>
              <w:ind w:right="991"/>
              <w:spacing w:after="0" w:line="183"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66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500" w:type="dxa"/>
            <w:vAlign w:val="bottom"/>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444,225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315,466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759,691</w:t>
            </w: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1,794,488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1,278,182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3,072,670</w:t>
            </w:r>
          </w:p>
        </w:tc>
      </w:tr>
      <w:tr>
        <w:trPr>
          <w:trHeight w:val="229"/>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1,821,969</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1,302,016</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3,123,985</w:t>
            </w:r>
          </w:p>
        </w:tc>
      </w:tr>
      <w:tr>
        <w:trPr>
          <w:trHeight w:val="22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6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1,850,663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1,326,567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3,177,230</w:t>
            </w: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6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1,880,313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1,351,597</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3,231,910</w:t>
            </w:r>
          </w:p>
        </w:tc>
      </w:tr>
      <w:tr>
        <w:trPr>
          <w:trHeight w:val="229"/>
        </w:trPr>
        <w:tc>
          <w:tcPr>
            <w:tcW w:w="20" w:type="dxa"/>
            <w:vAlign w:val="bottom"/>
            <w:tcBorders>
              <w:bottom w:val="single" w:sz="8" w:color="CCEEFF"/>
            </w:tcBorders>
          </w:tcPr>
          <w:p>
            <w:pPr>
              <w:spacing w:after="0"/>
              <w:rPr>
                <w:sz w:val="19"/>
                <w:szCs w:val="19"/>
                <w:color w:val="auto"/>
              </w:rPr>
            </w:pPr>
          </w:p>
        </w:tc>
        <w:tc>
          <w:tcPr>
            <w:tcW w:w="354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Thereafter</w:t>
            </w:r>
          </w:p>
        </w:tc>
        <w:tc>
          <w:tcPr>
            <w:tcW w:w="50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79,935,052</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88,439,519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168,374,571</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5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500" w:type="dxa"/>
            <w:vAlign w:val="bottom"/>
            <w:tcBorders>
              <w:bottom w:val="single" w:sz="8" w:color="auto"/>
            </w:tcBorders>
            <w:shd w:val="clear" w:color="auto" w:fill="CCEEFF"/>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87,726,710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94,013,347</w:t>
            </w:r>
          </w:p>
        </w:tc>
        <w:tc>
          <w:tcPr>
            <w:tcW w:w="1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181,740,057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6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2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900" w:type="dxa"/>
            <w:vAlign w:val="bottom"/>
            <w:tcBorders>
              <w:top w:val="single" w:sz="8" w:color="CCEEFF"/>
              <w:bottom w:val="single" w:sz="8" w:color="auto"/>
            </w:tcBorders>
          </w:tcPr>
          <w:p>
            <w:pPr>
              <w:spacing w:after="0" w:line="20" w:lineRule="exact"/>
              <w:rPr>
                <w:sz w:val="1"/>
                <w:szCs w:val="1"/>
                <w:color w:val="auto"/>
              </w:rPr>
            </w:pPr>
          </w:p>
        </w:tc>
      </w:tr>
    </w:tbl>
    <w:p>
      <w:pPr>
        <w:spacing w:after="0" w:line="45"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ind w:left="220" w:hanging="212"/>
        <w:spacing w:after="0"/>
        <w:tabs>
          <w:tab w:leader="none" w:pos="220"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Minimum lease payments do not include contingent rent, as discussed above, that may be received under the lease agreements.</w:t>
      </w:r>
    </w:p>
    <w:p>
      <w:pPr>
        <w:spacing w:after="0" w:line="11" w:lineRule="exact"/>
        <w:rPr>
          <w:rFonts w:ascii="Times New Roman" w:cs="Times New Roman" w:eastAsia="Times New Roman" w:hAnsi="Times New Roman"/>
          <w:sz w:val="14"/>
          <w:szCs w:val="14"/>
          <w:i w:val="1"/>
          <w:iCs w:val="1"/>
          <w:color w:val="auto"/>
        </w:rPr>
      </w:pPr>
    </w:p>
    <w:p>
      <w:pPr>
        <w:ind w:firstLine="8"/>
        <w:spacing w:after="0" w:line="283" w:lineRule="auto"/>
        <w:tabs>
          <w:tab w:leader="none" w:pos="208" w:val="left"/>
        </w:tabs>
        <w:numPr>
          <w:ilvl w:val="0"/>
          <w:numId w:val="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minimum lease payments include the non-cancelable lease term and any tenant renewal options that we determined were reasonably assured, consistent with our conclusions under ASC 842 and ASC 310.</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Provisions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September 30, 2025, we owned 93 assets leased under 18 separate lease agreements with our tenants, certain of which are master lease agreements governing multiple properties and certain of which are for single assets. Our lease agreements are generally long-term in nature with initial terms ranging from 15 to 32 years and are structured with several tenant renewal options extending the term of the lease for another 5 to 30 years. As of September 30, 2025, our lease agreements had a weighted average lease term based on contractual rent, including extension options, of approximately 40.0 years.</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All of our lease agreements provide for annual base rent escalations, which may be fixed or variable over the life of the lease. The rent escalation provisions range from providing for a flat annual increase of 1% to 2% to an annual increase of 1% in the earlier years and the greater of 2% or CPI in later years, which may be subject to a maximum CPI-based cap with respect to each annual rent increase. Additionally, certain of our lease agreements provide for a variable rent component in which a portion of the annual rent, generally ranging from 20% to 30%, is subject to adjustment based on the revenues of the underlying asset in specified periods.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is a summary of the material lease provisions of our leases with Caesars and MGM, our two most significant tenants (each, as may be amended from time to time, and each individually, as defined in the respective header):</w:t>
      </w:r>
    </w:p>
    <w:p>
      <w:pPr>
        <w:spacing w:after="0" w:line="99" w:lineRule="exact"/>
        <w:rPr>
          <w:sz w:val="20"/>
          <w:szCs w:val="20"/>
          <w:color w:val="auto"/>
        </w:rPr>
      </w:pPr>
    </w:p>
    <w:tbl>
      <w:tblPr>
        <w:tblLayout w:type="fixed"/>
        <w:tblInd w:w="20" w:type="dxa"/>
        <w:tblCellMar>
          <w:top w:w="0" w:type="dxa"/>
          <w:left w:w="0" w:type="dxa"/>
          <w:bottom w:w="0" w:type="dxa"/>
          <w:right w:w="0" w:type="dxa"/>
        </w:tblCellMar>
      </w:tblPr>
      <w:tr>
        <w:trPr>
          <w:trHeight w:val="162"/>
        </w:trPr>
        <w:tc>
          <w:tcPr>
            <w:tcW w:w="16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260" w:type="dxa"/>
            <w:vAlign w:val="bottom"/>
          </w:tcPr>
          <w:p>
            <w:pPr>
              <w:spacing w:after="0"/>
              <w:rPr>
                <w:sz w:val="14"/>
                <w:szCs w:val="14"/>
                <w:color w:val="auto"/>
              </w:rPr>
            </w:pPr>
          </w:p>
        </w:tc>
        <w:tc>
          <w:tcPr>
            <w:tcW w:w="2840" w:type="dxa"/>
            <w:vAlign w:val="bottom"/>
            <w:vMerge w:val="restart"/>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Caesars Regional Master Lease</w:t>
            </w:r>
          </w:p>
        </w:tc>
        <w:tc>
          <w:tcPr>
            <w:tcW w:w="2160" w:type="dxa"/>
            <w:vAlign w:val="bottom"/>
            <w:vMerge w:val="restart"/>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Caesars Las Vegas</w:t>
            </w:r>
          </w:p>
        </w:tc>
        <w:tc>
          <w:tcPr>
            <w:tcW w:w="1960" w:type="dxa"/>
            <w:vAlign w:val="bottom"/>
            <w:vMerge w:val="restart"/>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MGM Grand/</w:t>
            </w:r>
          </w:p>
        </w:tc>
        <w:tc>
          <w:tcPr>
            <w:tcW w:w="0" w:type="dxa"/>
            <w:vAlign w:val="bottom"/>
          </w:tcPr>
          <w:p>
            <w:pPr>
              <w:spacing w:after="0"/>
              <w:rPr>
                <w:sz w:val="1"/>
                <w:szCs w:val="1"/>
                <w:color w:val="auto"/>
              </w:rPr>
            </w:pPr>
          </w:p>
        </w:tc>
      </w:tr>
      <w:tr>
        <w:trPr>
          <w:trHeight w:val="20"/>
        </w:trPr>
        <w:tc>
          <w:tcPr>
            <w:tcW w:w="9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2840" w:type="dxa"/>
            <w:vAlign w:val="bottom"/>
            <w:vMerge w:val="continue"/>
          </w:tcPr>
          <w:p>
            <w:pPr>
              <w:spacing w:after="0" w:line="20" w:lineRule="exact"/>
              <w:rPr>
                <w:sz w:val="1"/>
                <w:szCs w:val="1"/>
                <w:color w:val="auto"/>
              </w:rPr>
            </w:pPr>
          </w:p>
        </w:tc>
        <w:tc>
          <w:tcPr>
            <w:tcW w:w="2160" w:type="dxa"/>
            <w:vAlign w:val="bottom"/>
            <w:vMerge w:val="continue"/>
          </w:tcPr>
          <w:p>
            <w:pPr>
              <w:spacing w:after="0" w:line="20" w:lineRule="exact"/>
              <w:rPr>
                <w:sz w:val="1"/>
                <w:szCs w:val="1"/>
                <w:color w:val="auto"/>
              </w:rPr>
            </w:pPr>
          </w:p>
        </w:tc>
        <w:tc>
          <w:tcPr>
            <w:tcW w:w="196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
        </w:trPr>
        <w:tc>
          <w:tcPr>
            <w:tcW w:w="168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Lease Provision</w:t>
            </w:r>
          </w:p>
        </w:tc>
        <w:tc>
          <w:tcPr>
            <w:tcW w:w="2260" w:type="dxa"/>
            <w:vAlign w:val="bottom"/>
            <w:vMerge w:val="restart"/>
          </w:tcPr>
          <w:p>
            <w:pPr>
              <w:ind w:left="580"/>
              <w:spacing w:after="0"/>
              <w:rPr>
                <w:sz w:val="20"/>
                <w:szCs w:val="20"/>
                <w:color w:val="auto"/>
              </w:rPr>
            </w:pPr>
            <w:r>
              <w:rPr>
                <w:rFonts w:ascii="Times New Roman" w:cs="Times New Roman" w:eastAsia="Times New Roman" w:hAnsi="Times New Roman"/>
                <w:sz w:val="16"/>
                <w:szCs w:val="16"/>
                <w:b w:val="1"/>
                <w:bCs w:val="1"/>
                <w:color w:val="auto"/>
              </w:rPr>
              <w:t>MGM Master Lease</w:t>
            </w:r>
          </w:p>
        </w:tc>
        <w:tc>
          <w:tcPr>
            <w:tcW w:w="2840" w:type="dxa"/>
            <w:vAlign w:val="bottom"/>
            <w:vMerge w:val="continue"/>
          </w:tcPr>
          <w:p>
            <w:pPr>
              <w:spacing w:after="0"/>
              <w:rPr>
                <w:sz w:val="6"/>
                <w:szCs w:val="6"/>
                <w:color w:val="auto"/>
              </w:rPr>
            </w:pPr>
          </w:p>
        </w:tc>
        <w:tc>
          <w:tcPr>
            <w:tcW w:w="2160" w:type="dxa"/>
            <w:vAlign w:val="bottom"/>
            <w:vMerge w:val="continue"/>
          </w:tcPr>
          <w:p>
            <w:pPr>
              <w:spacing w:after="0"/>
              <w:rPr>
                <w:sz w:val="6"/>
                <w:szCs w:val="6"/>
                <w:color w:val="auto"/>
              </w:rPr>
            </w:pPr>
          </w:p>
        </w:tc>
        <w:tc>
          <w:tcPr>
            <w:tcW w:w="19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12"/>
        </w:trPr>
        <w:tc>
          <w:tcPr>
            <w:tcW w:w="1680" w:type="dxa"/>
            <w:vAlign w:val="bottom"/>
            <w:gridSpan w:val="2"/>
            <w:vMerge w:val="continue"/>
          </w:tcPr>
          <w:p>
            <w:pPr>
              <w:spacing w:after="0"/>
              <w:rPr>
                <w:sz w:val="18"/>
                <w:szCs w:val="18"/>
                <w:color w:val="auto"/>
              </w:rPr>
            </w:pPr>
          </w:p>
        </w:tc>
        <w:tc>
          <w:tcPr>
            <w:tcW w:w="2260" w:type="dxa"/>
            <w:vAlign w:val="bottom"/>
            <w:vMerge w:val="continue"/>
          </w:tcPr>
          <w:p>
            <w:pPr>
              <w:spacing w:after="0"/>
              <w:rPr>
                <w:sz w:val="18"/>
                <w:szCs w:val="18"/>
                <w:color w:val="auto"/>
              </w:rPr>
            </w:pPr>
          </w:p>
        </w:tc>
        <w:tc>
          <w:tcPr>
            <w:tcW w:w="284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rPr>
              <w:t>and Joliet Lease</w:t>
            </w:r>
          </w:p>
        </w:tc>
        <w:tc>
          <w:tcPr>
            <w:tcW w:w="21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Master Lease</w:t>
            </w:r>
          </w:p>
        </w:tc>
        <w:tc>
          <w:tcPr>
            <w:tcW w:w="1960" w:type="dxa"/>
            <w:vAlign w:val="bottom"/>
          </w:tcPr>
          <w:p>
            <w:pPr>
              <w:jc w:val="center"/>
              <w:ind w:left="419"/>
              <w:spacing w:after="0"/>
              <w:rPr>
                <w:sz w:val="20"/>
                <w:szCs w:val="20"/>
                <w:color w:val="auto"/>
              </w:rPr>
            </w:pPr>
            <w:r>
              <w:rPr>
                <w:rFonts w:ascii="Times New Roman" w:cs="Times New Roman" w:eastAsia="Times New Roman" w:hAnsi="Times New Roman"/>
                <w:sz w:val="16"/>
                <w:szCs w:val="16"/>
                <w:b w:val="1"/>
                <w:bCs w:val="1"/>
                <w:color w:val="auto"/>
              </w:rPr>
              <w:t>Mandalay Bay Lease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wp:posOffset>
            </wp:positionV>
            <wp:extent cx="7132320" cy="1543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p>
      <w:pPr>
        <w:spacing w:after="0" w:line="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Initial term</w:t>
      </w:r>
    </w:p>
    <w:p>
      <w:pPr>
        <w:spacing w:after="0" w:line="2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Initial term maturity</w:t>
      </w:r>
    </w:p>
    <w:p>
      <w:pPr>
        <w:spacing w:after="0" w:line="2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Renewal terms</w:t>
      </w:r>
    </w:p>
    <w:p>
      <w:pPr>
        <w:spacing w:after="0" w:line="1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lease year</w:t>
      </w:r>
    </w:p>
    <w:p>
      <w:pPr>
        <w:spacing w:after="0" w:line="11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Current annual rent</w:t>
      </w:r>
    </w:p>
    <w:p>
      <w:pPr>
        <w:spacing w:after="0" w:line="28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 xml:space="preserve">Annual escalator </w:t>
      </w:r>
      <w:r>
        <w:rPr>
          <w:rFonts w:ascii="Times New Roman" w:cs="Times New Roman" w:eastAsia="Times New Roman" w:hAnsi="Times New Roman"/>
          <w:sz w:val="23"/>
          <w:szCs w:val="23"/>
          <w:i w:val="1"/>
          <w:iCs w:val="1"/>
          <w:color w:val="auto"/>
          <w:vertAlign w:val="superscript"/>
        </w:rPr>
        <w:t>(2)</w:t>
      </w:r>
    </w:p>
    <w:p>
      <w:pPr>
        <w:spacing w:after="0" w:line="21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7"/>
          <w:szCs w:val="17"/>
          <w:color w:val="auto"/>
        </w:rPr>
        <w:t>Variable rent adjustment</w:t>
      </w:r>
    </w:p>
    <w:p>
      <w:pPr>
        <w:ind w:left="20"/>
        <w:spacing w:after="0"/>
        <w:rPr>
          <w:sz w:val="20"/>
          <w:szCs w:val="20"/>
          <w:color w:val="auto"/>
        </w:rPr>
      </w:pPr>
      <w:r>
        <w:rPr>
          <w:rFonts w:ascii="Times New Roman" w:cs="Times New Roman" w:eastAsia="Times New Roman" w:hAnsi="Times New Roman"/>
          <w:sz w:val="12"/>
          <w:szCs w:val="12"/>
          <w:i w:val="1"/>
          <w:iCs w:val="1"/>
          <w:color w:val="auto"/>
        </w:rPr>
        <w:t>(3)</w:t>
      </w:r>
    </w:p>
    <w:p>
      <w:pPr>
        <w:spacing w:after="0" w:line="200" w:lineRule="exact"/>
        <w:rPr>
          <w:sz w:val="20"/>
          <w:szCs w:val="20"/>
          <w:color w:val="auto"/>
        </w:rPr>
      </w:pPr>
    </w:p>
    <w:p>
      <w:pPr>
        <w:spacing w:after="0" w:line="261" w:lineRule="exact"/>
        <w:rPr>
          <w:sz w:val="20"/>
          <w:szCs w:val="20"/>
          <w:color w:val="auto"/>
        </w:rPr>
      </w:pPr>
    </w:p>
    <w:p>
      <w:pPr>
        <w:ind w:left="20"/>
        <w:spacing w:after="0" w:line="237" w:lineRule="auto"/>
        <w:rPr>
          <w:sz w:val="20"/>
          <w:szCs w:val="20"/>
          <w:color w:val="auto"/>
        </w:rPr>
      </w:pPr>
      <w:r>
        <w:rPr>
          <w:rFonts w:ascii="Times New Roman" w:cs="Times New Roman" w:eastAsia="Times New Roman" w:hAnsi="Times New Roman"/>
          <w:sz w:val="18"/>
          <w:szCs w:val="18"/>
          <w:color w:val="auto"/>
        </w:rPr>
        <w:t>Variable rent adjustment calculation</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0" w:lineRule="exact"/>
        <w:rPr>
          <w:sz w:val="20"/>
          <w:szCs w:val="20"/>
          <w:color w:val="auto"/>
        </w:rPr>
      </w:pPr>
      <w:r>
        <w:rPr>
          <w:sz w:val="20"/>
          <w:szCs w:val="20"/>
          <w:color w:val="auto"/>
        </w:rPr>
        <w:br w:type="column"/>
      </w:r>
    </w:p>
    <w:p>
      <w:pPr>
        <w:ind w:left="10" w:right="1220" w:hanging="10"/>
        <w:spacing w:after="0" w:line="284" w:lineRule="auto"/>
        <w:tabs>
          <w:tab w:leader="none" w:pos="23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4/30/2047</w:t>
      </w:r>
    </w:p>
    <w:p>
      <w:pPr>
        <w:spacing w:after="0" w:line="1" w:lineRule="exact"/>
        <w:rPr>
          <w:rFonts w:ascii="Times New Roman" w:cs="Times New Roman" w:eastAsia="Times New Roman" w:hAnsi="Times New Roman"/>
          <w:sz w:val="17"/>
          <w:szCs w:val="17"/>
          <w:color w:val="auto"/>
        </w:rPr>
      </w:pPr>
    </w:p>
    <w:p>
      <w:pPr>
        <w:ind w:left="1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Three, ten-year terms</w:t>
      </w:r>
    </w:p>
    <w:p>
      <w:pPr>
        <w:spacing w:after="0" w:line="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5/1/25 - 4/30/26</w:t>
      </w:r>
    </w:p>
    <w:p>
      <w:pPr>
        <w:ind w:left="10"/>
        <w:spacing w:after="0"/>
        <w:rPr>
          <w:sz w:val="20"/>
          <w:szCs w:val="20"/>
          <w:color w:val="auto"/>
        </w:rPr>
      </w:pPr>
      <w:r>
        <w:rPr>
          <w:rFonts w:ascii="Times New Roman" w:cs="Times New Roman" w:eastAsia="Times New Roman" w:hAnsi="Times New Roman"/>
          <w:sz w:val="18"/>
          <w:szCs w:val="18"/>
          <w:color w:val="auto"/>
        </w:rPr>
        <w:t>(Lease Year 4)</w:t>
      </w:r>
    </w:p>
    <w:p>
      <w:pPr>
        <w:spacing w:after="0" w:line="16"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$774,682</w:t>
      </w:r>
    </w:p>
    <w:p>
      <w:pPr>
        <w:spacing w:after="0" w:line="27" w:lineRule="exact"/>
        <w:rPr>
          <w:sz w:val="20"/>
          <w:szCs w:val="20"/>
          <w:color w:val="auto"/>
        </w:rPr>
      </w:pPr>
    </w:p>
    <w:p>
      <w:pPr>
        <w:ind w:left="10"/>
        <w:spacing w:after="0" w:line="233" w:lineRule="auto"/>
        <w:rPr>
          <w:sz w:val="20"/>
          <w:szCs w:val="20"/>
          <w:color w:val="auto"/>
        </w:rPr>
      </w:pPr>
      <w:r>
        <w:rPr>
          <w:rFonts w:ascii="Times New Roman" w:cs="Times New Roman" w:eastAsia="Times New Roman" w:hAnsi="Times New Roman"/>
          <w:sz w:val="17"/>
          <w:szCs w:val="17"/>
          <w:color w:val="auto"/>
        </w:rPr>
        <w:t>Lease years 2-10 - 2% Lease years 11-end of term</w:t>
      </w:r>
    </w:p>
    <w:p>
      <w:pPr>
        <w:ind w:left="10" w:right="300" w:hanging="10"/>
        <w:spacing w:after="0" w:line="226" w:lineRule="auto"/>
        <w:tabs>
          <w:tab w:leader="none" w:pos="11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&gt; 2% / change in CPI (capped at 3%)</w:t>
      </w:r>
    </w:p>
    <w:p>
      <w:pPr>
        <w:spacing w:after="0" w:line="90"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1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2"/>
        </w:trPr>
        <w:tc>
          <w:tcPr>
            <w:tcW w:w="20" w:type="dxa"/>
            <w:vAlign w:val="bottom"/>
            <w:tcBorders>
              <w:top w:val="single" w:sz="8" w:color="auto"/>
            </w:tcBorders>
          </w:tcPr>
          <w:p>
            <w:pPr>
              <w:spacing w:after="0"/>
              <w:rPr>
                <w:sz w:val="19"/>
                <w:szCs w:val="19"/>
                <w:color w:val="auto"/>
              </w:rPr>
            </w:pPr>
          </w:p>
        </w:tc>
        <w:tc>
          <w:tcPr>
            <w:tcW w:w="238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18 years</w:t>
            </w:r>
          </w:p>
        </w:tc>
        <w:tc>
          <w:tcPr>
            <w:tcW w:w="100" w:type="dxa"/>
            <w:vAlign w:val="bottom"/>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240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18 years</w:t>
            </w:r>
          </w:p>
        </w:tc>
        <w:tc>
          <w:tcPr>
            <w:tcW w:w="0" w:type="dxa"/>
            <w:vAlign w:val="bottom"/>
          </w:tcPr>
          <w:p>
            <w:pPr>
              <w:spacing w:after="0"/>
              <w:rPr>
                <w:sz w:val="1"/>
                <w:szCs w:val="1"/>
                <w:color w:val="auto"/>
              </w:rPr>
            </w:pPr>
          </w:p>
        </w:tc>
      </w:tr>
      <w:tr>
        <w:trPr>
          <w:trHeight w:val="23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7/31/2035</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7/31/2035</w:t>
            </w:r>
          </w:p>
        </w:tc>
        <w:tc>
          <w:tcPr>
            <w:tcW w:w="2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Four, five-year terms</w:t>
            </w:r>
          </w:p>
        </w:tc>
        <w:tc>
          <w:tcPr>
            <w:tcW w:w="20" w:type="dxa"/>
            <w:vAlign w:val="bottom"/>
          </w:tcPr>
          <w:p>
            <w:pPr>
              <w:spacing w:after="0"/>
              <w:rPr>
                <w:sz w:val="19"/>
                <w:szCs w:val="19"/>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Four, five-year terms</w:t>
            </w:r>
          </w:p>
        </w:tc>
        <w:tc>
          <w:tcPr>
            <w:tcW w:w="0" w:type="dxa"/>
            <w:vAlign w:val="bottom"/>
          </w:tcPr>
          <w:p>
            <w:pPr>
              <w:spacing w:after="0"/>
              <w:rPr>
                <w:sz w:val="1"/>
                <w:szCs w:val="1"/>
                <w:color w:val="auto"/>
              </w:rPr>
            </w:pPr>
          </w:p>
        </w:tc>
      </w:tr>
      <w:tr>
        <w:trPr>
          <w:trHeight w:val="180"/>
        </w:trPr>
        <w:tc>
          <w:tcPr>
            <w:tcW w:w="240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11/1/24 - 10/31/25</w:t>
            </w:r>
          </w:p>
        </w:tc>
        <w:tc>
          <w:tcPr>
            <w:tcW w:w="100" w:type="dxa"/>
            <w:vAlign w:val="bottom"/>
          </w:tcPr>
          <w:p>
            <w:pPr>
              <w:spacing w:after="0"/>
              <w:rPr>
                <w:sz w:val="15"/>
                <w:szCs w:val="15"/>
                <w:color w:val="auto"/>
              </w:rPr>
            </w:pPr>
          </w:p>
        </w:tc>
        <w:tc>
          <w:tcPr>
            <w:tcW w:w="2420" w:type="dxa"/>
            <w:vAlign w:val="bottom"/>
            <w:gridSpan w:val="4"/>
          </w:tcPr>
          <w:p>
            <w:pPr>
              <w:ind w:left="20"/>
              <w:spacing w:after="0" w:line="181" w:lineRule="exact"/>
              <w:rPr>
                <w:sz w:val="20"/>
                <w:szCs w:val="20"/>
                <w:color w:val="auto"/>
              </w:rPr>
            </w:pPr>
            <w:r>
              <w:rPr>
                <w:rFonts w:ascii="Times New Roman" w:cs="Times New Roman" w:eastAsia="Times New Roman" w:hAnsi="Times New Roman"/>
                <w:sz w:val="18"/>
                <w:szCs w:val="18"/>
                <w:color w:val="auto"/>
              </w:rPr>
              <w:t>11/1/24 - 10/31/25</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Year 8)</w:t>
            </w:r>
          </w:p>
        </w:tc>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(Lease Year 8)</w:t>
            </w:r>
          </w:p>
        </w:tc>
        <w:tc>
          <w:tcPr>
            <w:tcW w:w="0" w:type="dxa"/>
            <w:vAlign w:val="bottom"/>
          </w:tcPr>
          <w:p>
            <w:pPr>
              <w:spacing w:after="0"/>
              <w:rPr>
                <w:sz w:val="1"/>
                <w:szCs w:val="1"/>
                <w:color w:val="auto"/>
              </w:rPr>
            </w:pPr>
          </w:p>
        </w:tc>
      </w:tr>
      <w:tr>
        <w:trPr>
          <w:trHeight w:val="308"/>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$725,489 </w:t>
            </w:r>
            <w:r>
              <w:rPr>
                <w:rFonts w:ascii="Times New Roman" w:cs="Times New Roman" w:eastAsia="Times New Roman" w:hAnsi="Times New Roman"/>
                <w:sz w:val="23"/>
                <w:szCs w:val="23"/>
                <w:i w:val="1"/>
                <w:iCs w:val="1"/>
                <w:color w:val="auto"/>
                <w:vertAlign w:val="superscript"/>
              </w:rPr>
              <w:t>(1)</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$495,418</w:t>
            </w: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&gt; 2% / change in CPI</w:t>
            </w:r>
          </w:p>
        </w:tc>
        <w:tc>
          <w:tcPr>
            <w:tcW w:w="20" w:type="dxa"/>
            <w:vAlign w:val="bottom"/>
          </w:tcPr>
          <w:p>
            <w:pPr>
              <w:spacing w:after="0"/>
              <w:rPr>
                <w:sz w:val="24"/>
                <w:szCs w:val="24"/>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&gt; 2% / change in CPI</w:t>
            </w: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Years 11 &amp; 16</w:t>
            </w:r>
            <w:r>
              <w:rPr>
                <w:rFonts w:ascii="Times New Roman" w:cs="Times New Roman" w:eastAsia="Times New Roman" w:hAnsi="Times New Roman"/>
                <w:sz w:val="18"/>
                <w:szCs w:val="18"/>
                <w:color w:val="auto"/>
              </w:rPr>
              <w:t>: 80% base rent /</w:t>
            </w:r>
          </w:p>
        </w:tc>
        <w:tc>
          <w:tcPr>
            <w:tcW w:w="20" w:type="dxa"/>
            <w:vAlign w:val="bottom"/>
          </w:tcPr>
          <w:p>
            <w:pPr>
              <w:spacing w:after="0"/>
              <w:rPr>
                <w:sz w:val="24"/>
                <w:szCs w:val="24"/>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Years 11 &amp; 16</w:t>
            </w:r>
            <w:r>
              <w:rPr>
                <w:rFonts w:ascii="Times New Roman" w:cs="Times New Roman" w:eastAsia="Times New Roman" w:hAnsi="Times New Roman"/>
                <w:sz w:val="18"/>
                <w:szCs w:val="18"/>
                <w:color w:val="auto"/>
              </w:rPr>
              <w:t>: 80% base rent /</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20% variable rent</w:t>
            </w:r>
          </w:p>
        </w:tc>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 variable rent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80" w:type="dxa"/>
            <w:vAlign w:val="bottom"/>
            <w:gridSpan w:val="4"/>
          </w:tcPr>
          <w:p>
            <w:pPr>
              <w:spacing w:after="0" w:line="198" w:lineRule="exact"/>
              <w:rPr>
                <w:sz w:val="20"/>
                <w:szCs w:val="20"/>
                <w:color w:val="auto"/>
              </w:rPr>
            </w:pPr>
            <w:r>
              <w:rPr>
                <w:rFonts w:ascii="Times New Roman" w:cs="Times New Roman" w:eastAsia="Times New Roman" w:hAnsi="Times New Roman"/>
                <w:sz w:val="18"/>
                <w:szCs w:val="18"/>
                <w:color w:val="auto"/>
              </w:rPr>
              <w:t>4% of revenue</w:t>
            </w:r>
          </w:p>
        </w:tc>
        <w:tc>
          <w:tcPr>
            <w:tcW w:w="20" w:type="dxa"/>
            <w:vAlign w:val="bottom"/>
          </w:tcPr>
          <w:p>
            <w:pPr>
              <w:spacing w:after="0"/>
              <w:rPr>
                <w:sz w:val="17"/>
                <w:szCs w:val="17"/>
                <w:color w:val="auto"/>
              </w:rPr>
            </w:pPr>
          </w:p>
        </w:tc>
        <w:tc>
          <w:tcPr>
            <w:tcW w:w="2400" w:type="dxa"/>
            <w:vAlign w:val="bottom"/>
            <w:gridSpan w:val="3"/>
          </w:tcPr>
          <w:p>
            <w:pPr>
              <w:spacing w:after="0" w:line="198" w:lineRule="exact"/>
              <w:rPr>
                <w:sz w:val="20"/>
                <w:szCs w:val="20"/>
                <w:color w:val="auto"/>
              </w:rPr>
            </w:pPr>
            <w:r>
              <w:rPr>
                <w:rFonts w:ascii="Times New Roman" w:cs="Times New Roman" w:eastAsia="Times New Roman" w:hAnsi="Times New Roman"/>
                <w:sz w:val="18"/>
                <w:szCs w:val="18"/>
                <w:color w:val="auto"/>
              </w:rPr>
              <w:t>4% of revenue</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6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79"/>
              </w:rPr>
              <w:t>increase/decrease:</w:t>
            </w:r>
          </w:p>
        </w:tc>
        <w:tc>
          <w:tcPr>
            <w:tcW w:w="260" w:type="dxa"/>
            <w:vAlign w:val="bottom"/>
            <w:tcBorders>
              <w:bottom w:val="single" w:sz="8" w:color="auto"/>
            </w:tcBorders>
          </w:tcPr>
          <w:p>
            <w:pPr>
              <w:spacing w:after="0"/>
              <w:rPr>
                <w:sz w:val="13"/>
                <w:szCs w:val="13"/>
                <w:color w:val="auto"/>
              </w:rPr>
            </w:pPr>
          </w:p>
        </w:tc>
        <w:tc>
          <w:tcPr>
            <w:tcW w:w="11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years 8-10 less</w:t>
            </w:r>
          </w:p>
        </w:tc>
        <w:tc>
          <w:tcPr>
            <w:tcW w:w="20" w:type="dxa"/>
            <w:vAlign w:val="bottom"/>
          </w:tcPr>
          <w:p>
            <w:pPr>
              <w:spacing w:after="0"/>
              <w:rPr>
                <w:sz w:val="13"/>
                <w:szCs w:val="13"/>
                <w:color w:val="auto"/>
              </w:rPr>
            </w:pPr>
          </w:p>
        </w:tc>
        <w:tc>
          <w:tcPr>
            <w:tcW w:w="1040" w:type="dxa"/>
            <w:vAlign w:val="bottom"/>
            <w:tcBorders>
              <w:top w:val="single" w:sz="8" w:color="auto"/>
              <w:bottom w:val="single" w:sz="8" w:color="auto"/>
            </w:tcBorders>
          </w:tcPr>
          <w:p>
            <w:pPr>
              <w:spacing w:after="0" w:line="156" w:lineRule="exact"/>
              <w:rPr>
                <w:sz w:val="20"/>
                <w:szCs w:val="20"/>
                <w:color w:val="auto"/>
              </w:rPr>
            </w:pPr>
            <w:r>
              <w:rPr>
                <w:rFonts w:ascii="Times New Roman" w:cs="Times New Roman" w:eastAsia="Times New Roman" w:hAnsi="Times New Roman"/>
                <w:sz w:val="18"/>
                <w:szCs w:val="18"/>
                <w:color w:val="auto"/>
                <w:w w:val="77"/>
              </w:rPr>
              <w:t>increase/decrease:</w:t>
            </w:r>
          </w:p>
        </w:tc>
        <w:tc>
          <w:tcPr>
            <w:tcW w:w="260" w:type="dxa"/>
            <w:vAlign w:val="bottom"/>
            <w:tcBorders>
              <w:bottom w:val="single" w:sz="8" w:color="auto"/>
            </w:tcBorders>
          </w:tcPr>
          <w:p>
            <w:pPr>
              <w:spacing w:after="0"/>
              <w:rPr>
                <w:sz w:val="13"/>
                <w:szCs w:val="13"/>
                <w:color w:val="auto"/>
              </w:rPr>
            </w:pPr>
          </w:p>
        </w:tc>
        <w:tc>
          <w:tcPr>
            <w:tcW w:w="11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years 8-10 less</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32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Year 11</w:t>
            </w:r>
            <w:r>
              <w:rPr>
                <w:rFonts w:ascii="Times New Roman" w:cs="Times New Roman" w:eastAsia="Times New Roman" w:hAnsi="Times New Roman"/>
                <w:sz w:val="18"/>
                <w:szCs w:val="18"/>
                <w:color w:val="auto"/>
              </w:rPr>
              <w:t>: Avg. of</w:t>
            </w:r>
          </w:p>
        </w:tc>
        <w:tc>
          <w:tcPr>
            <w:tcW w:w="116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130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b w:val="1"/>
                <w:bCs w:val="1"/>
                <w:color w:val="auto"/>
              </w:rPr>
              <w:t>Year 11</w:t>
            </w:r>
            <w:r>
              <w:rPr>
                <w:rFonts w:ascii="Times New Roman" w:cs="Times New Roman" w:eastAsia="Times New Roman" w:hAnsi="Times New Roman"/>
                <w:sz w:val="18"/>
                <w:szCs w:val="18"/>
                <w:color w:val="auto"/>
              </w:rPr>
              <w:t>: Avg. of</w:t>
            </w: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248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avg. of years 5-7</w:t>
            </w:r>
          </w:p>
        </w:tc>
        <w:tc>
          <w:tcPr>
            <w:tcW w:w="20" w:type="dxa"/>
            <w:vAlign w:val="bottom"/>
          </w:tcPr>
          <w:p>
            <w:pPr>
              <w:spacing w:after="0"/>
              <w:rPr>
                <w:sz w:val="15"/>
                <w:szCs w:val="15"/>
                <w:color w:val="auto"/>
              </w:rPr>
            </w:pPr>
          </w:p>
        </w:tc>
        <w:tc>
          <w:tcPr>
            <w:tcW w:w="240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avg. of years 5-7</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2480" w:type="dxa"/>
            <w:vAlign w:val="bottom"/>
            <w:gridSpan w:val="4"/>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w:t>
            </w:r>
          </w:p>
        </w:tc>
        <w:tc>
          <w:tcPr>
            <w:tcW w:w="20" w:type="dxa"/>
            <w:vAlign w:val="bottom"/>
          </w:tcPr>
          <w:p>
            <w:pPr>
              <w:spacing w:after="0"/>
              <w:rPr>
                <w:sz w:val="16"/>
                <w:szCs w:val="16"/>
                <w:color w:val="auto"/>
              </w:rPr>
            </w:pPr>
          </w:p>
        </w:tc>
        <w:tc>
          <w:tcPr>
            <w:tcW w:w="2400" w:type="dxa"/>
            <w:vAlign w:val="bottom"/>
            <w:gridSpan w:val="3"/>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Year 16</w:t>
            </w:r>
            <w:r>
              <w:rPr>
                <w:rFonts w:ascii="Times New Roman" w:cs="Times New Roman" w:eastAsia="Times New Roman" w:hAnsi="Times New Roman"/>
                <w:sz w:val="18"/>
                <w:szCs w:val="18"/>
                <w:color w:val="auto"/>
              </w:rPr>
              <w:t>: Avg. of years 13-15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8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less avg. of years 8-10</w:t>
            </w:r>
          </w:p>
        </w:tc>
        <w:tc>
          <w:tcPr>
            <w:tcW w:w="20" w:type="dxa"/>
            <w:vAlign w:val="bottom"/>
          </w:tcPr>
          <w:p>
            <w:pPr>
              <w:spacing w:after="0"/>
              <w:rPr>
                <w:sz w:val="20"/>
                <w:szCs w:val="20"/>
                <w:color w:val="auto"/>
              </w:rPr>
            </w:pPr>
          </w:p>
        </w:tc>
        <w:tc>
          <w:tcPr>
            <w:tcW w:w="24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less avg. of years 8-10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-2610485</wp:posOffset>
            </wp:positionH>
            <wp:positionV relativeFrom="paragraph">
              <wp:posOffset>-2031365</wp:posOffset>
            </wp:positionV>
            <wp:extent cx="7132320"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-1619885</wp:posOffset>
            </wp:positionV>
            <wp:extent cx="7132320" cy="1454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-2610485</wp:posOffset>
            </wp:positionH>
            <wp:positionV relativeFrom="paragraph">
              <wp:posOffset>-985520</wp:posOffset>
            </wp:positionV>
            <wp:extent cx="7132320" cy="26543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7132320" cy="2654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8" w:right="1360" w:hanging="8"/>
        <w:spacing w:after="0" w:line="284" w:lineRule="auto"/>
        <w:tabs>
          <w:tab w:leader="none" w:pos="233"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years 2/28/2050</w:t>
      </w:r>
    </w:p>
    <w:p>
      <w:pPr>
        <w:spacing w:after="0" w:line="1" w:lineRule="exact"/>
        <w:rPr>
          <w:rFonts w:ascii="Times New Roman" w:cs="Times New Roman" w:eastAsia="Times New Roman" w:hAnsi="Times New Roman"/>
          <w:sz w:val="17"/>
          <w:szCs w:val="17"/>
          <w:color w:val="auto"/>
        </w:rPr>
      </w:pPr>
    </w:p>
    <w:p>
      <w:pPr>
        <w:ind w:left="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Two, ten-year terms</w:t>
      </w:r>
    </w:p>
    <w:p>
      <w:pPr>
        <w:spacing w:after="0" w:line="23" w:lineRule="exact"/>
        <w:rPr>
          <w:sz w:val="20"/>
          <w:szCs w:val="20"/>
          <w:color w:val="auto"/>
        </w:rPr>
      </w:pPr>
    </w:p>
    <w:p>
      <w:pPr>
        <w:ind w:left="8" w:right="20"/>
        <w:spacing w:after="0" w:line="234" w:lineRule="auto"/>
        <w:rPr>
          <w:sz w:val="20"/>
          <w:szCs w:val="20"/>
          <w:color w:val="auto"/>
        </w:rPr>
      </w:pPr>
      <w:r>
        <w:rPr>
          <w:rFonts w:ascii="Times New Roman" w:cs="Times New Roman" w:eastAsia="Times New Roman" w:hAnsi="Times New Roman"/>
          <w:sz w:val="18"/>
          <w:szCs w:val="18"/>
          <w:color w:val="auto"/>
        </w:rPr>
        <w:t>3/1/25 - 2/28/26 (Lease Year 6)</w:t>
      </w:r>
    </w:p>
    <w:p>
      <w:pPr>
        <w:spacing w:after="0" w:line="1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$322,392</w:t>
      </w:r>
    </w:p>
    <w:p>
      <w:pPr>
        <w:spacing w:after="0" w:line="27" w:lineRule="exact"/>
        <w:rPr>
          <w:sz w:val="20"/>
          <w:szCs w:val="20"/>
          <w:color w:val="auto"/>
        </w:rPr>
      </w:pPr>
    </w:p>
    <w:p>
      <w:pPr>
        <w:ind w:left="8" w:right="120"/>
        <w:spacing w:after="0" w:line="220" w:lineRule="auto"/>
        <w:rPr>
          <w:sz w:val="20"/>
          <w:szCs w:val="20"/>
          <w:color w:val="auto"/>
        </w:rPr>
      </w:pPr>
      <w:r>
        <w:rPr>
          <w:rFonts w:ascii="Times New Roman" w:cs="Times New Roman" w:eastAsia="Times New Roman" w:hAnsi="Times New Roman"/>
          <w:sz w:val="18"/>
          <w:szCs w:val="18"/>
          <w:color w:val="auto"/>
        </w:rPr>
        <w:t>Lease years 2-15 - 2% Lease years 16-end of term</w:t>
      </w:r>
    </w:p>
    <w:p>
      <w:pPr>
        <w:ind w:left="8" w:right="460"/>
        <w:spacing w:after="0" w:line="226" w:lineRule="auto"/>
        <w:rPr>
          <w:sz w:val="20"/>
          <w:szCs w:val="20"/>
          <w:color w:val="auto"/>
        </w:rPr>
      </w:pPr>
      <w:r>
        <w:rPr>
          <w:rFonts w:ascii="Times New Roman" w:cs="Times New Roman" w:eastAsia="Times New Roman" w:hAnsi="Times New Roman"/>
          <w:sz w:val="18"/>
          <w:szCs w:val="18"/>
          <w:color w:val="auto"/>
        </w:rPr>
        <w:t>– &gt;2% / change in CPI (capped at 3%)</w:t>
      </w:r>
    </w:p>
    <w:p>
      <w:pPr>
        <w:spacing w:after="0" w:line="90"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63" w:lineRule="exact"/>
        <w:rPr>
          <w:sz w:val="20"/>
          <w:szCs w:val="20"/>
          <w:color w:val="auto"/>
        </w:rPr>
      </w:pPr>
    </w:p>
    <w:p>
      <w:pPr>
        <w:ind w:left="8"/>
        <w:spacing w:after="0"/>
        <w:rPr>
          <w:sz w:val="20"/>
          <w:szCs w:val="20"/>
          <w:color w:val="auto"/>
        </w:rPr>
      </w:pPr>
      <w:r>
        <w:rPr>
          <w:rFonts w:ascii="Times New Roman" w:cs="Times New Roman" w:eastAsia="Times New Roman" w:hAnsi="Times New Roman"/>
          <w:sz w:val="18"/>
          <w:szCs w:val="18"/>
          <w:color w:val="auto"/>
        </w:rPr>
        <w:t>None</w:t>
      </w:r>
    </w:p>
    <w:p>
      <w:pPr>
        <w:spacing w:after="0" w:line="736" w:lineRule="exact"/>
        <w:rPr>
          <w:sz w:val="20"/>
          <w:szCs w:val="20"/>
          <w:color w:val="auto"/>
        </w:rPr>
      </w:pPr>
    </w:p>
    <w:p>
      <w:pPr>
        <w:sectPr>
          <w:pgSz w:w="11900" w:h="16838" w:orient="portrait"/>
          <w:cols w:equalWidth="0" w:num="4">
            <w:col w:w="1780" w:space="190"/>
            <w:col w:w="1950" w:space="200"/>
            <w:col w:w="4920" w:space="112"/>
            <w:col w:w="2088"/>
          </w:cols>
          <w:pgMar w:left="320" w:top="283" w:right="339" w:bottom="1440" w:gutter="0" w:footer="0" w:header="0"/>
          <w:type w:val="continuous"/>
        </w:sectPr>
      </w:pPr>
    </w:p>
    <w:p>
      <w:pPr>
        <w:ind w:firstLine="8"/>
        <w:spacing w:after="0" w:line="231" w:lineRule="auto"/>
        <w:tabs>
          <w:tab w:leader="none" w:pos="216"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Current annual rent with respect to the Joliet Lease is presented prior to accounting for the non-controlling interest, or rent payable, to the 20% third-party ownership of Harrah’s Joliet LandCo LLC. After adjusting for the 20% non-controlling interest, combined current annual rent under the Caesars Regional Master Lease and Joliet Lease is $716.0 million.</w:t>
      </w:r>
    </w:p>
    <w:p>
      <w:pPr>
        <w:ind w:left="220" w:hanging="212"/>
        <w:spacing w:after="0"/>
        <w:tabs>
          <w:tab w:leader="none" w:pos="2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Any amounts representing rents in excess of the CPI floors specified above are considered contingent rent in accordance with GAAP.</w:t>
      </w:r>
    </w:p>
    <w:p>
      <w:pPr>
        <w:spacing w:after="0" w:line="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Variable rent is not subject to the annual escalator.</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Capital Expenditure Requirements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manage our residual asset risk through protective covenants in our lease agreements, which require the tenant to, among other things, hold specific insurance coverage, engage in ongoing maintenance of the property and invest in capital improvements. With respect to the capital improvements, the lease agreements specify certain minimum amounts that our tenants must spend on capital expenditures that constitute installation, restoration and repair or other improvements of items with respect to the leased properties. The following table summarizes the capital expenditure requirements of our tenants under their respective lease agreements:</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Caesars Regional</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Caesars Las Vegas</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MGM Grand/ Mandalay</w:t>
            </w:r>
          </w:p>
        </w:tc>
        <w:tc>
          <w:tcPr>
            <w:tcW w:w="1620" w:type="dxa"/>
            <w:vAlign w:val="bottom"/>
          </w:tcPr>
          <w:p>
            <w:pPr>
              <w:spacing w:after="0"/>
              <w:rPr>
                <w:sz w:val="18"/>
                <w:szCs w:val="18"/>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All Other Gaming</w:t>
            </w:r>
          </w:p>
        </w:tc>
        <w:tc>
          <w:tcPr>
            <w:tcW w:w="0" w:type="dxa"/>
            <w:vAlign w:val="bottom"/>
          </w:tcPr>
          <w:p>
            <w:pPr>
              <w:spacing w:after="0"/>
              <w:rPr>
                <w:sz w:val="1"/>
                <w:szCs w:val="1"/>
                <w:color w:val="auto"/>
              </w:rPr>
            </w:pPr>
          </w:p>
        </w:tc>
      </w:tr>
      <w:tr>
        <w:trPr>
          <w:trHeight w:val="184"/>
        </w:trPr>
        <w:tc>
          <w:tcPr>
            <w:tcW w:w="1900" w:type="dxa"/>
            <w:vAlign w:val="bottom"/>
            <w:vMerge w:val="restart"/>
          </w:tcPr>
          <w:p>
            <w:pPr>
              <w:ind w:left="580"/>
              <w:spacing w:after="0"/>
              <w:rPr>
                <w:sz w:val="20"/>
                <w:szCs w:val="20"/>
                <w:color w:val="auto"/>
              </w:rPr>
            </w:pPr>
            <w:r>
              <w:rPr>
                <w:rFonts w:ascii="Times New Roman" w:cs="Times New Roman" w:eastAsia="Times New Roman" w:hAnsi="Times New Roman"/>
                <w:sz w:val="18"/>
                <w:szCs w:val="18"/>
                <w:b w:val="1"/>
                <w:bCs w:val="1"/>
                <w:color w:val="auto"/>
              </w:rPr>
              <w:t>Provision</w:t>
            </w:r>
          </w:p>
        </w:tc>
        <w:tc>
          <w:tcPr>
            <w:tcW w:w="100" w:type="dxa"/>
            <w:vAlign w:val="bottom"/>
            <w:vMerge w:val="restart"/>
          </w:tcPr>
          <w:p>
            <w:pPr>
              <w:spacing w:after="0"/>
              <w:rPr>
                <w:sz w:val="16"/>
                <w:szCs w:val="16"/>
                <w:color w:val="auto"/>
              </w:rPr>
            </w:pPr>
          </w:p>
        </w:tc>
        <w:tc>
          <w:tcPr>
            <w:tcW w:w="1840" w:type="dxa"/>
            <w:vAlign w:val="bottom"/>
            <w:gridSpan w:val="2"/>
          </w:tcPr>
          <w:p>
            <w:pPr>
              <w:jc w:val="center"/>
              <w:ind w:right="100"/>
              <w:spacing w:after="0" w:line="184" w:lineRule="exact"/>
              <w:rPr>
                <w:sz w:val="20"/>
                <w:szCs w:val="20"/>
                <w:color w:val="auto"/>
              </w:rPr>
            </w:pPr>
            <w:r>
              <w:rPr>
                <w:rFonts w:ascii="Times New Roman" w:cs="Times New Roman" w:eastAsia="Times New Roman" w:hAnsi="Times New Roman"/>
                <w:sz w:val="18"/>
                <w:szCs w:val="18"/>
                <w:b w:val="1"/>
                <w:bCs w:val="1"/>
                <w:color w:val="auto"/>
              </w:rPr>
              <w:t>Master Lease and</w:t>
            </w:r>
          </w:p>
        </w:tc>
        <w:tc>
          <w:tcPr>
            <w:tcW w:w="1840" w:type="dxa"/>
            <w:vAlign w:val="bottom"/>
            <w:gridSpan w:val="2"/>
            <w:vMerge w:val="continue"/>
          </w:tcPr>
          <w:p>
            <w:pPr>
              <w:spacing w:after="0"/>
              <w:rPr>
                <w:sz w:val="16"/>
                <w:szCs w:val="16"/>
                <w:color w:val="auto"/>
              </w:rPr>
            </w:pPr>
          </w:p>
        </w:tc>
        <w:tc>
          <w:tcPr>
            <w:tcW w:w="2180" w:type="dxa"/>
            <w:vAlign w:val="bottom"/>
            <w:gridSpan w:val="2"/>
            <w:vMerge w:val="continue"/>
          </w:tcPr>
          <w:p>
            <w:pPr>
              <w:spacing w:after="0"/>
              <w:rPr>
                <w:sz w:val="16"/>
                <w:szCs w:val="16"/>
                <w:color w:val="auto"/>
              </w:rPr>
            </w:pP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Venetian Lease</w:t>
            </w:r>
          </w:p>
        </w:tc>
        <w:tc>
          <w:tcPr>
            <w:tcW w:w="1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9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vMerge w:val="continue"/>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Joliet Lease</w:t>
            </w:r>
          </w:p>
        </w:tc>
        <w:tc>
          <w:tcPr>
            <w:tcW w:w="10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Master Lease</w:t>
            </w:r>
          </w:p>
        </w:tc>
        <w:tc>
          <w:tcPr>
            <w:tcW w:w="100" w:type="dxa"/>
            <w:vAlign w:val="bottom"/>
            <w:tcBorders>
              <w:bottom w:val="single" w:sz="8" w:color="CCEEFF"/>
            </w:tcBorders>
          </w:tcPr>
          <w:p>
            <w:pPr>
              <w:spacing w:after="0"/>
              <w:rPr>
                <w:sz w:val="19"/>
                <w:szCs w:val="19"/>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Bay Lease</w:t>
            </w:r>
          </w:p>
        </w:tc>
        <w:tc>
          <w:tcPr>
            <w:tcW w:w="80" w:type="dxa"/>
            <w:vAlign w:val="bottom"/>
            <w:tcBorders>
              <w:bottom w:val="single" w:sz="8" w:color="CCEEFF"/>
            </w:tcBorders>
          </w:tcPr>
          <w:p>
            <w:pPr>
              <w:spacing w:after="0"/>
              <w:rPr>
                <w:sz w:val="19"/>
                <w:szCs w:val="19"/>
                <w:color w:val="auto"/>
              </w:rPr>
            </w:pPr>
          </w:p>
        </w:tc>
        <w:tc>
          <w:tcPr>
            <w:tcW w:w="1620" w:type="dxa"/>
            <w:vAlign w:val="bottom"/>
            <w:tcBorders>
              <w:bottom w:val="single" w:sz="8" w:color="auto"/>
            </w:tcBorders>
            <w:vMerge w:val="continue"/>
          </w:tcPr>
          <w:p>
            <w:pPr>
              <w:spacing w:after="0"/>
              <w:rPr>
                <w:sz w:val="19"/>
                <w:szCs w:val="19"/>
                <w:color w:val="auto"/>
              </w:rPr>
            </w:pPr>
          </w:p>
        </w:tc>
        <w:tc>
          <w:tcPr>
            <w:tcW w:w="1760" w:type="dxa"/>
            <w:vAlign w:val="bottom"/>
            <w:tcBorders>
              <w:bottom w:val="single" w:sz="8" w:color="auto"/>
            </w:tcBorders>
          </w:tcPr>
          <w:p>
            <w:pPr>
              <w:jc w:val="center"/>
              <w:spacing w:after="0" w:line="230" w:lineRule="exact"/>
              <w:rPr>
                <w:sz w:val="20"/>
                <w:szCs w:val="20"/>
                <w:color w:val="auto"/>
              </w:rPr>
            </w:pPr>
            <w:r>
              <w:rPr>
                <w:rFonts w:ascii="Times New Roman" w:cs="Times New Roman" w:eastAsia="Times New Roman" w:hAnsi="Times New Roman"/>
                <w:sz w:val="18"/>
                <w:szCs w:val="18"/>
                <w:b w:val="1"/>
                <w:bCs w:val="1"/>
                <w:color w:val="auto"/>
                <w:w w:val="92"/>
              </w:rPr>
              <w:t xml:space="preserve">Leases </w:t>
            </w:r>
            <w:r>
              <w:rPr>
                <w:rFonts w:ascii="Times New Roman" w:cs="Times New Roman" w:eastAsia="Times New Roman" w:hAnsi="Times New Roman"/>
                <w:sz w:val="23"/>
                <w:szCs w:val="23"/>
                <w:b w:val="1"/>
                <w:bCs w:val="1"/>
                <w:i w:val="1"/>
                <w:iCs w:val="1"/>
                <w:color w:val="auto"/>
                <w:w w:val="92"/>
                <w:vertAlign w:val="superscript"/>
              </w:rPr>
              <w:t>(1)</w:t>
            </w:r>
          </w:p>
        </w:tc>
        <w:tc>
          <w:tcPr>
            <w:tcW w:w="0" w:type="dxa"/>
            <w:vAlign w:val="bottom"/>
          </w:tcPr>
          <w:p>
            <w:pPr>
              <w:spacing w:after="0"/>
              <w:rPr>
                <w:sz w:val="1"/>
                <w:szCs w:val="1"/>
                <w:color w:val="auto"/>
              </w:rPr>
            </w:pPr>
          </w:p>
        </w:tc>
      </w:tr>
      <w:tr>
        <w:trPr>
          <w:trHeight w:val="178"/>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Yearly minimum</w:t>
            </w:r>
          </w:p>
        </w:tc>
        <w:tc>
          <w:tcPr>
            <w:tcW w:w="184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 xml:space="preserve">1% of net revenues </w:t>
            </w:r>
            <w:r>
              <w:rPr>
                <w:rFonts w:ascii="Times New Roman" w:cs="Times New Roman" w:eastAsia="Times New Roman" w:hAnsi="Times New Roman"/>
                <w:sz w:val="23"/>
                <w:szCs w:val="23"/>
                <w:i w:val="1"/>
                <w:iCs w:val="1"/>
                <w:color w:val="auto"/>
                <w:w w:val="98"/>
                <w:vertAlign w:val="superscript"/>
              </w:rPr>
              <w:t>(2)</w:t>
            </w:r>
          </w:p>
        </w:tc>
        <w:tc>
          <w:tcPr>
            <w:tcW w:w="184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6"/>
              </w:rPr>
              <w:t xml:space="preserve">1% of net revenues </w:t>
            </w:r>
            <w:r>
              <w:rPr>
                <w:rFonts w:ascii="Times New Roman" w:cs="Times New Roman" w:eastAsia="Times New Roman" w:hAnsi="Times New Roman"/>
                <w:sz w:val="23"/>
                <w:szCs w:val="23"/>
                <w:i w:val="1"/>
                <w:iCs w:val="1"/>
                <w:color w:val="auto"/>
                <w:w w:val="96"/>
                <w:vertAlign w:val="superscript"/>
              </w:rPr>
              <w:t>(2)</w:t>
            </w:r>
          </w:p>
        </w:tc>
        <w:tc>
          <w:tcPr>
            <w:tcW w:w="210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rPr>
              <w:t>3.5% of net revenues based</w:t>
            </w:r>
          </w:p>
        </w:tc>
        <w:tc>
          <w:tcPr>
            <w:tcW w:w="80" w:type="dxa"/>
            <w:vAlign w:val="bottom"/>
            <w:shd w:val="clear" w:color="auto" w:fill="CCEEFF"/>
          </w:tcPr>
          <w:p>
            <w:pPr>
              <w:spacing w:after="0"/>
              <w:rPr>
                <w:sz w:val="15"/>
                <w:szCs w:val="15"/>
                <w:color w:val="auto"/>
              </w:rPr>
            </w:pPr>
          </w:p>
        </w:tc>
        <w:tc>
          <w:tcPr>
            <w:tcW w:w="1620" w:type="dxa"/>
            <w:vAlign w:val="bottom"/>
            <w:shd w:val="clear" w:color="auto" w:fill="CCEEFF"/>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2% of net revenues</w:t>
            </w:r>
          </w:p>
        </w:tc>
        <w:tc>
          <w:tcPr>
            <w:tcW w:w="176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 of net revenues</w:t>
            </w:r>
          </w:p>
        </w:tc>
        <w:tc>
          <w:tcPr>
            <w:tcW w:w="0" w:type="dxa"/>
            <w:vAlign w:val="bottom"/>
          </w:tcPr>
          <w:p>
            <w:pPr>
              <w:spacing w:after="0"/>
              <w:rPr>
                <w:sz w:val="1"/>
                <w:szCs w:val="1"/>
                <w:color w:val="auto"/>
              </w:rPr>
            </w:pPr>
          </w:p>
        </w:tc>
      </w:tr>
      <w:tr>
        <w:trPr>
          <w:trHeight w:val="81"/>
        </w:trPr>
        <w:tc>
          <w:tcPr>
            <w:tcW w:w="2000" w:type="dxa"/>
            <w:vAlign w:val="bottom"/>
            <w:gridSpan w:val="2"/>
            <w:vMerge w:val="continue"/>
            <w:shd w:val="clear" w:color="auto" w:fill="CCEEFF"/>
          </w:tcPr>
          <w:p>
            <w:pPr>
              <w:spacing w:after="0"/>
              <w:rPr>
                <w:sz w:val="7"/>
                <w:szCs w:val="7"/>
                <w:color w:val="auto"/>
              </w:rPr>
            </w:pPr>
          </w:p>
        </w:tc>
        <w:tc>
          <w:tcPr>
            <w:tcW w:w="1840" w:type="dxa"/>
            <w:vAlign w:val="bottom"/>
            <w:gridSpan w:val="2"/>
            <w:vMerge w:val="continue"/>
            <w:shd w:val="clear" w:color="auto" w:fill="CCEEFF"/>
          </w:tcPr>
          <w:p>
            <w:pPr>
              <w:spacing w:after="0"/>
              <w:rPr>
                <w:sz w:val="7"/>
                <w:szCs w:val="7"/>
                <w:color w:val="auto"/>
              </w:rPr>
            </w:pPr>
          </w:p>
        </w:tc>
        <w:tc>
          <w:tcPr>
            <w:tcW w:w="1840" w:type="dxa"/>
            <w:vAlign w:val="bottom"/>
            <w:gridSpan w:val="2"/>
            <w:vMerge w:val="continue"/>
            <w:shd w:val="clear" w:color="auto" w:fill="CCEEFF"/>
          </w:tcPr>
          <w:p>
            <w:pPr>
              <w:spacing w:after="0"/>
              <w:rPr>
                <w:sz w:val="7"/>
                <w:szCs w:val="7"/>
                <w:color w:val="auto"/>
              </w:rPr>
            </w:pPr>
          </w:p>
        </w:tc>
        <w:tc>
          <w:tcPr>
            <w:tcW w:w="2180" w:type="dxa"/>
            <w:vAlign w:val="bottom"/>
            <w:gridSpan w:val="2"/>
            <w:vMerge w:val="restart"/>
            <w:shd w:val="clear" w:color="auto" w:fill="CCEEFF"/>
          </w:tcPr>
          <w:p>
            <w:pPr>
              <w:jc w:val="center"/>
              <w:ind w:right="100"/>
              <w:spacing w:after="0" w:line="181" w:lineRule="exact"/>
              <w:rPr>
                <w:sz w:val="20"/>
                <w:szCs w:val="20"/>
                <w:color w:val="auto"/>
              </w:rPr>
            </w:pPr>
            <w:r>
              <w:rPr>
                <w:rFonts w:ascii="Times New Roman" w:cs="Times New Roman" w:eastAsia="Times New Roman" w:hAnsi="Times New Roman"/>
                <w:sz w:val="18"/>
                <w:szCs w:val="18"/>
                <w:color w:val="auto"/>
                <w:w w:val="99"/>
              </w:rPr>
              <w:t>on 5-year rolling test, 1.5%</w:t>
            </w:r>
          </w:p>
        </w:tc>
        <w:tc>
          <w:tcPr>
            <w:tcW w:w="1620" w:type="dxa"/>
            <w:vAlign w:val="bottom"/>
            <w:vMerge w:val="restart"/>
            <w:shd w:val="clear" w:color="auto" w:fill="CCEEFF"/>
          </w:tcPr>
          <w:p>
            <w:pPr>
              <w:jc w:val="center"/>
              <w:spacing w:after="0" w:line="181" w:lineRule="exact"/>
              <w:rPr>
                <w:sz w:val="20"/>
                <w:szCs w:val="20"/>
                <w:color w:val="auto"/>
              </w:rPr>
            </w:pPr>
            <w:r>
              <w:rPr>
                <w:rFonts w:ascii="Times New Roman" w:cs="Times New Roman" w:eastAsia="Times New Roman" w:hAnsi="Times New Roman"/>
                <w:sz w:val="18"/>
                <w:szCs w:val="18"/>
                <w:color w:val="auto"/>
                <w:w w:val="99"/>
              </w:rPr>
              <w:t>based on rolling</w:t>
            </w:r>
          </w:p>
        </w:tc>
        <w:tc>
          <w:tcPr>
            <w:tcW w:w="176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9"/>
        </w:trPr>
        <w:tc>
          <w:tcPr>
            <w:tcW w:w="200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expenditure</w:t>
            </w:r>
          </w:p>
        </w:tc>
        <w:tc>
          <w:tcPr>
            <w:tcW w:w="1840" w:type="dxa"/>
            <w:vAlign w:val="bottom"/>
            <w:gridSpan w:val="2"/>
            <w:vMerge w:val="continue"/>
            <w:shd w:val="clear" w:color="auto" w:fill="CCEEFF"/>
          </w:tcPr>
          <w:p>
            <w:pPr>
              <w:spacing w:after="0"/>
              <w:rPr>
                <w:sz w:val="8"/>
                <w:szCs w:val="8"/>
                <w:color w:val="auto"/>
              </w:rPr>
            </w:pPr>
          </w:p>
        </w:tc>
        <w:tc>
          <w:tcPr>
            <w:tcW w:w="1840" w:type="dxa"/>
            <w:vAlign w:val="bottom"/>
            <w:gridSpan w:val="2"/>
            <w:vMerge w:val="continue"/>
            <w:shd w:val="clear" w:color="auto" w:fill="CCEEFF"/>
          </w:tcPr>
          <w:p>
            <w:pPr>
              <w:spacing w:after="0"/>
              <w:rPr>
                <w:sz w:val="8"/>
                <w:szCs w:val="8"/>
                <w:color w:val="auto"/>
              </w:rPr>
            </w:pPr>
          </w:p>
        </w:tc>
        <w:tc>
          <w:tcPr>
            <w:tcW w:w="2180" w:type="dxa"/>
            <w:vAlign w:val="bottom"/>
            <w:gridSpan w:val="2"/>
            <w:vMerge w:val="continue"/>
            <w:shd w:val="clear" w:color="auto" w:fill="CCEEFF"/>
          </w:tcPr>
          <w:p>
            <w:pPr>
              <w:spacing w:after="0"/>
              <w:rPr>
                <w:sz w:val="8"/>
                <w:szCs w:val="8"/>
                <w:color w:val="auto"/>
              </w:rPr>
            </w:pPr>
          </w:p>
        </w:tc>
        <w:tc>
          <w:tcPr>
            <w:tcW w:w="1620" w:type="dxa"/>
            <w:vAlign w:val="bottom"/>
            <w:vMerge w:val="continue"/>
            <w:shd w:val="clear" w:color="auto" w:fill="CCEEFF"/>
          </w:tcPr>
          <w:p>
            <w:pPr>
              <w:spacing w:after="0"/>
              <w:rPr>
                <w:sz w:val="8"/>
                <w:szCs w:val="8"/>
                <w:color w:val="auto"/>
              </w:rPr>
            </w:pPr>
          </w:p>
        </w:tc>
        <w:tc>
          <w:tcPr>
            <w:tcW w:w="176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2000" w:type="dxa"/>
            <w:vAlign w:val="bottom"/>
            <w:gridSpan w:val="2"/>
            <w:vMerge w:val="continue"/>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7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80" w:type="dxa"/>
            <w:vAlign w:val="bottom"/>
            <w:gridSpan w:val="2"/>
            <w:vMerge w:val="restart"/>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monthly reserves</w:t>
            </w:r>
          </w:p>
        </w:tc>
        <w:tc>
          <w:tcPr>
            <w:tcW w:w="16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three-year basis</w:t>
            </w:r>
          </w:p>
        </w:tc>
        <w:tc>
          <w:tcPr>
            <w:tcW w:w="1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19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7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2180" w:type="dxa"/>
            <w:vAlign w:val="bottom"/>
            <w:gridSpan w:val="2"/>
            <w:vMerge w:val="continue"/>
            <w:shd w:val="clear" w:color="auto" w:fill="CCEEFF"/>
          </w:tcPr>
          <w:p>
            <w:pPr>
              <w:spacing w:after="0"/>
              <w:rPr>
                <w:sz w:val="8"/>
                <w:szCs w:val="8"/>
                <w:color w:val="auto"/>
              </w:rPr>
            </w:pPr>
          </w:p>
        </w:tc>
        <w:tc>
          <w:tcPr>
            <w:tcW w:w="1620" w:type="dxa"/>
            <w:vAlign w:val="bottom"/>
            <w:vMerge w:val="continue"/>
            <w:shd w:val="clear" w:color="auto" w:fill="CCEEFF"/>
          </w:tcPr>
          <w:p>
            <w:pPr>
              <w:spacing w:after="0"/>
              <w:rPr>
                <w:sz w:val="8"/>
                <w:szCs w:val="8"/>
                <w:color w:val="auto"/>
              </w:rPr>
            </w:pPr>
          </w:p>
        </w:tc>
        <w:tc>
          <w:tcPr>
            <w:tcW w:w="17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84"/>
        </w:trPr>
        <w:tc>
          <w:tcPr>
            <w:tcW w:w="2000" w:type="dxa"/>
            <w:vAlign w:val="bottom"/>
            <w:gridSpan w:val="2"/>
          </w:tcPr>
          <w:p>
            <w:pPr>
              <w:ind w:left="20"/>
              <w:spacing w:after="0" w:line="184" w:lineRule="exact"/>
              <w:rPr>
                <w:sz w:val="20"/>
                <w:szCs w:val="20"/>
                <w:color w:val="auto"/>
              </w:rPr>
            </w:pPr>
            <w:r>
              <w:rPr>
                <w:rFonts w:ascii="Times New Roman" w:cs="Times New Roman" w:eastAsia="Times New Roman" w:hAnsi="Times New Roman"/>
                <w:sz w:val="18"/>
                <w:szCs w:val="18"/>
                <w:color w:val="auto"/>
              </w:rPr>
              <w:t>Rolling three-year</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5"/>
              </w:rPr>
              <w:t xml:space="preserve">$286 million </w:t>
            </w:r>
            <w:r>
              <w:rPr>
                <w:rFonts w:ascii="Times New Roman" w:cs="Times New Roman" w:eastAsia="Times New Roman" w:hAnsi="Times New Roman"/>
                <w:sz w:val="23"/>
                <w:szCs w:val="23"/>
                <w:i w:val="1"/>
                <w:iCs w:val="1"/>
                <w:color w:val="auto"/>
                <w:w w:val="95"/>
                <w:vertAlign w:val="superscript"/>
              </w:rPr>
              <w:t>(3)</w:t>
            </w:r>
          </w:p>
        </w:tc>
        <w:tc>
          <w:tcPr>
            <w:tcW w:w="18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w w:val="96"/>
              </w:rPr>
              <w:t xml:space="preserve">$84 million </w:t>
            </w:r>
            <w:r>
              <w:rPr>
                <w:rFonts w:ascii="Times New Roman" w:cs="Times New Roman" w:eastAsia="Times New Roman" w:hAnsi="Times New Roman"/>
                <w:sz w:val="23"/>
                <w:szCs w:val="23"/>
                <w:i w:val="1"/>
                <w:iCs w:val="1"/>
                <w:color w:val="auto"/>
                <w:w w:val="96"/>
                <w:vertAlign w:val="superscript"/>
              </w:rPr>
              <w:t>(3)</w:t>
            </w:r>
          </w:p>
        </w:tc>
        <w:tc>
          <w:tcPr>
            <w:tcW w:w="21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8"/>
                <w:szCs w:val="18"/>
                <w:color w:val="auto"/>
              </w:rPr>
              <w:t>N/A</w:t>
            </w:r>
          </w:p>
        </w:tc>
        <w:tc>
          <w:tcPr>
            <w:tcW w:w="162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180"/>
        </w:trPr>
        <w:tc>
          <w:tcPr>
            <w:tcW w:w="200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color w:val="auto"/>
              </w:rPr>
              <w:t>minimum</w:t>
            </w:r>
          </w:p>
        </w:tc>
        <w:tc>
          <w:tcPr>
            <w:tcW w:w="1840" w:type="dxa"/>
            <w:vAlign w:val="bottom"/>
            <w:gridSpan w:val="2"/>
            <w:vMerge w:val="continue"/>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2180" w:type="dxa"/>
            <w:vAlign w:val="bottom"/>
            <w:gridSpan w:val="2"/>
            <w:vMerge w:val="continue"/>
          </w:tcPr>
          <w:p>
            <w:pPr>
              <w:spacing w:after="0"/>
              <w:rPr>
                <w:sz w:val="15"/>
                <w:szCs w:val="15"/>
                <w:color w:val="auto"/>
              </w:rPr>
            </w:pPr>
          </w:p>
        </w:tc>
        <w:tc>
          <w:tcPr>
            <w:tcW w:w="1620" w:type="dxa"/>
            <w:vAlign w:val="bottom"/>
            <w:vMerge w:val="continue"/>
          </w:tcPr>
          <w:p>
            <w:pPr>
              <w:spacing w:after="0"/>
              <w:rPr>
                <w:sz w:val="15"/>
                <w:szCs w:val="15"/>
                <w:color w:val="auto"/>
              </w:rPr>
            </w:pPr>
          </w:p>
        </w:tc>
        <w:tc>
          <w:tcPr>
            <w:tcW w:w="1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2000" w:type="dxa"/>
            <w:vAlign w:val="bottom"/>
            <w:gridSpan w:val="2"/>
            <w:vMerge w:val="continue"/>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tcPr>
          <w:p>
            <w:pPr>
              <w:spacing w:after="0"/>
              <w:rPr>
                <w:sz w:val="4"/>
                <w:szCs w:val="4"/>
                <w:color w:val="auto"/>
              </w:rPr>
            </w:pPr>
          </w:p>
        </w:tc>
        <w:tc>
          <w:tcPr>
            <w:tcW w:w="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0"/>
        </w:trPr>
        <w:tc>
          <w:tcPr>
            <w:tcW w:w="1900" w:type="dxa"/>
            <w:vAlign w:val="bottom"/>
          </w:tcPr>
          <w:p>
            <w:pPr>
              <w:spacing w:after="0"/>
              <w:rPr>
                <w:sz w:val="20"/>
                <w:szCs w:val="20"/>
                <w:color w:val="auto"/>
              </w:rPr>
            </w:pPr>
            <w:r>
              <w:rPr>
                <w:rFonts w:ascii="Times New Roman" w:cs="Times New Roman" w:eastAsia="Times New Roman" w:hAnsi="Times New Roman"/>
                <w:sz w:val="14"/>
                <w:szCs w:val="14"/>
                <w:color w:val="auto"/>
              </w:rPr>
              <w:t>____________________</w:t>
            </w: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7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ind w:left="220" w:hanging="212"/>
        <w:spacing w:after="0"/>
        <w:tabs>
          <w:tab w:leader="none" w:pos="220"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the tenants under our other gaming lease agreements not specifically outlined in the table, as specified in the respective lease agreements.</w:t>
      </w:r>
    </w:p>
    <w:p>
      <w:pPr>
        <w:spacing w:after="0" w:line="14" w:lineRule="exact"/>
        <w:rPr>
          <w:rFonts w:ascii="Times New Roman" w:cs="Times New Roman" w:eastAsia="Times New Roman" w:hAnsi="Times New Roman"/>
          <w:sz w:val="14"/>
          <w:szCs w:val="14"/>
          <w:i w:val="1"/>
          <w:iCs w:val="1"/>
          <w:color w:val="auto"/>
        </w:rPr>
      </w:pPr>
    </w:p>
    <w:p>
      <w:pPr>
        <w:ind w:right="20" w:firstLine="8"/>
        <w:spacing w:after="0" w:line="254" w:lineRule="auto"/>
        <w:tabs>
          <w:tab w:leader="none" w:pos="205"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leases with Caesars require a $107.5 million floor on annual capital expenditures for Caesars Palace Las Vegas, Harrah’s Joliet and the Caesars Regional Master Lease properties in the aggregate. Additionally, annual building &amp; improvement capital improvements must be equal to or greater than 1% of prior year net revenues.</w:t>
      </w:r>
    </w:p>
    <w:p>
      <w:pPr>
        <w:jc w:val="both"/>
        <w:ind w:firstLine="8"/>
        <w:spacing w:after="0" w:line="267" w:lineRule="auto"/>
        <w:tabs>
          <w:tab w:leader="none" w:pos="214" w:val="left"/>
        </w:tabs>
        <w:numPr>
          <w:ilvl w:val="0"/>
          <w:numId w:val="1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Certain tenants under our leases with Caesars, as applicable, are required to spend $380.3 million on capital expenditures (excluding gaming equipment) over a rolling three-year period, with $286.0 million allocated to the regional assets, $84.0 million allocated to Caesars Palace Las Vegas and the remaining balance of $10.3 million to facilities (other than the Harrah’s Las Vegas Facility) covered by any Caesars lease in such proportion as such tenants may elect. Additionally, the tenants under the Caesars Regional Master Lease and Joliet Lease are required to spend a minimum of $531.9 million on capital expenditures (including gaming equipment) across certain of its affiliates and other assets, together with the $380.3 million requirement.</w:t>
      </w: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Investments in Loans and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is a summary of our investments in loans and securities as of September 30, 2025 and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4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i w:val="1"/>
                <w:iCs w:val="1"/>
                <w:color w:val="auto"/>
                <w:vertAlign w:val="superscript"/>
              </w:rPr>
              <w:t>(1)</w:t>
            </w: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Commitments </w:t>
            </w:r>
            <w:r>
              <w:rPr>
                <w:rFonts w:ascii="Times New Roman" w:cs="Times New Roman" w:eastAsia="Times New Roman" w:hAnsi="Times New Roman"/>
                <w:sz w:val="21"/>
                <w:szCs w:val="21"/>
                <w:b w:val="1"/>
                <w:bCs w:val="1"/>
                <w:i w:val="1"/>
                <w:iCs w:val="1"/>
                <w:color w:val="auto"/>
                <w:w w:val="97"/>
                <w:vertAlign w:val="superscript"/>
              </w:rPr>
              <w:t>(2)</w:t>
            </w:r>
          </w:p>
        </w:tc>
        <w:tc>
          <w:tcPr>
            <w:tcW w:w="190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Interest Rate </w:t>
            </w:r>
            <w:r>
              <w:rPr>
                <w:rFonts w:ascii="Times New Roman" w:cs="Times New Roman" w:eastAsia="Times New Roman" w:hAnsi="Times New Roman"/>
                <w:sz w:val="21"/>
                <w:szCs w:val="21"/>
                <w:b w:val="1"/>
                <w:bCs w:val="1"/>
                <w:i w:val="1"/>
                <w:iCs w:val="1"/>
                <w:color w:val="auto"/>
                <w:w w:val="98"/>
                <w:vertAlign w:val="superscript"/>
              </w:rPr>
              <w:t>(3)</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(4)</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Senior Secured Notes </w:t>
            </w:r>
            <w:r>
              <w:rPr>
                <w:rFonts w:ascii="Times New Roman" w:cs="Times New Roman" w:eastAsia="Times New Roman" w:hAnsi="Times New Roman"/>
                <w:sz w:val="23"/>
                <w:szCs w:val="23"/>
                <w:i w:val="1"/>
                <w:iCs w:val="1"/>
                <w:color w:val="auto"/>
                <w:vertAlign w:val="superscript"/>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83,938</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81,359</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5.5 years</w:t>
            </w:r>
          </w:p>
        </w:tc>
        <w:tc>
          <w:tcPr>
            <w:tcW w:w="0" w:type="dxa"/>
            <w:vAlign w:val="bottom"/>
          </w:tcPr>
          <w:p>
            <w:pPr>
              <w:spacing w:after="0"/>
              <w:rPr>
                <w:sz w:val="1"/>
                <w:szCs w:val="1"/>
                <w:color w:val="auto"/>
              </w:rPr>
            </w:pPr>
          </w:p>
        </w:tc>
      </w:tr>
      <w:tr>
        <w:trPr>
          <w:trHeight w:val="23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992,675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973,550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503,103</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8.2 %</w:t>
            </w:r>
          </w:p>
        </w:tc>
        <w:tc>
          <w:tcPr>
            <w:tcW w:w="100" w:type="dxa"/>
            <w:vAlign w:val="bottom"/>
          </w:tcPr>
          <w:p>
            <w:pPr>
              <w:spacing w:after="0"/>
              <w:rPr>
                <w:sz w:val="19"/>
                <w:szCs w:val="19"/>
                <w:color w:val="auto"/>
              </w:rPr>
            </w:pPr>
          </w:p>
        </w:tc>
        <w:tc>
          <w:tcPr>
            <w:tcW w:w="16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4.6 years</w:t>
            </w:r>
          </w:p>
        </w:tc>
        <w:tc>
          <w:tcPr>
            <w:tcW w:w="0" w:type="dxa"/>
            <w:vAlign w:val="bottom"/>
          </w:tcPr>
          <w:p>
            <w:pPr>
              <w:spacing w:after="0"/>
              <w:rPr>
                <w:sz w:val="1"/>
                <w:szCs w:val="1"/>
                <w:color w:val="auto"/>
              </w:rPr>
            </w:pPr>
          </w:p>
        </w:tc>
      </w:tr>
      <w:tr>
        <w:trPr>
          <w:trHeight w:val="175"/>
        </w:trPr>
        <w:tc>
          <w:tcPr>
            <w:tcW w:w="2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Mezzanine Loans and Preferred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1,394,592</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1,378,090</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227,450</w:t>
            </w:r>
          </w:p>
        </w:tc>
        <w:tc>
          <w:tcPr>
            <w:tcW w:w="100" w:type="dxa"/>
            <w:vAlign w:val="bottom"/>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9.9 %</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2.7 years</w:t>
            </w:r>
          </w:p>
        </w:tc>
        <w:tc>
          <w:tcPr>
            <w:tcW w:w="0" w:type="dxa"/>
            <w:vAlign w:val="bottom"/>
          </w:tcPr>
          <w:p>
            <w:pPr>
              <w:spacing w:after="0"/>
              <w:rPr>
                <w:sz w:val="1"/>
                <w:szCs w:val="1"/>
                <w:color w:val="auto"/>
              </w:rPr>
            </w:pPr>
          </w:p>
        </w:tc>
      </w:tr>
      <w:tr>
        <w:trPr>
          <w:trHeight w:val="22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2,471,205</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730,553</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3.6 years</w:t>
            </w:r>
          </w:p>
        </w:tc>
        <w:tc>
          <w:tcPr>
            <w:tcW w:w="0" w:type="dxa"/>
            <w:vAlign w:val="bottom"/>
          </w:tcPr>
          <w:p>
            <w:pPr>
              <w:spacing w:after="0"/>
              <w:rPr>
                <w:sz w:val="1"/>
                <w:szCs w:val="1"/>
                <w:color w:val="auto"/>
              </w:rPr>
            </w:pPr>
          </w:p>
        </w:tc>
      </w:tr>
      <w:tr>
        <w:trPr>
          <w:trHeight w:val="20"/>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90"/>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 In thousands)</w:t>
            </w:r>
          </w:p>
        </w:tc>
        <w:tc>
          <w:tcPr>
            <w:tcW w:w="16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440" w:type="dxa"/>
            <w:vAlign w:val="bottom"/>
            <w:gridSpan w:val="2"/>
            <w:vMerge w:val="restart"/>
          </w:tcPr>
          <w:p>
            <w:pPr>
              <w:ind w:left="6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60" w:type="dxa"/>
            <w:vAlign w:val="bottom"/>
          </w:tcPr>
          <w:p>
            <w:pPr>
              <w:spacing w:after="0"/>
              <w:rPr>
                <w:sz w:val="13"/>
                <w:szCs w:val="13"/>
                <w:color w:val="auto"/>
              </w:rPr>
            </w:pPr>
          </w:p>
        </w:tc>
        <w:tc>
          <w:tcPr>
            <w:tcW w:w="158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Balance</w:t>
            </w:r>
          </w:p>
        </w:tc>
        <w:tc>
          <w:tcPr>
            <w:tcW w:w="160" w:type="dxa"/>
            <w:vAlign w:val="bottom"/>
          </w:tcPr>
          <w:p>
            <w:pPr>
              <w:spacing w:after="0"/>
              <w:rPr>
                <w:sz w:val="13"/>
                <w:szCs w:val="13"/>
                <w:color w:val="auto"/>
              </w:rPr>
            </w:pPr>
          </w:p>
        </w:tc>
        <w:tc>
          <w:tcPr>
            <w:tcW w:w="16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 xml:space="preserve">Carrying Value </w:t>
            </w:r>
            <w:r>
              <w:rPr>
                <w:rFonts w:ascii="Times New Roman" w:cs="Times New Roman" w:eastAsia="Times New Roman" w:hAnsi="Times New Roman"/>
                <w:sz w:val="21"/>
                <w:szCs w:val="21"/>
                <w:b w:val="1"/>
                <w:bCs w:val="1"/>
                <w:i w:val="1"/>
                <w:iCs w:val="1"/>
                <w:color w:val="auto"/>
                <w:vertAlign w:val="superscript"/>
              </w:rPr>
              <w:t>(1)</w:t>
            </w:r>
          </w:p>
        </w:tc>
        <w:tc>
          <w:tcPr>
            <w:tcW w:w="160" w:type="dxa"/>
            <w:vAlign w:val="bottom"/>
          </w:tcPr>
          <w:p>
            <w:pPr>
              <w:spacing w:after="0"/>
              <w:rPr>
                <w:sz w:val="13"/>
                <w:szCs w:val="13"/>
                <w:color w:val="auto"/>
              </w:rPr>
            </w:pPr>
          </w:p>
        </w:tc>
        <w:tc>
          <w:tcPr>
            <w:tcW w:w="1600" w:type="dxa"/>
            <w:vAlign w:val="bottom"/>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Future Funding</w:t>
            </w:r>
          </w:p>
        </w:tc>
        <w:tc>
          <w:tcPr>
            <w:tcW w:w="1900" w:type="dxa"/>
            <w:vAlign w:val="bottom"/>
            <w:gridSpan w:val="2"/>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64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0" w:type="dxa"/>
            <w:vAlign w:val="bottom"/>
          </w:tcPr>
          <w:p>
            <w:pPr>
              <w:spacing w:after="0"/>
              <w:rPr>
                <w:sz w:val="1"/>
                <w:szCs w:val="1"/>
                <w:color w:val="auto"/>
              </w:rPr>
            </w:pPr>
          </w:p>
        </w:tc>
      </w:tr>
      <w:tr>
        <w:trPr>
          <w:trHeight w:val="216"/>
        </w:trPr>
        <w:tc>
          <w:tcPr>
            <w:tcW w:w="244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gridSpan w:val="2"/>
          </w:tcPr>
          <w:p>
            <w:pPr>
              <w:jc w:val="center"/>
              <w:ind w:right="260"/>
              <w:spacing w:after="0" w:line="216" w:lineRule="exact"/>
              <w:rPr>
                <w:sz w:val="20"/>
                <w:szCs w:val="20"/>
                <w:color w:val="auto"/>
              </w:rPr>
            </w:pPr>
            <w:r>
              <w:rPr>
                <w:rFonts w:ascii="Times New Roman" w:cs="Times New Roman" w:eastAsia="Times New Roman" w:hAnsi="Times New Roman"/>
                <w:sz w:val="16"/>
                <w:szCs w:val="16"/>
                <w:b w:val="1"/>
                <w:bCs w:val="1"/>
                <w:color w:val="auto"/>
                <w:w w:val="97"/>
              </w:rPr>
              <w:t xml:space="preserve">Commitments </w:t>
            </w:r>
            <w:r>
              <w:rPr>
                <w:rFonts w:ascii="Times New Roman" w:cs="Times New Roman" w:eastAsia="Times New Roman" w:hAnsi="Times New Roman"/>
                <w:sz w:val="21"/>
                <w:szCs w:val="21"/>
                <w:b w:val="1"/>
                <w:bCs w:val="1"/>
                <w:i w:val="1"/>
                <w:iCs w:val="1"/>
                <w:color w:val="auto"/>
                <w:w w:val="97"/>
                <w:vertAlign w:val="superscript"/>
              </w:rPr>
              <w:t>(2)</w:t>
            </w:r>
          </w:p>
        </w:tc>
        <w:tc>
          <w:tcPr>
            <w:tcW w:w="1900" w:type="dxa"/>
            <w:vAlign w:val="bottom"/>
            <w:gridSpan w:val="2"/>
          </w:tcPr>
          <w:p>
            <w:pPr>
              <w:jc w:val="center"/>
              <w:ind w:right="100"/>
              <w:spacing w:after="0" w:line="216" w:lineRule="exact"/>
              <w:rPr>
                <w:sz w:val="20"/>
                <w:szCs w:val="20"/>
                <w:color w:val="auto"/>
              </w:rPr>
            </w:pPr>
            <w:r>
              <w:rPr>
                <w:rFonts w:ascii="Times New Roman" w:cs="Times New Roman" w:eastAsia="Times New Roman" w:hAnsi="Times New Roman"/>
                <w:sz w:val="16"/>
                <w:szCs w:val="16"/>
                <w:b w:val="1"/>
                <w:bCs w:val="1"/>
                <w:color w:val="auto"/>
                <w:w w:val="98"/>
              </w:rPr>
              <w:t xml:space="preserve">Interest Rate </w:t>
            </w:r>
            <w:r>
              <w:rPr>
                <w:rFonts w:ascii="Times New Roman" w:cs="Times New Roman" w:eastAsia="Times New Roman" w:hAnsi="Times New Roman"/>
                <w:sz w:val="21"/>
                <w:szCs w:val="21"/>
                <w:b w:val="1"/>
                <w:bCs w:val="1"/>
                <w:i w:val="1"/>
                <w:iCs w:val="1"/>
                <w:color w:val="auto"/>
                <w:w w:val="98"/>
                <w:vertAlign w:val="superscript"/>
              </w:rPr>
              <w:t>(3)</w:t>
            </w:r>
          </w:p>
        </w:tc>
        <w:tc>
          <w:tcPr>
            <w:tcW w:w="1640" w:type="dxa"/>
            <w:vAlign w:val="bottom"/>
          </w:tcPr>
          <w:p>
            <w:pPr>
              <w:jc w:val="center"/>
              <w:spacing w:after="0" w:line="216" w:lineRule="exact"/>
              <w:rPr>
                <w:sz w:val="20"/>
                <w:szCs w:val="20"/>
                <w:color w:val="auto"/>
              </w:rPr>
            </w:pPr>
            <w:r>
              <w:rPr>
                <w:rFonts w:ascii="Times New Roman" w:cs="Times New Roman" w:eastAsia="Times New Roman" w:hAnsi="Times New Roman"/>
                <w:sz w:val="16"/>
                <w:szCs w:val="16"/>
                <w:b w:val="1"/>
                <w:bCs w:val="1"/>
                <w:color w:val="auto"/>
                <w:w w:val="92"/>
              </w:rPr>
              <w:t xml:space="preserve">Term </w:t>
            </w:r>
            <w:r>
              <w:rPr>
                <w:rFonts w:ascii="Times New Roman" w:cs="Times New Roman" w:eastAsia="Times New Roman" w:hAnsi="Times New Roman"/>
                <w:sz w:val="21"/>
                <w:szCs w:val="21"/>
                <w:b w:val="1"/>
                <w:bCs w:val="1"/>
                <w:i w:val="1"/>
                <w:iCs w:val="1"/>
                <w:color w:val="auto"/>
                <w:w w:val="92"/>
                <w:vertAlign w:val="superscript"/>
              </w:rPr>
              <w:t>(4)</w:t>
            </w:r>
          </w:p>
        </w:tc>
        <w:tc>
          <w:tcPr>
            <w:tcW w:w="0" w:type="dxa"/>
            <w:vAlign w:val="bottom"/>
          </w:tcPr>
          <w:p>
            <w:pPr>
              <w:spacing w:after="0"/>
              <w:rPr>
                <w:sz w:val="1"/>
                <w:szCs w:val="1"/>
                <w:color w:val="auto"/>
              </w:rPr>
            </w:pPr>
          </w:p>
        </w:tc>
      </w:tr>
      <w:tr>
        <w:trPr>
          <w:trHeight w:val="223"/>
        </w:trPr>
        <w:tc>
          <w:tcPr>
            <w:tcW w:w="2340" w:type="dxa"/>
            <w:vAlign w:val="bottom"/>
            <w:tcBorders>
              <w:top w:val="single" w:sz="8" w:color="auto"/>
            </w:tcBorders>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Senior Secured Notes </w:t>
            </w:r>
            <w:r>
              <w:rPr>
                <w:rFonts w:ascii="Times New Roman" w:cs="Times New Roman" w:eastAsia="Times New Roman" w:hAnsi="Times New Roman"/>
                <w:sz w:val="23"/>
                <w:szCs w:val="23"/>
                <w:i w:val="1"/>
                <w:iCs w:val="1"/>
                <w:color w:val="auto"/>
                <w:vertAlign w:val="superscript"/>
              </w:rPr>
              <w:t>(5)</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85,000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81,857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1640" w:type="dxa"/>
            <w:vAlign w:val="bottom"/>
            <w:tcBorders>
              <w:top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6.3 years</w:t>
            </w:r>
          </w:p>
        </w:tc>
        <w:tc>
          <w:tcPr>
            <w:tcW w:w="0" w:type="dxa"/>
            <w:vAlign w:val="bottom"/>
          </w:tcPr>
          <w:p>
            <w:pPr>
              <w:spacing w:after="0"/>
              <w:rPr>
                <w:sz w:val="1"/>
                <w:szCs w:val="1"/>
                <w:color w:val="auto"/>
              </w:rPr>
            </w:pPr>
          </w:p>
        </w:tc>
      </w:tr>
      <w:tr>
        <w:trPr>
          <w:trHeight w:val="229"/>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Senior Secured Loans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684,686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674,200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308,776</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8.0 %</w:t>
            </w:r>
          </w:p>
        </w:tc>
        <w:tc>
          <w:tcPr>
            <w:tcW w:w="100" w:type="dxa"/>
            <w:vAlign w:val="bottom"/>
          </w:tcPr>
          <w:p>
            <w:pPr>
              <w:spacing w:after="0"/>
              <w:rPr>
                <w:sz w:val="19"/>
                <w:szCs w:val="19"/>
                <w:color w:val="auto"/>
              </w:rPr>
            </w:pPr>
          </w:p>
        </w:tc>
        <w:tc>
          <w:tcPr>
            <w:tcW w:w="1640" w:type="dxa"/>
            <w:vAlign w:val="bottom"/>
          </w:tcPr>
          <w:p>
            <w:pPr>
              <w:ind w:left="980"/>
              <w:spacing w:after="0"/>
              <w:rPr>
                <w:sz w:val="20"/>
                <w:szCs w:val="20"/>
                <w:color w:val="auto"/>
              </w:rPr>
            </w:pPr>
            <w:r>
              <w:rPr>
                <w:rFonts w:ascii="Times New Roman" w:cs="Times New Roman" w:eastAsia="Times New Roman" w:hAnsi="Times New Roman"/>
                <w:sz w:val="18"/>
                <w:szCs w:val="18"/>
                <w:color w:val="auto"/>
                <w:w w:val="98"/>
              </w:rPr>
              <w:t>4.7 years</w:t>
            </w:r>
          </w:p>
        </w:tc>
        <w:tc>
          <w:tcPr>
            <w:tcW w:w="0" w:type="dxa"/>
            <w:vAlign w:val="bottom"/>
          </w:tcPr>
          <w:p>
            <w:pPr>
              <w:spacing w:after="0"/>
              <w:rPr>
                <w:sz w:val="1"/>
                <w:szCs w:val="1"/>
                <w:color w:val="auto"/>
              </w:rPr>
            </w:pPr>
          </w:p>
        </w:tc>
      </w:tr>
      <w:tr>
        <w:trPr>
          <w:trHeight w:val="176"/>
        </w:trPr>
        <w:tc>
          <w:tcPr>
            <w:tcW w:w="24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Mezzanine Loans and Preferred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w:t>
            </w:r>
          </w:p>
        </w:tc>
        <w:tc>
          <w:tcPr>
            <w:tcW w:w="1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908,461</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895,476</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239,748</w:t>
            </w:r>
          </w:p>
        </w:tc>
        <w:tc>
          <w:tcPr>
            <w:tcW w:w="100" w:type="dxa"/>
            <w:vAlign w:val="bottom"/>
            <w:shd w:val="clear" w:color="auto" w:fill="CCEEFF"/>
          </w:tcPr>
          <w:p>
            <w:pPr>
              <w:spacing w:after="0"/>
              <w:rPr>
                <w:sz w:val="21"/>
                <w:szCs w:val="21"/>
                <w:color w:val="auto"/>
              </w:rPr>
            </w:pP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shd w:val="clear" w:color="auto" w:fill="CCEEFF"/>
          </w:tcPr>
          <w:p>
            <w:pPr>
              <w:spacing w:after="0"/>
              <w:rPr>
                <w:sz w:val="21"/>
                <w:szCs w:val="21"/>
                <w:color w:val="auto"/>
              </w:rPr>
            </w:pPr>
          </w:p>
        </w:tc>
        <w:tc>
          <w:tcPr>
            <w:tcW w:w="1640" w:type="dxa"/>
            <w:vAlign w:val="bottom"/>
            <w:tcBorders>
              <w:bottom w:val="single" w:sz="8" w:color="auto"/>
            </w:tcBorders>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w w:val="98"/>
              </w:rPr>
              <w:t>4.1 years</w:t>
            </w:r>
          </w:p>
        </w:tc>
        <w:tc>
          <w:tcPr>
            <w:tcW w:w="0" w:type="dxa"/>
            <w:vAlign w:val="bottom"/>
          </w:tcPr>
          <w:p>
            <w:pPr>
              <w:spacing w:after="0"/>
              <w:rPr>
                <w:sz w:val="1"/>
                <w:szCs w:val="1"/>
                <w:color w:val="auto"/>
              </w:rPr>
            </w:pPr>
          </w:p>
        </w:tc>
      </w:tr>
      <w:tr>
        <w:trPr>
          <w:trHeight w:val="223"/>
        </w:trPr>
        <w:tc>
          <w:tcPr>
            <w:tcW w:w="24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1,678,147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548,524</w:t>
            </w:r>
          </w:p>
        </w:tc>
        <w:tc>
          <w:tcPr>
            <w:tcW w:w="100" w:type="dxa"/>
            <w:vAlign w:val="bottom"/>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8.8 %</w:t>
            </w:r>
          </w:p>
        </w:tc>
        <w:tc>
          <w:tcPr>
            <w:tcW w:w="100" w:type="dxa"/>
            <w:vAlign w:val="bottom"/>
          </w:tcPr>
          <w:p>
            <w:pPr>
              <w:spacing w:after="0"/>
              <w:rPr>
                <w:sz w:val="19"/>
                <w:szCs w:val="19"/>
                <w:color w:val="auto"/>
              </w:rPr>
            </w:pPr>
          </w:p>
        </w:tc>
        <w:tc>
          <w:tcPr>
            <w:tcW w:w="1640" w:type="dxa"/>
            <w:vAlign w:val="bottom"/>
            <w:tcBorders>
              <w:bottom w:val="single" w:sz="8" w:color="auto"/>
            </w:tcBorders>
          </w:tcPr>
          <w:p>
            <w:pPr>
              <w:ind w:left="980"/>
              <w:spacing w:after="0"/>
              <w:rPr>
                <w:sz w:val="20"/>
                <w:szCs w:val="20"/>
                <w:color w:val="auto"/>
              </w:rPr>
            </w:pPr>
            <w:r>
              <w:rPr>
                <w:rFonts w:ascii="Times New Roman" w:cs="Times New Roman" w:eastAsia="Times New Roman" w:hAnsi="Times New Roman"/>
                <w:sz w:val="18"/>
                <w:szCs w:val="18"/>
                <w:color w:val="auto"/>
                <w:w w:val="98"/>
              </w:rPr>
              <w:t>4.4 years</w:t>
            </w:r>
          </w:p>
        </w:tc>
        <w:tc>
          <w:tcPr>
            <w:tcW w:w="0" w:type="dxa"/>
            <w:vAlign w:val="bottom"/>
          </w:tcPr>
          <w:p>
            <w:pPr>
              <w:spacing w:after="0"/>
              <w:rPr>
                <w:sz w:val="1"/>
                <w:szCs w:val="1"/>
                <w:color w:val="auto"/>
              </w:rPr>
            </w:pPr>
          </w:p>
        </w:tc>
      </w:tr>
      <w:tr>
        <w:trPr>
          <w:trHeight w:val="21"/>
        </w:trPr>
        <w:tc>
          <w:tcPr>
            <w:tcW w:w="2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includes unamortized loan origination costs and are net of allowance for credit losses.</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Our future funding commitments are subject to our borrowers’ compliance with the financial covenants and other applicable provisions of each respective loan agreement.</w:t>
      </w:r>
    </w:p>
    <w:p>
      <w:pPr>
        <w:spacing w:after="0" w:line="4"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weighted average interest rate is based on current outstanding principal balance and SOFR, as applicable for floating rate loans, as of September 30, 2025 and December 31, 2024.</w:t>
      </w:r>
    </w:p>
    <w:p>
      <w:pPr>
        <w:spacing w:after="0" w:line="11"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all extension options are exercised; however, our loans may be repaid, subject to certain conditions, prior to such date.</w:t>
      </w:r>
    </w:p>
    <w:p>
      <w:pPr>
        <w:spacing w:after="0" w:line="4"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1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investment in the Hard Rock Ottawa Notes, which are accounted for as held-to-maturity securities.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the activity of our investments in loans and securities for the nine months ended September 30, 2025 and 2024:</w:t>
      </w:r>
    </w:p>
    <w:p>
      <w:pPr>
        <w:spacing w:after="0" w:line="214" w:lineRule="exact"/>
        <w:rPr>
          <w:sz w:val="20"/>
          <w:szCs w:val="20"/>
          <w:color w:val="auto"/>
        </w:rPr>
      </w:pPr>
    </w:p>
    <w:p>
      <w:pPr>
        <w:ind w:left="79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60" w:type="dxa"/>
            <w:vAlign w:val="bottom"/>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right"/>
              <w:ind w:right="771"/>
              <w:spacing w:after="0" w:line="161"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4"/>
                <w:szCs w:val="14"/>
                <w:color w:val="auto"/>
              </w:rPr>
            </w:pPr>
          </w:p>
        </w:tc>
        <w:tc>
          <w:tcPr>
            <w:tcW w:w="480" w:type="dxa"/>
            <w:vAlign w:val="bottom"/>
            <w:tcBorders>
              <w:top w:val="single" w:sz="8" w:color="auto"/>
            </w:tcBorders>
          </w:tcPr>
          <w:p>
            <w:pPr>
              <w:spacing w:after="0"/>
              <w:rPr>
                <w:sz w:val="14"/>
                <w:szCs w:val="14"/>
                <w:color w:val="auto"/>
              </w:rPr>
            </w:pPr>
          </w:p>
        </w:tc>
        <w:tc>
          <w:tcPr>
            <w:tcW w:w="1540" w:type="dxa"/>
            <w:vAlign w:val="bottom"/>
            <w:tcBorders>
              <w:top w:val="single" w:sz="8" w:color="auto"/>
            </w:tcBorders>
          </w:tcPr>
          <w:p>
            <w:pPr>
              <w:jc w:val="right"/>
              <w:ind w:right="751"/>
              <w:spacing w:after="0" w:line="161" w:lineRule="exact"/>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2940" w:type="dxa"/>
            <w:vAlign w:val="bottom"/>
            <w:tcBorders>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32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1,144,177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Principal fundings</w:t>
            </w:r>
          </w:p>
        </w:tc>
        <w:tc>
          <w:tcPr>
            <w:tcW w:w="3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783,604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473,198</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Payment-in-kind interest</w:t>
            </w:r>
          </w:p>
        </w:tc>
        <w:tc>
          <w:tcPr>
            <w:tcW w:w="3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23,831</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Repayments</w:t>
            </w:r>
          </w:p>
        </w:tc>
        <w:tc>
          <w:tcPr>
            <w:tcW w:w="3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(79,500)</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CECL allowance</w:t>
            </w:r>
          </w:p>
        </w:tc>
        <w:tc>
          <w:tcPr>
            <w:tcW w:w="32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(14,045)</w:t>
            </w:r>
          </w:p>
        </w:tc>
        <w:tc>
          <w:tcPr>
            <w:tcW w:w="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8,019</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382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326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3,973</w:t>
            </w:r>
          </w:p>
        </w:tc>
        <w:tc>
          <w:tcPr>
            <w:tcW w:w="8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4,786</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38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Ending Balance September 30,</w:t>
            </w:r>
          </w:p>
        </w:tc>
        <w:tc>
          <w:tcPr>
            <w:tcW w:w="326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1,550,680</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bottom w:val="single" w:sz="8" w:color="CCEEFF"/>
            </w:tcBorders>
            <w:vMerge w:val="restart"/>
          </w:tcPr>
          <w:p>
            <w:pPr>
              <w:jc w:val="right"/>
              <w:ind w:right="1290"/>
              <w:spacing w:after="0"/>
              <w:rPr>
                <w:sz w:val="20"/>
                <w:szCs w:val="20"/>
                <w:color w:val="auto"/>
              </w:rPr>
            </w:pPr>
            <w:r>
              <w:rPr>
                <w:rFonts w:ascii="Times New Roman" w:cs="Times New Roman" w:eastAsia="Times New Roman" w:hAnsi="Times New Roman"/>
                <w:sz w:val="18"/>
                <w:szCs w:val="18"/>
                <w:color w:val="auto"/>
              </w:rPr>
              <w:t>27</w:t>
            </w: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9"/>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3260" w:type="dxa"/>
            <w:vAlign w:val="bottom"/>
            <w:vMerge w:val="continue"/>
          </w:tcPr>
          <w:p>
            <w:pPr>
              <w:spacing w:after="0"/>
              <w:rPr>
                <w:sz w:val="24"/>
                <w:szCs w:val="24"/>
                <w:color w:val="auto"/>
              </w:rPr>
            </w:pPr>
          </w:p>
        </w:tc>
        <w:tc>
          <w:tcPr>
            <w:tcW w:w="4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940" w:type="dxa"/>
            <w:vAlign w:val="bottom"/>
            <w:tcBorders>
              <w:bottom w:val="single" w:sz="8" w:color="9A9A9A"/>
            </w:tcBorders>
          </w:tcPr>
          <w:p>
            <w:pPr>
              <w:spacing w:after="0"/>
              <w:rPr>
                <w:sz w:val="10"/>
                <w:szCs w:val="10"/>
                <w:color w:val="auto"/>
              </w:rPr>
            </w:pPr>
          </w:p>
        </w:tc>
        <w:tc>
          <w:tcPr>
            <w:tcW w:w="326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5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5 — Allowance for Credit Losses</w:t>
      </w:r>
    </w:p>
    <w:p>
      <w:pPr>
        <w:spacing w:after="0" w:line="16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Under ASC 326, we are required to estimate and record a non-cash allowance for current expected credit losses, or CECL allowance, related to our historical and any future investments in sales-type leases, lease financing receivables, loans and securities classified as held-to-maturity.</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the allowance for credit losses as of September 30, 2025 and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8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Allowance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24,565,707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(802,091)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23,763,616</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19,390,805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(750,732)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18,640,073</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3.87 %</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2,472,048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(39,049)</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862,469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(20,372)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842,097</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47,291,029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(1,612,244)</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45,678,785</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1"/>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5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Amortized Cost</w:t>
            </w:r>
          </w:p>
        </w:tc>
        <w:tc>
          <w:tcPr>
            <w:tcW w:w="260" w:type="dxa"/>
            <w:vAlign w:val="bottom"/>
          </w:tcPr>
          <w:p>
            <w:pPr>
              <w:spacing w:after="0"/>
              <w:rPr>
                <w:sz w:val="13"/>
                <w:szCs w:val="13"/>
                <w:color w:val="auto"/>
              </w:rPr>
            </w:pPr>
          </w:p>
        </w:tc>
        <w:tc>
          <w:tcPr>
            <w:tcW w:w="15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 xml:space="preserve">Allowance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Pr>
          <w:p>
            <w:pPr>
              <w:spacing w:after="0"/>
              <w:rPr>
                <w:sz w:val="13"/>
                <w:szCs w:val="13"/>
                <w:color w:val="auto"/>
              </w:rPr>
            </w:pPr>
          </w:p>
        </w:tc>
        <w:tc>
          <w:tcPr>
            <w:tcW w:w="15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Net Investment</w:t>
            </w:r>
          </w:p>
        </w:tc>
        <w:tc>
          <w:tcPr>
            <w:tcW w:w="1820" w:type="dxa"/>
            <w:vAlign w:val="bottom"/>
          </w:tcPr>
          <w:p>
            <w:pPr>
              <w:jc w:val="center"/>
              <w:spacing w:after="0" w:line="158" w:lineRule="exact"/>
              <w:rPr>
                <w:sz w:val="20"/>
                <w:szCs w:val="20"/>
                <w:color w:val="auto"/>
              </w:rPr>
            </w:pPr>
            <w:r>
              <w:rPr>
                <w:rFonts w:ascii="Times New Roman" w:cs="Times New Roman" w:eastAsia="Times New Roman" w:hAnsi="Times New Roman"/>
                <w:sz w:val="16"/>
                <w:szCs w:val="16"/>
                <w:b w:val="1"/>
                <w:bCs w:val="1"/>
                <w:color w:val="auto"/>
              </w:rPr>
              <w:t>Allowance as a % of</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0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26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560" w:type="dxa"/>
            <w:vAlign w:val="bottom"/>
            <w:gridSpan w:val="2"/>
            <w:vMerge w:val="continue"/>
          </w:tcPr>
          <w:p>
            <w:pPr>
              <w:spacing w:after="0"/>
              <w:rPr>
                <w:sz w:val="14"/>
                <w:szCs w:val="14"/>
                <w:color w:val="auto"/>
              </w:rPr>
            </w:pPr>
          </w:p>
        </w:tc>
        <w:tc>
          <w:tcPr>
            <w:tcW w:w="1820" w:type="dxa"/>
            <w:vAlign w:val="bottom"/>
          </w:tcPr>
          <w:p>
            <w:pPr>
              <w:jc w:val="center"/>
              <w:spacing w:after="0" w:line="142" w:lineRule="exact"/>
              <w:rPr>
                <w:sz w:val="20"/>
                <w:szCs w:val="20"/>
                <w:color w:val="auto"/>
              </w:rPr>
            </w:pPr>
            <w:r>
              <w:rPr>
                <w:rFonts w:ascii="Times New Roman" w:cs="Times New Roman" w:eastAsia="Times New Roman" w:hAnsi="Times New Roman"/>
                <w:sz w:val="16"/>
                <w:szCs w:val="16"/>
                <w:b w:val="1"/>
                <w:bCs w:val="1"/>
                <w:color w:val="auto"/>
              </w:rPr>
              <w:t>Amortized Cost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leases – sales-type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24,383,843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(802,742)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23,581,101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Investments in leases – financing receivables</w:t>
            </w:r>
          </w:p>
        </w:tc>
        <w:tc>
          <w:tcPr>
            <w:tcW w:w="20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19,167,432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(737,112)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3.85 %</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1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loans and securities</w:t>
            </w: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1,676,530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1.49 %</w:t>
            </w:r>
          </w:p>
        </w:tc>
        <w:tc>
          <w:tcPr>
            <w:tcW w:w="0" w:type="dxa"/>
            <w:vAlign w:val="bottom"/>
          </w:tcPr>
          <w:p>
            <w:pPr>
              <w:spacing w:after="0"/>
              <w:rPr>
                <w:sz w:val="1"/>
                <w:szCs w:val="1"/>
                <w:color w:val="auto"/>
              </w:rPr>
            </w:pPr>
          </w:p>
        </w:tc>
      </w:tr>
      <w:tr>
        <w:trPr>
          <w:trHeight w:val="230"/>
        </w:trPr>
        <w:tc>
          <w:tcPr>
            <w:tcW w:w="20" w:type="dxa"/>
            <w:vAlign w:val="bottom"/>
            <w:tcBorders>
              <w:bottom w:val="single" w:sz="8" w:color="CCEEFF"/>
            </w:tcBorders>
          </w:tcPr>
          <w:p>
            <w:pPr>
              <w:spacing w:after="0"/>
              <w:rPr>
                <w:sz w:val="19"/>
                <w:szCs w:val="19"/>
                <w:color w:val="auto"/>
              </w:rPr>
            </w:pPr>
          </w:p>
        </w:tc>
        <w:tc>
          <w:tcPr>
            <w:tcW w:w="410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 assets – sales-type sub-leases</w:t>
            </w:r>
          </w:p>
        </w:tc>
        <w:tc>
          <w:tcPr>
            <w:tcW w:w="2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863,374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(20,598)</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842,776</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2.39 %</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10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46,091,179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(1,585,449)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44,505,730</w:t>
            </w:r>
          </w:p>
        </w:tc>
        <w:tc>
          <w:tcPr>
            <w:tcW w:w="10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3.44 %</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3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2" w:lineRule="exact"/>
        <w:rPr>
          <w:sz w:val="20"/>
          <w:szCs w:val="20"/>
          <w:color w:val="auto"/>
        </w:rPr>
      </w:pPr>
    </w:p>
    <w:p>
      <w:pPr>
        <w:ind w:firstLine="8"/>
        <w:spacing w:after="0" w:line="258" w:lineRule="auto"/>
        <w:tabs>
          <w:tab w:leader="none" w:pos="212" w:val="left"/>
        </w:tabs>
        <w:numPr>
          <w:ilvl w:val="0"/>
          <w:numId w:val="1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total allowance excludes the CECL allowance for unfunded commitments of our loans and for unfunded commitments made to our tenants to fund the development and construction of improvements at our properties. As of September 30, 2025 and December 31, 2024, such allowance is $9.7 million and $9.5 million, respectively, and is recorded in Other liabilities.</w:t>
      </w:r>
    </w:p>
    <w:p>
      <w:pPr>
        <w:spacing w:after="0" w:line="25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chart reflects the roll-forward of the allowance for credit losses on our real estate portfolio for the three and nine months ended September 30, 2025 and 2024:</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Beginning Balance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1,643,241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1,534,515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1,594,931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1,472,386</w:t>
            </w:r>
          </w:p>
        </w:tc>
      </w:tr>
      <w:tr>
        <w:trPr>
          <w:trHeight w:val="229"/>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Initial allowance from current period investments</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8,126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2,914</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period change in credit allowance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(21,314)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18,870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28,193</w:t>
            </w: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Charge-offs</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Recoveries</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Ending Balance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1,621,927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1,503,493</w:t>
            </w:r>
          </w:p>
        </w:tc>
        <w:tc>
          <w:tcPr>
            <w:tcW w:w="10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1,621,927</w:t>
            </w:r>
          </w:p>
        </w:tc>
        <w:tc>
          <w:tcPr>
            <w:tcW w:w="100" w:type="dxa"/>
            <w:vAlign w:val="bottom"/>
          </w:tcPr>
          <w:p>
            <w:pPr>
              <w:spacing w:after="0"/>
              <w:rPr>
                <w:sz w:val="19"/>
                <w:szCs w:val="19"/>
                <w:color w:val="auto"/>
              </w:rPr>
            </w:pPr>
          </w:p>
        </w:tc>
        <w:tc>
          <w:tcPr>
            <w:tcW w:w="480" w:type="dxa"/>
            <w:vAlign w:val="bottom"/>
            <w:tcBorders>
              <w:top w:val="single" w:sz="8" w:color="auto"/>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1,503,493</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6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we recognized a $20.2 million decrease in our allowance for credit losses primarily driven by a decrease in the volatility of the equity market performance of our tenants partially offset by negative changes in the macroeconomic forecast during the current quarter, both of which impact the reasonable and supportable period, or R&amp;S Period, probability of default, or PD.</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nine months ended September 30, 2025, we recognized a $24.8 million increase in our allowance for credit losses primarily driven by the equity market performance of our tenants and negative changes in the macroeconomic forecast during the current period. In addition, we recorded an initial CECL allowance of $8.1 million on our $960.0 million of debt investment activity during the period. The increase was partially offset by standard annual updates to the CECL model used and certain related inputs, which decreased the estimate used for the Long-Term Period PD.</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2024, we recognized a $31.6 million decrease in our allowance for credit losses primarily driven by positive changes in the macroeconomic forecast during the applicable quarter and equity market performance of our tenants. This decrease was partially offset by adjustments made to the assumptions used to project future cash flows for one of our investments.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2024, we recognized a $32.3 million increase in our allowance for credit losses primarily driven by the market performance of our tenants and negative changes in the macroeconomic forecast during the period as well as adjustments made to the assumptions used to project future cash flows for one of our investments.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and December 31, 2024, and since our formation on October 6, 2017, all of our lease agreements and loan and security investments are current in payment of their obligations to us and no investments are on non-accrual status.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Credit Quality Indicators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assess the credit quality of our investments through the credit ratings of the senior secured debt of the guarantors of our leases, as we believe that our lease agreements have a similar credit profile to a senior secured debt instrument. The credit quality indicators are reviewed by us on a quarterly basis as of quarter-end. In instances where the guarantor of one of our lease agreements does not have senior secured debt with a credit rating, we use either a comparable proxy company or the overall corporate credit rating, as applicable. We also use this credit rating to determine the Long-Term Period PD when estimating credit losses for each investment.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tables detail the amortized cost basis and year of origination of our Investments in leases - sales-type and financing receivables, Investments in loans and securities and Other assets by the credit quality indicator we assigned to each lease or loan guarantor as of September 30, 2025 and December 31, 2024:</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6340" w:type="dxa"/>
            <w:vAlign w:val="bottom"/>
            <w:tcBorders>
              <w:bottom w:val="single" w:sz="8" w:color="auto"/>
            </w:tcBorders>
            <w:gridSpan w:val="1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xml:space="preserve">Amortized Cost Basis by Year of Origination as of September 30, 2025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spacing w:after="0"/>
              <w:rPr>
                <w:sz w:val="21"/>
                <w:szCs w:val="21"/>
                <w:color w:val="auto"/>
              </w:rPr>
            </w:pPr>
          </w:p>
        </w:tc>
      </w:tr>
      <w:tr>
        <w:trPr>
          <w:trHeight w:val="155"/>
        </w:trPr>
        <w:tc>
          <w:tcPr>
            <w:tcW w:w="20" w:type="dxa"/>
            <w:vAlign w:val="bottom"/>
          </w:tcPr>
          <w:p>
            <w:pPr>
              <w:spacing w:after="0"/>
              <w:rPr>
                <w:sz w:val="13"/>
                <w:szCs w:val="13"/>
                <w:color w:val="auto"/>
              </w:rPr>
            </w:pPr>
          </w:p>
        </w:tc>
        <w:tc>
          <w:tcPr>
            <w:tcW w:w="2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3"/>
                <w:szCs w:val="13"/>
                <w:color w:val="auto"/>
              </w:rPr>
            </w:pPr>
          </w:p>
        </w:tc>
        <w:tc>
          <w:tcPr>
            <w:tcW w:w="94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31"/>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Prior</w:t>
            </w:r>
          </w:p>
        </w:tc>
        <w:tc>
          <w:tcPr>
            <w:tcW w:w="220" w:type="dxa"/>
            <w:vAlign w:val="bottom"/>
          </w:tcPr>
          <w:p>
            <w:pPr>
              <w:spacing w:after="0"/>
              <w:rPr>
                <w:sz w:val="13"/>
                <w:szCs w:val="13"/>
                <w:color w:val="auto"/>
              </w:rPr>
            </w:pPr>
          </w:p>
        </w:tc>
        <w:tc>
          <w:tcPr>
            <w:tcW w:w="10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4,854,002</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4,854,002</w:t>
            </w:r>
          </w:p>
        </w:tc>
      </w:tr>
      <w:tr>
        <w:trPr>
          <w:trHeight w:val="230"/>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Ba3</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13,041,180</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2,191,905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18,420,044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33,653,129</w:t>
            </w:r>
          </w:p>
        </w:tc>
      </w:tr>
      <w:tr>
        <w:trPr>
          <w:trHeight w:val="230"/>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2,388,638</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926,711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3,315,349</w:t>
            </w:r>
          </w:p>
        </w:tc>
      </w:tr>
      <w:tr>
        <w:trPr>
          <w:trHeight w:val="230"/>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B2</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449,223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449,223</w:t>
            </w:r>
          </w:p>
        </w:tc>
      </w:tr>
      <w:tr>
        <w:trPr>
          <w:trHeight w:val="229"/>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B3</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287,053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891,294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1,479,176</w:t>
            </w:r>
          </w:p>
        </w:tc>
      </w:tr>
      <w:tr>
        <w:trPr>
          <w:trHeight w:val="230"/>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Caa1</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395,709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343,409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739,118</w:t>
            </w:r>
          </w:p>
        </w:tc>
      </w:tr>
      <w:tr>
        <w:trPr>
          <w:trHeight w:val="230"/>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i w:val="1"/>
                <w:iCs w:val="1"/>
                <w:color w:val="auto"/>
                <w:vertAlign w:val="superscript"/>
              </w:rPr>
              <w:t>(2)</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573,099</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348,782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1,080,107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799,044</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2,801,032</w:t>
            </w:r>
          </w:p>
        </w:tc>
      </w:tr>
      <w:tr>
        <w:trPr>
          <w:trHeight w:val="223"/>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573,099</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348,782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2,212,092</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21,383,693</w:t>
            </w:r>
          </w:p>
        </w:tc>
        <w:tc>
          <w:tcPr>
            <w:tcW w:w="8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2,191,905</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20,581,458</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47,291,029</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493"/>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340" w:type="dxa"/>
            <w:vAlign w:val="bottom"/>
            <w:tcBorders>
              <w:bottom w:val="single" w:sz="8" w:color="auto"/>
            </w:tcBorders>
            <w:gridSpan w:val="14"/>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 xml:space="preserve">Amortized Cost Basis by Year of Origination as of December 31, 2024 </w:t>
            </w:r>
            <w:r>
              <w:rPr>
                <w:rFonts w:ascii="Times New Roman" w:cs="Times New Roman" w:eastAsia="Times New Roman" w:hAnsi="Times New Roman"/>
                <w:sz w:val="21"/>
                <w:szCs w:val="21"/>
                <w:b w:val="1"/>
                <w:bCs w:val="1"/>
                <w:i w:val="1"/>
                <w:iCs w:val="1"/>
                <w:color w:val="auto"/>
                <w:vertAlign w:val="superscript"/>
              </w:rPr>
              <w:t>(1)</w:t>
            </w:r>
          </w:p>
        </w:tc>
        <w:tc>
          <w:tcPr>
            <w:tcW w:w="2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80" w:type="dxa"/>
            <w:vAlign w:val="bottom"/>
          </w:tcPr>
          <w:p>
            <w:pPr>
              <w:spacing w:after="0"/>
              <w:rPr>
                <w:sz w:val="13"/>
                <w:szCs w:val="13"/>
                <w:color w:val="auto"/>
              </w:rPr>
            </w:pPr>
          </w:p>
        </w:tc>
        <w:tc>
          <w:tcPr>
            <w:tcW w:w="94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40" w:type="dxa"/>
            <w:vAlign w:val="bottom"/>
          </w:tcPr>
          <w:p>
            <w:pPr>
              <w:jc w:val="right"/>
              <w:ind w:right="352"/>
              <w:spacing w:after="0" w:line="142" w:lineRule="exact"/>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20" w:type="dxa"/>
            <w:vAlign w:val="bottom"/>
          </w:tcPr>
          <w:p>
            <w:pPr>
              <w:jc w:val="center"/>
              <w:ind w:right="131"/>
              <w:spacing w:after="0" w:line="142" w:lineRule="exact"/>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371"/>
              <w:spacing w:after="0" w:line="142" w:lineRule="exact"/>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00" w:type="dxa"/>
            <w:vAlign w:val="bottom"/>
            <w:gridSpan w:val="2"/>
          </w:tcPr>
          <w:p>
            <w:pPr>
              <w:ind w:left="200"/>
              <w:spacing w:after="0" w:line="142" w:lineRule="exact"/>
              <w:rPr>
                <w:sz w:val="20"/>
                <w:szCs w:val="20"/>
                <w:color w:val="auto"/>
              </w:rPr>
            </w:pPr>
            <w:r>
              <w:rPr>
                <w:rFonts w:ascii="Times New Roman" w:cs="Times New Roman" w:eastAsia="Times New Roman" w:hAnsi="Times New Roman"/>
                <w:sz w:val="16"/>
                <w:szCs w:val="16"/>
                <w:b w:val="1"/>
                <w:bCs w:val="1"/>
                <w:color w:val="auto"/>
              </w:rPr>
              <w:t>Prior</w:t>
            </w:r>
          </w:p>
        </w:tc>
        <w:tc>
          <w:tcPr>
            <w:tcW w:w="220" w:type="dxa"/>
            <w:vAlign w:val="bottom"/>
          </w:tcPr>
          <w:p>
            <w:pPr>
              <w:spacing w:after="0"/>
              <w:rPr>
                <w:sz w:val="13"/>
                <w:szCs w:val="13"/>
                <w:color w:val="auto"/>
              </w:rPr>
            </w:pPr>
          </w:p>
        </w:tc>
        <w:tc>
          <w:tcPr>
            <w:tcW w:w="1000" w:type="dxa"/>
            <w:vAlign w:val="bottom"/>
          </w:tcPr>
          <w:p>
            <w:pPr>
              <w:jc w:val="right"/>
              <w:ind w:right="351"/>
              <w:spacing w:after="0" w:line="142" w:lineRule="exact"/>
              <w:rPr>
                <w:sz w:val="20"/>
                <w:szCs w:val="20"/>
                <w:color w:val="auto"/>
              </w:rPr>
            </w:pPr>
            <w:r>
              <w:rPr>
                <w:rFonts w:ascii="Times New Roman" w:cs="Times New Roman" w:eastAsia="Times New Roman" w:hAnsi="Times New Roman"/>
                <w:sz w:val="16"/>
                <w:szCs w:val="16"/>
                <w:b w:val="1"/>
                <w:bCs w:val="1"/>
                <w:color w:val="auto"/>
              </w:rPr>
              <w:t>Total</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Ba2</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4,795,479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4,795,479</w:t>
            </w:r>
          </w:p>
        </w:tc>
      </w:tr>
      <w:tr>
        <w:trPr>
          <w:trHeight w:val="230"/>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Ba3</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12,882,102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2,182,313</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5,667,136</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12,634,167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33,365,718</w:t>
            </w:r>
          </w:p>
        </w:tc>
      </w:tr>
      <w:tr>
        <w:trPr>
          <w:trHeight w:val="230"/>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B1</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2,359,188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924,344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3,283,532</w:t>
            </w:r>
          </w:p>
        </w:tc>
      </w:tr>
      <w:tr>
        <w:trPr>
          <w:trHeight w:val="229"/>
        </w:trPr>
        <w:tc>
          <w:tcPr>
            <w:tcW w:w="20" w:type="dxa"/>
            <w:vAlign w:val="bottom"/>
          </w:tcPr>
          <w:p>
            <w:pPr>
              <w:spacing w:after="0"/>
              <w:rPr>
                <w:sz w:val="19"/>
                <w:szCs w:val="19"/>
                <w:color w:val="auto"/>
              </w:rPr>
            </w:pPr>
          </w:p>
        </w:tc>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B2</w:t>
            </w:r>
          </w:p>
        </w:tc>
        <w:tc>
          <w:tcPr>
            <w:tcW w:w="2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447,554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887,545</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1,335,099</w:t>
            </w:r>
          </w:p>
        </w:tc>
      </w:tr>
      <w:tr>
        <w:trPr>
          <w:trHeight w:val="230"/>
        </w:trPr>
        <w:tc>
          <w:tcPr>
            <w:tcW w:w="20" w:type="dxa"/>
            <w:vAlign w:val="bottom"/>
            <w:shd w:val="clear" w:color="auto" w:fill="CCEEFF"/>
          </w:tcPr>
          <w:p>
            <w:pPr>
              <w:spacing w:after="0"/>
              <w:rPr>
                <w:sz w:val="19"/>
                <w:szCs w:val="19"/>
                <w:color w:val="auto"/>
              </w:rPr>
            </w:pPr>
          </w:p>
        </w:tc>
        <w:tc>
          <w:tcPr>
            <w:tcW w:w="2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B3</w:t>
            </w:r>
          </w:p>
        </w:tc>
        <w:tc>
          <w:tcPr>
            <w:tcW w:w="28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667,922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299,859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1,309,207</w:t>
            </w:r>
          </w:p>
        </w:tc>
      </w:tr>
      <w:tr>
        <w:trPr>
          <w:trHeight w:val="230"/>
        </w:trPr>
        <w:tc>
          <w:tcPr>
            <w:tcW w:w="20" w:type="dxa"/>
            <w:vAlign w:val="bottom"/>
          </w:tcPr>
          <w:p>
            <w:pPr>
              <w:spacing w:after="0"/>
              <w:rPr>
                <w:sz w:val="19"/>
                <w:szCs w:val="19"/>
                <w:color w:val="auto"/>
              </w:rPr>
            </w:pPr>
          </w:p>
        </w:tc>
        <w:tc>
          <w:tcPr>
            <w:tcW w:w="20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N/A </w:t>
            </w:r>
            <w:r>
              <w:rPr>
                <w:rFonts w:ascii="Times New Roman" w:cs="Times New Roman" w:eastAsia="Times New Roman" w:hAnsi="Times New Roman"/>
                <w:sz w:val="23"/>
                <w:szCs w:val="23"/>
                <w:i w:val="1"/>
                <w:iCs w:val="1"/>
                <w:color w:val="auto"/>
                <w:vertAlign w:val="superscript"/>
              </w:rPr>
              <w:t>(2)</w:t>
            </w: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313,761</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987,422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700,961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2,002,144</w:t>
            </w:r>
          </w:p>
        </w:tc>
      </w:tr>
      <w:tr>
        <w:trPr>
          <w:trHeight w:val="248"/>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8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313,761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2,102,898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21,037,589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2,182,313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6,554,681</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13,899,937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46,091,179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340" w:hanging="332"/>
        <w:spacing w:after="0" w:line="259" w:lineRule="auto"/>
        <w:tabs>
          <w:tab w:leader="none" w:pos="3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the CECL allowance for unfunded commitments recorded in Other liabilities as such commitments are not currently reflected on our Balance Sheet, rather the CECL allowance is based on our current best estimate of future funding commitments.</w:t>
      </w:r>
    </w:p>
    <w:p>
      <w:pPr>
        <w:ind w:left="340" w:right="20" w:hanging="332"/>
        <w:spacing w:after="0" w:line="283" w:lineRule="auto"/>
        <w:tabs>
          <w:tab w:leader="none" w:pos="332" w:val="left"/>
        </w:tabs>
        <w:numPr>
          <w:ilvl w:val="0"/>
          <w:numId w:val="17"/>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We estimate the CECL allowance for our loan investments, and certain of our lease investments with similar credit characteristics, using a traditional commercial real estate model based on standardized credit metrics to estimate potential losses.</w:t>
      </w: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6 — Other Assets and Other Liabilities</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Assets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assets as of September 30, 2025 and December 31, 2024: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7"/>
                <w:szCs w:val="17"/>
                <w:color w:val="auto"/>
              </w:rPr>
            </w:pPr>
          </w:p>
        </w:tc>
        <w:tc>
          <w:tcPr>
            <w:tcW w:w="1820" w:type="dxa"/>
            <w:vAlign w:val="bottom"/>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line="223" w:lineRule="exact"/>
              <w:rPr>
                <w:sz w:val="20"/>
                <w:szCs w:val="20"/>
                <w:color w:val="auto"/>
              </w:rPr>
            </w:pPr>
            <w:r>
              <w:rPr>
                <w:rFonts w:ascii="Times New Roman" w:cs="Times New Roman" w:eastAsia="Times New Roman" w:hAnsi="Times New Roman"/>
                <w:sz w:val="18"/>
                <w:szCs w:val="18"/>
                <w:color w:val="auto"/>
              </w:rPr>
              <w:t xml:space="preserve">Sales-type sub-leases, net </w:t>
            </w:r>
            <w:r>
              <w:rPr>
                <w:rFonts w:ascii="Times New Roman" w:cs="Times New Roman" w:eastAsia="Times New Roman" w:hAnsi="Times New Roman"/>
                <w:sz w:val="23"/>
                <w:szCs w:val="23"/>
                <w:i w:val="1"/>
                <w:iCs w:val="1"/>
                <w:color w:val="auto"/>
                <w:vertAlign w:val="superscript"/>
              </w:rPr>
              <w:t>(1)</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842,776</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and equipment used in operations, net</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70,347</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Right of use assets and sub-lease right of use assets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54,144</w:t>
            </w:r>
          </w:p>
        </w:tc>
      </w:tr>
      <w:tr>
        <w:trPr>
          <w:trHeight w:val="230"/>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Debt financing costs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8,029</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7,180</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14,749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9,166</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acquisition costs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9,051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13,964</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Tenant reimbursement receivables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5,066</w:t>
            </w:r>
          </w:p>
        </w:tc>
      </w:tr>
      <w:tr>
        <w:trPr>
          <w:trHeight w:val="230"/>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5,865</w:t>
            </w:r>
          </w:p>
        </w:tc>
      </w:tr>
      <w:tr>
        <w:trPr>
          <w:trHeight w:val="229"/>
        </w:trPr>
        <w:tc>
          <w:tcPr>
            <w:tcW w:w="20" w:type="dxa"/>
            <w:vAlign w:val="bottom"/>
          </w:tcPr>
          <w:p>
            <w:pPr>
              <w:spacing w:after="0"/>
              <w:rPr>
                <w:sz w:val="19"/>
                <w:szCs w:val="19"/>
                <w:color w:val="auto"/>
              </w:rPr>
            </w:pPr>
          </w:p>
        </w:tc>
        <w:tc>
          <w:tcPr>
            <w:tcW w:w="6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Prepaid expenses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4,534</w:t>
            </w:r>
          </w:p>
        </w:tc>
      </w:tr>
      <w:tr>
        <w:trPr>
          <w:trHeight w:val="229"/>
        </w:trPr>
        <w:tc>
          <w:tcPr>
            <w:tcW w:w="20" w:type="dxa"/>
            <w:vAlign w:val="bottom"/>
            <w:shd w:val="clear" w:color="auto" w:fill="CCEEFF"/>
          </w:tcPr>
          <w:p>
            <w:pPr>
              <w:spacing w:after="0"/>
              <w:rPr>
                <w:sz w:val="19"/>
                <w:szCs w:val="19"/>
                <w:color w:val="auto"/>
              </w:rPr>
            </w:pPr>
          </w:p>
        </w:tc>
        <w:tc>
          <w:tcPr>
            <w:tcW w:w="6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Forward-starting interest rate swaps</w:t>
            </w:r>
          </w:p>
        </w:tc>
        <w:tc>
          <w:tcPr>
            <w:tcW w:w="220" w:type="dxa"/>
            <w:vAlign w:val="bottom"/>
            <w:shd w:val="clear" w:color="auto" w:fill="CCEEFF"/>
          </w:tcPr>
          <w:p>
            <w:pPr>
              <w:spacing w:after="0"/>
              <w:rPr>
                <w:sz w:val="19"/>
                <w:szCs w:val="19"/>
                <w:color w:val="auto"/>
              </w:rPr>
            </w:pPr>
          </w:p>
        </w:tc>
        <w:tc>
          <w:tcPr>
            <w:tcW w:w="1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7,717</w:t>
            </w:r>
          </w:p>
        </w:tc>
      </w:tr>
      <w:tr>
        <w:trPr>
          <w:trHeight w:val="230"/>
        </w:trPr>
        <w:tc>
          <w:tcPr>
            <w:tcW w:w="20" w:type="dxa"/>
            <w:vAlign w:val="bottom"/>
            <w:tcBorders>
              <w:bottom w:val="single" w:sz="8" w:color="CCEEFF"/>
            </w:tcBorders>
          </w:tcPr>
          <w:p>
            <w:pPr>
              <w:spacing w:after="0"/>
              <w:rPr>
                <w:sz w:val="19"/>
                <w:szCs w:val="19"/>
                <w:color w:val="auto"/>
              </w:rPr>
            </w:pPr>
          </w:p>
        </w:tc>
        <w:tc>
          <w:tcPr>
            <w:tcW w:w="69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1,856</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69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1,041,932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1,030,644</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6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67" w:lineRule="exact"/>
        <w:rPr>
          <w:sz w:val="20"/>
          <w:szCs w:val="20"/>
          <w:color w:val="auto"/>
        </w:rPr>
      </w:pPr>
    </w:p>
    <w:p>
      <w:pPr>
        <w:ind w:right="20" w:firstLine="8"/>
        <w:spacing w:after="0" w:line="305" w:lineRule="auto"/>
        <w:tabs>
          <w:tab w:leader="none" w:pos="204" w:val="left"/>
        </w:tabs>
        <w:numPr>
          <w:ilvl w:val="0"/>
          <w:numId w:val="18"/>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As of September 30, 2025 and December 31, 2024, sales-type sub-leases are net of $20.4 million and $20.6 million of Allowance for credit losses, respectively. Refer to </w:t>
      </w:r>
      <w:r>
        <w:rPr>
          <w:rFonts w:ascii="Times New Roman" w:cs="Times New Roman" w:eastAsia="Times New Roman" w:hAnsi="Times New Roman"/>
          <w:sz w:val="14"/>
          <w:szCs w:val="14"/>
          <w:i w:val="1"/>
          <w:iCs w:val="1"/>
          <w:u w:val="single" w:color="auto"/>
          <w:color w:val="0000FF"/>
        </w:rPr>
        <w:t>Note 5 –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Credit Losses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 further details.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Liabilities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other liabilities as of September 30, 2025 and December 31, 2024:</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7"/>
                <w:szCs w:val="17"/>
                <w:color w:val="auto"/>
              </w:rPr>
            </w:pPr>
          </w:p>
        </w:tc>
        <w:tc>
          <w:tcPr>
            <w:tcW w:w="184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Finance sub-lease liabilities</w:t>
            </w:r>
          </w:p>
        </w:tc>
        <w:tc>
          <w:tcPr>
            <w:tcW w:w="26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862,469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863,374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financing liabilities</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Lease liabilities and sub-lease liabilities</w:t>
            </w:r>
          </w:p>
        </w:tc>
        <w:tc>
          <w:tcPr>
            <w:tcW w:w="2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55,028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CECL allowance for unfunded commitments</w:t>
            </w:r>
          </w:p>
        </w:tc>
        <w:tc>
          <w:tcPr>
            <w:tcW w:w="2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9,482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3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taxes</w:t>
            </w:r>
          </w:p>
        </w:tc>
        <w:tc>
          <w:tcPr>
            <w:tcW w:w="26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43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Other</w:t>
            </w:r>
          </w:p>
        </w:tc>
        <w:tc>
          <w:tcPr>
            <w:tcW w:w="26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3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other liabilities</w:t>
            </w:r>
          </w:p>
        </w:tc>
        <w:tc>
          <w:tcPr>
            <w:tcW w:w="26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1,006,993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1,004,340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7— Debt</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our debt obligations as of September 30, 2025 and December 31, 2024:</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3700" w:type="dxa"/>
            <w:vAlign w:val="bottom"/>
            <w:gridSpan w:val="2"/>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44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
        </w:trPr>
        <w:tc>
          <w:tcPr>
            <w:tcW w:w="20" w:type="dxa"/>
            <w:vAlign w:val="bottom"/>
          </w:tcPr>
          <w:p>
            <w:pPr>
              <w:spacing w:after="0"/>
              <w:rPr>
                <w:sz w:val="2"/>
                <w:szCs w:val="2"/>
                <w:color w:val="auto"/>
              </w:rPr>
            </w:pPr>
          </w:p>
        </w:tc>
        <w:tc>
          <w:tcPr>
            <w:tcW w:w="46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8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680" w:type="dxa"/>
            <w:vAlign w:val="bottom"/>
            <w:gridSpan w:val="3"/>
            <w:vMerge w:val="continue"/>
          </w:tcPr>
          <w:p>
            <w:pPr>
              <w:spacing w:after="0"/>
              <w:rPr>
                <w:sz w:val="18"/>
                <w:szCs w:val="18"/>
                <w:color w:val="auto"/>
              </w:rPr>
            </w:pP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320" w:type="dxa"/>
            <w:vAlign w:val="bottom"/>
            <w:gridSpan w:val="2"/>
          </w:tcPr>
          <w:p>
            <w:pPr>
              <w:ind w:left="40"/>
              <w:spacing w:after="0" w:line="210" w:lineRule="exact"/>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3"/>
                <w:szCs w:val="23"/>
                <w:i w:val="1"/>
                <w:iCs w:val="1"/>
                <w:color w:val="auto"/>
                <w:w w:val="97"/>
                <w:vertAlign w:val="superscript"/>
              </w:rPr>
              <w:t>(1)</w:t>
            </w:r>
          </w:p>
        </w:tc>
        <w:tc>
          <w:tcPr>
            <w:tcW w:w="0" w:type="dxa"/>
            <w:vAlign w:val="bottom"/>
          </w:tcPr>
          <w:p>
            <w:pPr>
              <w:spacing w:after="0"/>
              <w:rPr>
                <w:sz w:val="1"/>
                <w:szCs w:val="1"/>
                <w:color w:val="auto"/>
              </w:rPr>
            </w:pPr>
          </w:p>
        </w:tc>
      </w:tr>
      <w:tr>
        <w:trPr>
          <w:trHeight w:val="223"/>
        </w:trPr>
        <w:tc>
          <w:tcPr>
            <w:tcW w:w="20" w:type="dxa"/>
            <w:vAlign w:val="bottom"/>
            <w:tcBorders>
              <w:top w:val="single" w:sz="8" w:color="auto"/>
            </w:tcBorders>
            <w:shd w:val="clear" w:color="auto" w:fill="CCEEFF"/>
          </w:tcPr>
          <w:p>
            <w:pPr>
              <w:spacing w:after="0"/>
              <w:rPr>
                <w:sz w:val="19"/>
                <w:szCs w:val="19"/>
                <w:color w:val="auto"/>
              </w:rPr>
            </w:pPr>
          </w:p>
        </w:tc>
        <w:tc>
          <w:tcPr>
            <w:tcW w:w="458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6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USD Borrowings </w:t>
            </w:r>
            <w:r>
              <w:rPr>
                <w:rFonts w:ascii="Times New Roman" w:cs="Times New Roman" w:eastAsia="Times New Roman" w:hAnsi="Times New Roman"/>
                <w:sz w:val="23"/>
                <w:szCs w:val="23"/>
                <w:i w:val="1"/>
                <w:iCs w:val="1"/>
                <w:color w:val="auto"/>
                <w:vertAlign w:val="superscript"/>
              </w:rPr>
              <w:t>(2)</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3, 2029</w:t>
            </w:r>
          </w:p>
        </w:tc>
        <w:tc>
          <w:tcPr>
            <w:tcW w:w="17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SOFR + 0.85%</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CAD Borrowings </w:t>
            </w:r>
            <w:r>
              <w:rPr>
                <w:rFonts w:ascii="Times New Roman" w:cs="Times New Roman" w:eastAsia="Times New Roman" w:hAnsi="Times New Roman"/>
                <w:sz w:val="23"/>
                <w:szCs w:val="23"/>
                <w:i w:val="1"/>
                <w:iCs w:val="1"/>
                <w:color w:val="auto"/>
                <w:vertAlign w:val="superscript"/>
              </w:rPr>
              <w:t>(2)</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February 3, 2029</w:t>
            </w: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CORRA + 0.85%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125,720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GBP Borrowings </w:t>
            </w:r>
            <w:r>
              <w:rPr>
                <w:rFonts w:ascii="Times New Roman" w:cs="Times New Roman" w:eastAsia="Times New Roman" w:hAnsi="Times New Roman"/>
                <w:sz w:val="23"/>
                <w:szCs w:val="23"/>
                <w:i w:val="1"/>
                <w:iCs w:val="1"/>
                <w:color w:val="auto"/>
                <w:vertAlign w:val="superscript"/>
              </w:rPr>
              <w:t>(2)</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3, 2029</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SONIA + 0.85%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22,186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00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March 5, 2032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2,820,693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2026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September 1, 2026</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495,325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4.250%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1, 2026</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4.250%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1,246,671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2027 Maturities</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February 1, 2027</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752,932</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3.750%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2027</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747,695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2028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January 15, 2028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4.500%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344,119</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2028</w:t>
            </w:r>
          </w:p>
        </w:tc>
        <w:tc>
          <w:tcPr>
            <w:tcW w:w="16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4.516% </w:t>
            </w:r>
            <w:r>
              <w:rPr>
                <w:rFonts w:ascii="Times New Roman" w:cs="Times New Roman" w:eastAsia="Times New Roman" w:hAnsi="Times New Roman"/>
                <w:sz w:val="23"/>
                <w:szCs w:val="23"/>
                <w:i w:val="1"/>
                <w:iCs w:val="1"/>
                <w:color w:val="auto"/>
                <w:w w:val="94"/>
                <w:vertAlign w:val="superscript"/>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1,244,001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2028</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396,683</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2029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3.875%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2029</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711,083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993,332</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2030 Maturities</w:t>
            </w:r>
          </w:p>
        </w:tc>
        <w:tc>
          <w:tcPr>
            <w:tcW w:w="1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68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4.950% Notes</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February 15, 2030</w:t>
            </w:r>
          </w:p>
        </w:tc>
        <w:tc>
          <w:tcPr>
            <w:tcW w:w="168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4.541% </w:t>
            </w:r>
            <w:r>
              <w:rPr>
                <w:rFonts w:ascii="Times New Roman" w:cs="Times New Roman" w:eastAsia="Times New Roman" w:hAnsi="Times New Roman"/>
                <w:sz w:val="23"/>
                <w:szCs w:val="23"/>
                <w:i w:val="1"/>
                <w:iCs w:val="1"/>
                <w:color w:val="auto"/>
                <w:w w:val="94"/>
                <w:vertAlign w:val="superscript"/>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992,381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August 15, 2030</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992,728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2031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November 15, 2031</w:t>
            </w:r>
          </w:p>
        </w:tc>
        <w:tc>
          <w:tcPr>
            <w:tcW w:w="16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4.969%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741,481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2032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2032</w:t>
            </w:r>
          </w:p>
        </w:tc>
        <w:tc>
          <w:tcPr>
            <w:tcW w:w="16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3.980%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1,486,407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2034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2034</w:t>
            </w:r>
          </w:p>
        </w:tc>
        <w:tc>
          <w:tcPr>
            <w:tcW w:w="16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5.689%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541,713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2035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2035</w:t>
            </w:r>
          </w:p>
        </w:tc>
        <w:tc>
          <w:tcPr>
            <w:tcW w:w="168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5.601%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885,018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2052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May 15, 2052</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736,718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2054 Maturities</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6.125% Notes</w:t>
            </w:r>
          </w:p>
        </w:tc>
        <w:tc>
          <w:tcPr>
            <w:tcW w:w="200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2054</w:t>
            </w:r>
          </w:p>
        </w:tc>
        <w:tc>
          <w:tcPr>
            <w:tcW w:w="168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6.125%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4.466% </w:t>
            </w:r>
            <w:r>
              <w:rPr>
                <w:rFonts w:ascii="Times New Roman" w:cs="Times New Roman" w:eastAsia="Times New Roman" w:hAnsi="Times New Roman"/>
                <w:sz w:val="23"/>
                <w:szCs w:val="23"/>
                <w:i w:val="1"/>
                <w:iCs w:val="1"/>
                <w:color w:val="auto"/>
                <w:w w:val="92"/>
                <w:vertAlign w:val="superscript"/>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17,097,906</w:t>
            </w:r>
          </w:p>
        </w:tc>
        <w:tc>
          <w:tcPr>
            <w:tcW w:w="120" w:type="dxa"/>
            <w:vAlign w:val="bottom"/>
          </w:tcPr>
          <w:p>
            <w:pPr>
              <w:spacing w:after="0"/>
              <w:rPr>
                <w:sz w:val="19"/>
                <w:szCs w:val="19"/>
                <w:color w:val="auto"/>
              </w:rPr>
            </w:pPr>
          </w:p>
        </w:tc>
        <w:tc>
          <w:tcPr>
            <w:tcW w:w="2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16,762,660</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31</w:t>
            </w: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36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00" w:type="dxa"/>
            <w:vAlign w:val="bottom"/>
            <w:gridSpan w:val="3"/>
          </w:tcPr>
          <w:p>
            <w:pPr>
              <w:ind w:left="62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34"/>
        </w:trPr>
        <w:tc>
          <w:tcPr>
            <w:tcW w:w="20" w:type="dxa"/>
            <w:vAlign w:val="bottom"/>
          </w:tcPr>
          <w:p>
            <w:pPr>
              <w:spacing w:after="0"/>
              <w:rPr>
                <w:sz w:val="2"/>
                <w:szCs w:val="2"/>
                <w:color w:val="auto"/>
              </w:rPr>
            </w:pPr>
          </w:p>
        </w:tc>
        <w:tc>
          <w:tcPr>
            <w:tcW w:w="380" w:type="dxa"/>
            <w:vAlign w:val="bottom"/>
            <w:tcBorders>
              <w:top w:val="single" w:sz="8" w:color="auto"/>
            </w:tcBorders>
          </w:tcPr>
          <w:p>
            <w:pPr>
              <w:spacing w:after="0"/>
              <w:rPr>
                <w:sz w:val="2"/>
                <w:szCs w:val="2"/>
                <w:color w:val="auto"/>
              </w:rPr>
            </w:pPr>
          </w:p>
        </w:tc>
        <w:tc>
          <w:tcPr>
            <w:tcW w:w="600" w:type="dxa"/>
            <w:vAlign w:val="bottom"/>
            <w:tcBorders>
              <w:top w:val="single" w:sz="8" w:color="auto"/>
            </w:tcBorders>
          </w:tcPr>
          <w:p>
            <w:pPr>
              <w:spacing w:after="0"/>
              <w:rPr>
                <w:sz w:val="2"/>
                <w:szCs w:val="2"/>
                <w:color w:val="auto"/>
              </w:rPr>
            </w:pPr>
          </w:p>
        </w:tc>
        <w:tc>
          <w:tcPr>
            <w:tcW w:w="3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372"/>
        </w:trPr>
        <w:tc>
          <w:tcPr>
            <w:tcW w:w="20" w:type="dxa"/>
            <w:vAlign w:val="bottom"/>
          </w:tcPr>
          <w:p>
            <w:pPr>
              <w:spacing w:after="0"/>
              <w:rPr>
                <w:sz w:val="24"/>
                <w:szCs w:val="24"/>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Description of Debt</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14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Principal Amount</w:t>
            </w:r>
          </w:p>
        </w:tc>
        <w:tc>
          <w:tcPr>
            <w:tcW w:w="13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w w:val="97"/>
              </w:rPr>
              <w:t xml:space="preserve">Carrying Value </w:t>
            </w:r>
            <w:r>
              <w:rPr>
                <w:rFonts w:ascii="Times New Roman" w:cs="Times New Roman" w:eastAsia="Times New Roman" w:hAnsi="Times New Roman"/>
                <w:sz w:val="23"/>
                <w:szCs w:val="23"/>
                <w:i w:val="1"/>
                <w:iCs w:val="1"/>
                <w:color w:val="auto"/>
                <w:w w:val="97"/>
                <w:vertAlign w:val="superscript"/>
              </w:rPr>
              <w:t>(1)</w:t>
            </w:r>
          </w:p>
        </w:tc>
      </w:tr>
      <w:tr>
        <w:trPr>
          <w:trHeight w:val="223"/>
        </w:trPr>
        <w:tc>
          <w:tcPr>
            <w:tcW w:w="400" w:type="dxa"/>
            <w:vAlign w:val="bottom"/>
            <w:tcBorders>
              <w:top w:val="single" w:sz="8" w:color="auto"/>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2022</w:t>
            </w:r>
          </w:p>
        </w:tc>
        <w:tc>
          <w:tcPr>
            <w:tcW w:w="4040" w:type="dxa"/>
            <w:vAlign w:val="bottom"/>
            <w:tcBorders>
              <w:top w:val="single" w:sz="8" w:color="auto"/>
            </w:tcBorders>
            <w:gridSpan w:val="2"/>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100" w:type="dxa"/>
            <w:vAlign w:val="bottom"/>
            <w:tcBorders>
              <w:top w:val="single" w:sz="8" w:color="CCEEFF"/>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gridSpan w:val="4"/>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USD Borrowings </w:t>
            </w:r>
            <w:r>
              <w:rPr>
                <w:rFonts w:ascii="Times New Roman" w:cs="Times New Roman" w:eastAsia="Times New Roman" w:hAnsi="Times New Roman"/>
                <w:sz w:val="23"/>
                <w:szCs w:val="23"/>
                <w:i w:val="1"/>
                <w:iCs w:val="1"/>
                <w:color w:val="auto"/>
                <w:vertAlign w:val="superscript"/>
              </w:rPr>
              <w:t>(2)</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31, 2026</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SOFR + 0.85%</w:t>
            </w:r>
          </w:p>
        </w:tc>
        <w:tc>
          <w:tcPr>
            <w:tcW w:w="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CAD Borrowings </w:t>
            </w:r>
            <w:r>
              <w:rPr>
                <w:rFonts w:ascii="Times New Roman" w:cs="Times New Roman" w:eastAsia="Times New Roman" w:hAnsi="Times New Roman"/>
                <w:sz w:val="23"/>
                <w:szCs w:val="23"/>
                <w:i w:val="1"/>
                <w:iCs w:val="1"/>
                <w:color w:val="auto"/>
                <w:vertAlign w:val="superscript"/>
              </w:rPr>
              <w:t>(2)</w:t>
            </w:r>
          </w:p>
        </w:tc>
        <w:tc>
          <w:tcPr>
            <w:tcW w:w="1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31, 2026</w:t>
            </w:r>
          </w:p>
        </w:tc>
        <w:tc>
          <w:tcPr>
            <w:tcW w:w="18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CORRA + 0.85%</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130,698</w:t>
            </w:r>
          </w:p>
        </w:tc>
      </w:tr>
      <w:tr>
        <w:trPr>
          <w:trHeight w:val="229"/>
        </w:trPr>
        <w:tc>
          <w:tcPr>
            <w:tcW w:w="20" w:type="dxa"/>
            <w:vAlign w:val="bottom"/>
          </w:tcPr>
          <w:p>
            <w:pPr>
              <w:spacing w:after="0"/>
              <w:rPr>
                <w:sz w:val="19"/>
                <w:szCs w:val="19"/>
                <w:color w:val="auto"/>
              </w:rPr>
            </w:pPr>
          </w:p>
        </w:tc>
        <w:tc>
          <w:tcPr>
            <w:tcW w:w="4520" w:type="dxa"/>
            <w:vAlign w:val="bottom"/>
            <w:gridSpan w:val="4"/>
          </w:tcPr>
          <w:p>
            <w:pPr>
              <w:ind w:left="220"/>
              <w:spacing w:after="0" w:line="230" w:lineRule="exact"/>
              <w:rPr>
                <w:sz w:val="20"/>
                <w:szCs w:val="20"/>
                <w:color w:val="auto"/>
              </w:rPr>
            </w:pPr>
            <w:r>
              <w:rPr>
                <w:rFonts w:ascii="Times New Roman" w:cs="Times New Roman" w:eastAsia="Times New Roman" w:hAnsi="Times New Roman"/>
                <w:sz w:val="18"/>
                <w:szCs w:val="18"/>
                <w:color w:val="auto"/>
              </w:rPr>
              <w:t xml:space="preserve">GBP Borrowings </w:t>
            </w:r>
            <w:r>
              <w:rPr>
                <w:rFonts w:ascii="Times New Roman" w:cs="Times New Roman" w:eastAsia="Times New Roman" w:hAnsi="Times New Roman"/>
                <w:sz w:val="23"/>
                <w:szCs w:val="23"/>
                <w:i w:val="1"/>
                <w:iCs w:val="1"/>
                <w:color w:val="auto"/>
                <w:vertAlign w:val="superscript"/>
              </w:rPr>
              <w:t>(2)</w:t>
            </w:r>
          </w:p>
        </w:tc>
        <w:tc>
          <w:tcPr>
            <w:tcW w:w="198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March 31, 2026</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SONIA + 0.85%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18,148</w:t>
            </w: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8"/>
              </w:rPr>
              <w:t>March 5, 2032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3.558%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2,800,544</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2025</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4.375%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2025</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4.375%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499,419</w:t>
            </w:r>
          </w:p>
        </w:tc>
      </w:tr>
      <w:tr>
        <w:trPr>
          <w:trHeight w:val="229"/>
        </w:trPr>
        <w:tc>
          <w:tcPr>
            <w:tcW w:w="20" w:type="dxa"/>
            <w:vAlign w:val="bottom"/>
          </w:tcPr>
          <w:p>
            <w:pPr>
              <w:spacing w:after="0"/>
              <w:rPr>
                <w:sz w:val="19"/>
                <w:szCs w:val="19"/>
                <w:color w:val="auto"/>
              </w:rPr>
            </w:pPr>
          </w:p>
        </w:tc>
        <w:tc>
          <w:tcPr>
            <w:tcW w:w="4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15, 2025</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797,059</w:t>
            </w:r>
          </w:p>
        </w:tc>
      </w:tr>
      <w:tr>
        <w:trPr>
          <w:trHeight w:val="229"/>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2026</w:t>
            </w:r>
          </w:p>
        </w:tc>
        <w:tc>
          <w:tcPr>
            <w:tcW w:w="4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4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September 1, 2026</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491,532</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4.250%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2026</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1,244,469</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2027</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February 1, 2027</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5.750%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754,588</w:t>
            </w:r>
          </w:p>
        </w:tc>
      </w:tr>
      <w:tr>
        <w:trPr>
          <w:trHeight w:val="229"/>
        </w:trPr>
        <w:tc>
          <w:tcPr>
            <w:tcW w:w="20" w:type="dxa"/>
            <w:vAlign w:val="bottom"/>
          </w:tcPr>
          <w:p>
            <w:pPr>
              <w:spacing w:after="0"/>
              <w:rPr>
                <w:sz w:val="19"/>
                <w:szCs w:val="19"/>
                <w:color w:val="auto"/>
              </w:rPr>
            </w:pPr>
          </w:p>
        </w:tc>
        <w:tc>
          <w:tcPr>
            <w:tcW w:w="4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3.750%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2027</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3.750%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746,438</w:t>
            </w: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2028</w:t>
            </w:r>
          </w:p>
        </w:tc>
        <w:tc>
          <w:tcPr>
            <w:tcW w:w="4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4.500%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January 15, 2028</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4.500%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342,214</w:t>
            </w:r>
          </w:p>
        </w:tc>
      </w:tr>
      <w:tr>
        <w:trPr>
          <w:trHeight w:val="229"/>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4.750%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2028</w:t>
            </w:r>
          </w:p>
        </w:tc>
        <w:tc>
          <w:tcPr>
            <w:tcW w:w="170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4.516%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1,242,110</w:t>
            </w: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2029</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3.875%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2029</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3.875%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702,707</w:t>
            </w:r>
          </w:p>
        </w:tc>
      </w:tr>
      <w:tr>
        <w:trPr>
          <w:trHeight w:val="230"/>
        </w:trPr>
        <w:tc>
          <w:tcPr>
            <w:tcW w:w="20" w:type="dxa"/>
            <w:vAlign w:val="bottom"/>
          </w:tcPr>
          <w:p>
            <w:pPr>
              <w:spacing w:after="0"/>
              <w:rPr>
                <w:sz w:val="19"/>
                <w:szCs w:val="19"/>
                <w:color w:val="auto"/>
              </w:rPr>
            </w:pPr>
          </w:p>
        </w:tc>
        <w:tc>
          <w:tcPr>
            <w:tcW w:w="4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4.625%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December 1, 2029</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4.625%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992,132</w:t>
            </w:r>
          </w:p>
        </w:tc>
      </w:tr>
      <w:tr>
        <w:trPr>
          <w:trHeight w:val="230"/>
        </w:trPr>
        <w:tc>
          <w:tcPr>
            <w:tcW w:w="4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w w:val="99"/>
              </w:rPr>
              <w:t>2030</w:t>
            </w:r>
          </w:p>
        </w:tc>
        <w:tc>
          <w:tcPr>
            <w:tcW w:w="414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4520" w:type="dxa"/>
            <w:vAlign w:val="bottom"/>
            <w:gridSpan w:val="4"/>
          </w:tcPr>
          <w:p>
            <w:pPr>
              <w:ind w:left="220"/>
              <w:spacing w:after="0"/>
              <w:rPr>
                <w:sz w:val="20"/>
                <w:szCs w:val="20"/>
                <w:color w:val="auto"/>
              </w:rPr>
            </w:pPr>
            <w:r>
              <w:rPr>
                <w:rFonts w:ascii="Times New Roman" w:cs="Times New Roman" w:eastAsia="Times New Roman" w:hAnsi="Times New Roman"/>
                <w:sz w:val="18"/>
                <w:szCs w:val="18"/>
                <w:color w:val="auto"/>
              </w:rPr>
              <w:t>4.950% Notes</w:t>
            </w:r>
          </w:p>
        </w:tc>
        <w:tc>
          <w:tcPr>
            <w:tcW w:w="19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February 15, 2030</w:t>
            </w:r>
          </w:p>
        </w:tc>
        <w:tc>
          <w:tcPr>
            <w:tcW w:w="1700" w:type="dxa"/>
            <w:vAlign w:val="bottom"/>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4.541% </w:t>
            </w:r>
            <w:r>
              <w:rPr>
                <w:rFonts w:ascii="Times New Roman" w:cs="Times New Roman" w:eastAsia="Times New Roman" w:hAnsi="Times New Roman"/>
                <w:sz w:val="23"/>
                <w:szCs w:val="23"/>
                <w:i w:val="1"/>
                <w:iCs w:val="1"/>
                <w:color w:val="auto"/>
                <w:w w:val="94"/>
                <w:vertAlign w:val="superscript"/>
              </w:rPr>
              <w:t>(3)</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991,080</w:t>
            </w: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4.125%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August 15, 2030</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4.125%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991,609</w:t>
            </w: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2031</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November 15, 2031</w:t>
            </w:r>
          </w:p>
        </w:tc>
        <w:tc>
          <w:tcPr>
            <w:tcW w:w="170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4.969%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740,527</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2032</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2032</w:t>
            </w:r>
          </w:p>
        </w:tc>
        <w:tc>
          <w:tcPr>
            <w:tcW w:w="170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3.980%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1,484,876</w:t>
            </w: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2034</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5.750%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2034</w:t>
            </w:r>
          </w:p>
        </w:tc>
        <w:tc>
          <w:tcPr>
            <w:tcW w:w="1700" w:type="dxa"/>
            <w:vAlign w:val="bottom"/>
            <w:shd w:val="clear" w:color="auto" w:fill="CCEEFF"/>
          </w:tcPr>
          <w:p>
            <w:pPr>
              <w:jc w:val="center"/>
              <w:spacing w:after="0" w:line="230" w:lineRule="exact"/>
              <w:rPr>
                <w:sz w:val="20"/>
                <w:szCs w:val="20"/>
                <w:color w:val="auto"/>
              </w:rPr>
            </w:pPr>
            <w:r>
              <w:rPr>
                <w:rFonts w:ascii="Times New Roman" w:cs="Times New Roman" w:eastAsia="Times New Roman" w:hAnsi="Times New Roman"/>
                <w:sz w:val="18"/>
                <w:szCs w:val="18"/>
                <w:color w:val="auto"/>
                <w:w w:val="94"/>
              </w:rPr>
              <w:t xml:space="preserve">5.689% </w:t>
            </w:r>
            <w:r>
              <w:rPr>
                <w:rFonts w:ascii="Times New Roman" w:cs="Times New Roman" w:eastAsia="Times New Roman" w:hAnsi="Times New Roman"/>
                <w:sz w:val="23"/>
                <w:szCs w:val="23"/>
                <w:i w:val="1"/>
                <w:iCs w:val="1"/>
                <w:color w:val="auto"/>
                <w:w w:val="94"/>
                <w:vertAlign w:val="superscript"/>
              </w:rPr>
              <w:t>(3)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540,986</w:t>
            </w:r>
          </w:p>
        </w:tc>
      </w:tr>
      <w:tr>
        <w:trPr>
          <w:trHeight w:val="229"/>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2052</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5.625%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May 15, 2052</w:t>
            </w:r>
          </w:p>
        </w:tc>
        <w:tc>
          <w:tcPr>
            <w:tcW w:w="17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5.625%</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750,000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736,348</w:t>
            </w:r>
          </w:p>
        </w:tc>
      </w:tr>
      <w:tr>
        <w:trPr>
          <w:trHeight w:val="230"/>
        </w:trPr>
        <w:tc>
          <w:tcPr>
            <w:tcW w:w="4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w w:val="99"/>
              </w:rPr>
              <w:t>2054</w:t>
            </w:r>
          </w:p>
        </w:tc>
        <w:tc>
          <w:tcPr>
            <w:tcW w:w="414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auto"/>
              </w:rPr>
              <w:t>Maturities</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520" w:type="dxa"/>
            <w:vAlign w:val="bottom"/>
            <w:gridSpan w:val="4"/>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6.125% Notes</w:t>
            </w:r>
          </w:p>
        </w:tc>
        <w:tc>
          <w:tcPr>
            <w:tcW w:w="1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2054</w:t>
            </w:r>
          </w:p>
        </w:tc>
        <w:tc>
          <w:tcPr>
            <w:tcW w:w="1700" w:type="dxa"/>
            <w:vAlign w:val="bottom"/>
            <w:tcBorders>
              <w:bottom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7"/>
              </w:rPr>
              <w:t>6.125%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485,405</w:t>
            </w:r>
          </w:p>
        </w:tc>
      </w:tr>
      <w:tr>
        <w:trPr>
          <w:trHeight w:val="223"/>
        </w:trPr>
        <w:tc>
          <w:tcPr>
            <w:tcW w:w="20" w:type="dxa"/>
            <w:vAlign w:val="bottom"/>
          </w:tcPr>
          <w:p>
            <w:pPr>
              <w:spacing w:after="0"/>
              <w:rPr>
                <w:sz w:val="19"/>
                <w:szCs w:val="19"/>
                <w:color w:val="auto"/>
              </w:rPr>
            </w:pPr>
          </w:p>
        </w:tc>
        <w:tc>
          <w:tcPr>
            <w:tcW w:w="45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Total Debt</w:t>
            </w:r>
          </w:p>
        </w:tc>
        <w:tc>
          <w:tcPr>
            <w:tcW w:w="1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tcBorders>
              <w:bottom w:val="single" w:sz="8" w:color="auto"/>
            </w:tcBorders>
          </w:tcPr>
          <w:p>
            <w:pPr>
              <w:jc w:val="center"/>
              <w:spacing w:after="0" w:line="223" w:lineRule="exact"/>
              <w:rPr>
                <w:sz w:val="20"/>
                <w:szCs w:val="20"/>
                <w:color w:val="auto"/>
              </w:rPr>
            </w:pPr>
            <w:r>
              <w:rPr>
                <w:rFonts w:ascii="Times New Roman" w:cs="Times New Roman" w:eastAsia="Times New Roman" w:hAnsi="Times New Roman"/>
                <w:sz w:val="18"/>
                <w:szCs w:val="18"/>
                <w:color w:val="auto"/>
                <w:w w:val="92"/>
              </w:rPr>
              <w:t xml:space="preserve">4.413% </w:t>
            </w:r>
            <w:r>
              <w:rPr>
                <w:rFonts w:ascii="Times New Roman" w:cs="Times New Roman" w:eastAsia="Times New Roman" w:hAnsi="Times New Roman"/>
                <w:sz w:val="23"/>
                <w:szCs w:val="23"/>
                <w:i w:val="1"/>
                <w:iCs w:val="1"/>
                <w:color w:val="auto"/>
                <w:w w:val="92"/>
                <w:vertAlign w:val="superscript"/>
              </w:rPr>
              <w:t>(4)</w:t>
            </w:r>
          </w:p>
        </w:tc>
        <w:tc>
          <w:tcPr>
            <w:tcW w:w="100" w:type="dxa"/>
            <w:vAlign w:val="bottom"/>
          </w:tcPr>
          <w:p>
            <w:pPr>
              <w:spacing w:after="0"/>
              <w:rPr>
                <w:sz w:val="19"/>
                <w:szCs w:val="19"/>
                <w:color w:val="auto"/>
              </w:rPr>
            </w:pPr>
          </w:p>
        </w:tc>
        <w:tc>
          <w:tcPr>
            <w:tcW w:w="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17,098,846</w:t>
            </w:r>
          </w:p>
        </w:tc>
        <w:tc>
          <w:tcPr>
            <w:tcW w:w="12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16,732,889</w:t>
            </w:r>
          </w:p>
        </w:tc>
      </w:tr>
      <w:tr>
        <w:trPr>
          <w:trHeight w:val="20"/>
        </w:trPr>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left="320" w:hanging="312"/>
        <w:spacing w:after="0"/>
        <w:tabs>
          <w:tab w:leader="none" w:pos="320"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Carrying value is net of unamortized original issue discount and unamortized debt issuance costs incurred in conjunction with debt.</w:t>
      </w:r>
    </w:p>
    <w:p>
      <w:pPr>
        <w:spacing w:after="0" w:line="1" w:lineRule="exact"/>
        <w:rPr>
          <w:rFonts w:ascii="Times New Roman" w:cs="Times New Roman" w:eastAsia="Times New Roman" w:hAnsi="Times New Roman"/>
          <w:sz w:val="14"/>
          <w:szCs w:val="14"/>
          <w:i w:val="1"/>
          <w:iCs w:val="1"/>
          <w:color w:val="auto"/>
        </w:rPr>
      </w:pPr>
    </w:p>
    <w:p>
      <w:pPr>
        <w:jc w:val="both"/>
        <w:ind w:left="340" w:hanging="332"/>
        <w:spacing w:after="0" w:line="260" w:lineRule="auto"/>
        <w:tabs>
          <w:tab w:leader="none" w:pos="332"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Borrowings under the Revolving Credit Facility bear interest at a rate based on a credit rating-based pricing grid with a range of 0.70% to 1.40% margin plus SOFR (or Canadian Overnight Repo Rate Average (“CORRA”) or Sterling Overnight Index Average (“SONIA”), as applicable), depending on our credit ratings and total leverage ratio. Additionally, the commitment fees under the Revolving Credit Facility are calculated on a credit rating-based pricing grid with a range of 0.10% to 0.30%, depending on our credit ratings and total leverage ratio. For the three and nine months ended September 30, 2025, the commitment fee for the Revolving Credit Facility averaged 0.20%.</w:t>
      </w:r>
    </w:p>
    <w:p>
      <w:pPr>
        <w:spacing w:after="0" w:line="1" w:lineRule="exact"/>
        <w:rPr>
          <w:rFonts w:ascii="Times New Roman" w:cs="Times New Roman" w:eastAsia="Times New Roman" w:hAnsi="Times New Roman"/>
          <w:sz w:val="14"/>
          <w:szCs w:val="14"/>
          <w:i w:val="1"/>
          <w:iCs w:val="1"/>
          <w:color w:val="auto"/>
        </w:rPr>
      </w:pPr>
    </w:p>
    <w:p>
      <w:pPr>
        <w:jc w:val="both"/>
        <w:ind w:left="340" w:hanging="332"/>
        <w:spacing w:after="0" w:line="262" w:lineRule="auto"/>
        <w:tabs>
          <w:tab w:leader="none" w:pos="332" w:val="left"/>
        </w:tabs>
        <w:numPr>
          <w:ilvl w:val="0"/>
          <w:numId w:val="19"/>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Interest rates represent the contractual interest rates adjusted to account for the impact of the forward-starting interest rate swaps and treasury locks (as further described in </w:t>
      </w:r>
      <w:r>
        <w:rPr>
          <w:rFonts w:ascii="Times New Roman" w:cs="Times New Roman" w:eastAsia="Times New Roman" w:hAnsi="Times New Roman"/>
          <w:sz w:val="14"/>
          <w:szCs w:val="14"/>
          <w:i w:val="1"/>
          <w:iCs w:val="1"/>
          <w:u w:val="single" w:color="auto"/>
          <w:color w:val="0000FF"/>
        </w:rPr>
        <w:t>Note 8 –</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Derivatives</w:t>
      </w:r>
      <w:r>
        <w:rPr>
          <w:rFonts w:ascii="Times New Roman" w:cs="Times New Roman" w:eastAsia="Times New Roman" w:hAnsi="Times New Roman"/>
          <w:sz w:val="14"/>
          <w:szCs w:val="14"/>
          <w:i w:val="1"/>
          <w:iCs w:val="1"/>
          <w:color w:val="000000"/>
        </w:rPr>
        <w:t>). The contractual interest rates on the April 2022 Notes (as defined below) maturing 2028, 2030 and 2032 are 4.750%, 4.950% and 5.125%, respectively, the contractual</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interest rate on the March 2024 Notes (as defined below) maturing 2034 is 5.750%, the</w:t>
      </w:r>
    </w:p>
    <w:p>
      <w:pPr>
        <w:spacing w:after="0" w:line="200" w:lineRule="exact"/>
        <w:rPr>
          <w:sz w:val="20"/>
          <w:szCs w:val="20"/>
          <w:color w:val="auto"/>
        </w:rPr>
      </w:pP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316" w:lineRule="exact"/>
        <w:rPr>
          <w:sz w:val="20"/>
          <w:szCs w:val="20"/>
          <w:color w:val="auto"/>
        </w:rPr>
      </w:pPr>
    </w:p>
    <w:p>
      <w:pPr>
        <w:ind w:left="340"/>
        <w:spacing w:after="0" w:line="272" w:lineRule="auto"/>
        <w:rPr>
          <w:sz w:val="20"/>
          <w:szCs w:val="20"/>
          <w:color w:val="auto"/>
        </w:rPr>
      </w:pPr>
      <w:r>
        <w:rPr>
          <w:rFonts w:ascii="Times New Roman" w:cs="Times New Roman" w:eastAsia="Times New Roman" w:hAnsi="Times New Roman"/>
          <w:sz w:val="14"/>
          <w:szCs w:val="14"/>
          <w:i w:val="1"/>
          <w:iCs w:val="1"/>
          <w:color w:val="auto"/>
        </w:rPr>
        <w:t>contractual interest rate on the December 2024 Notes (as defined below) maturing 2031 is 5.125%, and the contractual interest rate on the April 2025 Notes (as defined below) maturing 2035 is 5.625%.</w:t>
      </w:r>
    </w:p>
    <w:p>
      <w:pPr>
        <w:spacing w:after="0" w:line="1" w:lineRule="exact"/>
        <w:rPr>
          <w:sz w:val="20"/>
          <w:szCs w:val="20"/>
          <w:color w:val="auto"/>
        </w:rPr>
      </w:pPr>
    </w:p>
    <w:p>
      <w:pPr>
        <w:jc w:val="both"/>
        <w:ind w:left="340" w:hanging="332"/>
        <w:spacing w:after="0" w:line="262" w:lineRule="auto"/>
        <w:tabs>
          <w:tab w:leader="none" w:pos="332" w:val="left"/>
        </w:tabs>
        <w:numPr>
          <w:ilvl w:val="0"/>
          <w:numId w:val="20"/>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The interest rate represents the weighted average interest rates of the Senior Unsecured Notes adjusted to account for the impact of the forward-starting interest rate swaps (as further described in </w:t>
      </w:r>
      <w:r>
        <w:rPr>
          <w:rFonts w:ascii="Times New Roman" w:cs="Times New Roman" w:eastAsia="Times New Roman" w:hAnsi="Times New Roman"/>
          <w:sz w:val="14"/>
          <w:szCs w:val="14"/>
          <w:i w:val="1"/>
          <w:iCs w:val="1"/>
          <w:u w:val="single" w:color="auto"/>
          <w:color w:val="0000FF"/>
        </w:rPr>
        <w:t>Note 8 – Derivatives</w:t>
      </w:r>
      <w:r>
        <w:rPr>
          <w:rFonts w:ascii="Times New Roman" w:cs="Times New Roman" w:eastAsia="Times New Roman" w:hAnsi="Times New Roman"/>
          <w:sz w:val="14"/>
          <w:szCs w:val="14"/>
          <w:i w:val="1"/>
          <w:iCs w:val="1"/>
          <w:color w:val="auto"/>
        </w:rPr>
        <w:t>), as applicable. The contractual weighted average interest rate as of September 30, 2025, which excludes the impact of the forward-starting interest rate swaps and treasury locks, was 4.62%.</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is a schedule of future minimum principal payments of our debt obligations as of September 30, 2025:</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340" w:type="dxa"/>
            <w:vAlign w:val="bottom"/>
          </w:tcPr>
          <w:p>
            <w:pPr>
              <w:spacing w:after="0"/>
              <w:rPr>
                <w:sz w:val="16"/>
                <w:szCs w:val="16"/>
                <w:color w:val="auto"/>
              </w:rPr>
            </w:pPr>
          </w:p>
        </w:tc>
        <w:tc>
          <w:tcPr>
            <w:tcW w:w="2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Future Minimum Principal</w:t>
            </w:r>
          </w:p>
        </w:tc>
      </w:tr>
      <w:tr>
        <w:trPr>
          <w:trHeight w:val="162"/>
        </w:trPr>
        <w:tc>
          <w:tcPr>
            <w:tcW w:w="20" w:type="dxa"/>
            <w:vAlign w:val="bottom"/>
          </w:tcPr>
          <w:p>
            <w:pPr>
              <w:spacing w:after="0"/>
              <w:rPr>
                <w:sz w:val="14"/>
                <w:szCs w:val="14"/>
                <w:color w:val="auto"/>
              </w:rPr>
            </w:pPr>
          </w:p>
        </w:tc>
        <w:tc>
          <w:tcPr>
            <w:tcW w:w="9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80" w:type="dxa"/>
            <w:vAlign w:val="bottom"/>
          </w:tcPr>
          <w:p>
            <w:pPr>
              <w:spacing w:after="0"/>
              <w:rPr>
                <w:sz w:val="14"/>
                <w:szCs w:val="14"/>
                <w:color w:val="auto"/>
              </w:rPr>
            </w:pPr>
          </w:p>
        </w:tc>
        <w:tc>
          <w:tcPr>
            <w:tcW w:w="1620" w:type="dxa"/>
            <w:vAlign w:val="bottom"/>
          </w:tcPr>
          <w:p>
            <w:pPr>
              <w:jc w:val="right"/>
              <w:ind w:right="571"/>
              <w:spacing w:after="0" w:line="142" w:lineRule="exact"/>
              <w:rPr>
                <w:sz w:val="20"/>
                <w:szCs w:val="20"/>
                <w:color w:val="auto"/>
              </w:rPr>
            </w:pPr>
            <w:r>
              <w:rPr>
                <w:rFonts w:ascii="Times New Roman" w:cs="Times New Roman" w:eastAsia="Times New Roman" w:hAnsi="Times New Roman"/>
                <w:sz w:val="16"/>
                <w:szCs w:val="16"/>
                <w:b w:val="1"/>
                <w:bCs w:val="1"/>
                <w:color w:val="auto"/>
              </w:rPr>
              <w:t>Payments</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834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3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r>
      <w:tr>
        <w:trPr>
          <w:trHeight w:val="229"/>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1,500,000</w:t>
            </w:r>
          </w:p>
        </w:tc>
      </w:tr>
      <w:tr>
        <w:trPr>
          <w:trHeight w:val="22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30"/>
        </w:trPr>
        <w:tc>
          <w:tcPr>
            <w:tcW w:w="9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3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1,897,906</w:t>
            </w:r>
          </w:p>
        </w:tc>
      </w:tr>
      <w:tr>
        <w:trPr>
          <w:trHeight w:val="229"/>
        </w:trPr>
        <w:tc>
          <w:tcPr>
            <w:tcW w:w="9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83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r>
      <w:tr>
        <w:trPr>
          <w:trHeight w:val="229"/>
        </w:trPr>
        <w:tc>
          <w:tcPr>
            <w:tcW w:w="20" w:type="dxa"/>
            <w:vAlign w:val="bottom"/>
            <w:shd w:val="clear" w:color="auto" w:fill="CCEEFF"/>
          </w:tcPr>
          <w:p>
            <w:pPr>
              <w:spacing w:after="0"/>
              <w:rPr>
                <w:sz w:val="19"/>
                <w:szCs w:val="19"/>
                <w:color w:val="auto"/>
              </w:rPr>
            </w:pPr>
          </w:p>
        </w:tc>
        <w:tc>
          <w:tcPr>
            <w:tcW w:w="9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380" w:type="dxa"/>
            <w:vAlign w:val="bottom"/>
            <w:tcBorders>
              <w:bottom w:val="single" w:sz="8" w:color="auto"/>
            </w:tcBorders>
            <w:shd w:val="clear" w:color="auto" w:fill="CCEEFF"/>
          </w:tcPr>
          <w:p>
            <w:pPr>
              <w:spacing w:after="0"/>
              <w:rPr>
                <w:sz w:val="19"/>
                <w:szCs w:val="19"/>
                <w:color w:val="auto"/>
              </w:rPr>
            </w:pP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7,950,000</w:t>
            </w:r>
          </w:p>
        </w:tc>
      </w:tr>
      <w:tr>
        <w:trPr>
          <w:trHeight w:val="223"/>
        </w:trPr>
        <w:tc>
          <w:tcPr>
            <w:tcW w:w="20" w:type="dxa"/>
            <w:vAlign w:val="bottom"/>
          </w:tcPr>
          <w:p>
            <w:pPr>
              <w:spacing w:after="0"/>
              <w:rPr>
                <w:sz w:val="19"/>
                <w:szCs w:val="19"/>
                <w:color w:val="auto"/>
              </w:rPr>
            </w:pPr>
          </w:p>
        </w:tc>
        <w:tc>
          <w:tcPr>
            <w:tcW w:w="9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minimum principal payments</w:t>
            </w:r>
          </w:p>
        </w:tc>
        <w:tc>
          <w:tcPr>
            <w:tcW w:w="38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17,097,906</w:t>
            </w:r>
          </w:p>
        </w:tc>
      </w:tr>
      <w:tr>
        <w:trPr>
          <w:trHeight w:val="21"/>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Senior Unsecured Notes</w:t>
      </w:r>
    </w:p>
    <w:p>
      <w:pPr>
        <w:spacing w:after="0" w:line="175"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As set forth in the above table, as of September 30, 2025, our outstanding senior unsecured notes consist of (i) $2.25 billion aggregate principal amount of Senior Notes issued on November 26, 2019 (the “November 2019 Notes”), (ii) $1.75 billion aggregate principal amount of Senior Notes issued on February 5, 2020 (the “February 2020 Notes”), (iii) $4.50 billion aggregate principal amount of Senior Notes issued on April 29, 2022 (the “April 2022 Notes”), (iv) approximately $2.3 billion aggregate principal amount of Senior Notes issued on April 29, 2022, in each case issued by VICI LP and VICI Note Co. Inc. (the “Exchange Notes”), (v) approximately $63.6 million aggregate principal amount of Senior Notes, which were originally issued by MGM Growth Properties Operating Partnership LP and a co-issuer (the “MGP OP Notes”) and remain outstanding following the issuance of the Exchange Notes pursuant to the exchange offer and consent solicitation for the then-outstanding MGP OP Notes, which settled in connection with the completion of our acquisition of MGM Growth Properties LLC (“MGP”) on April 29, 2022, (vi) $1.05 billion aggregate principal amount of Senior Notes issued on March 18, 2024 (the “March 2024 Notes”), (vii) $750.0 million aggregate principal amount of Senior Notes issued on December 19, 2024, (the “December 2024 Notes”), and</w:t>
      </w:r>
    </w:p>
    <w:p>
      <w:pPr>
        <w:spacing w:after="0" w:line="6" w:lineRule="exact"/>
        <w:rPr>
          <w:sz w:val="20"/>
          <w:szCs w:val="20"/>
          <w:color w:val="auto"/>
        </w:rPr>
      </w:pPr>
    </w:p>
    <w:p>
      <w:pPr>
        <w:jc w:val="both"/>
        <w:ind w:firstLine="8"/>
        <w:spacing w:after="0" w:line="255" w:lineRule="auto"/>
        <w:tabs>
          <w:tab w:leader="none" w:pos="41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 billion aggregate principal amount of Senior Notes issued on April 7, 2025 (the “April 2025 Notes”). The outstanding November 2019 Notes, February 2020 Notes, April 2022 Notes, Exchange Notes, MGP OP Notes, March 2024 Notes, December 2024 Notes and April 2025 Notes are collectively referred to as the “Senior Unsecured Notes”.</w:t>
      </w:r>
    </w:p>
    <w:p>
      <w:pPr>
        <w:spacing w:after="0" w:line="13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April 7, 2025, VICI LP issued the April 2025 Notes comprised of (i) $400.0 million aggregate principal amount of 4.750% Senior Notes due 2028, which mature on April 1, 2028, and (ii) $900.0 million aggregate principal amount of 5.625% Senior Notes due 2035, which mature on April 1, 2035, in each case under a supplemental indenture dated as of April, 7, 2025, between VICI LP and the trustee. We used the net proceeds of the April 2025 Notes to redeem our then-outstanding (i) $799.4 million in aggregate principal amount of the 4.625% Exchange Notes due 2025, (ii) $500.0 million in aggregate principal amount of the 4.375% April 2022 Notes due 2025, and (iii) $0.6 million in aggregate principal amount of the 4.625% MGP OP Notes due 2025.</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Subject to the terms and conditions of the applicable indentures (including supplemental indentures, collectively “indentures”), each series of Senior Unsecured Notes is redeemable at our option, in whole or in part, at any time for a specified period prior to the maturity date of such series at the redemption prices set forth in the applicable indenture. In addition, we may redeem some or all of such notes prior to such respective dates at a price equal to 100% of the principal amount thereof plus a “make-whole” premium or on such other terms as specified in the applicable indenture.</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Guarantee and Financial Covenants</w:t>
      </w:r>
    </w:p>
    <w:p>
      <w:pPr>
        <w:spacing w:after="0" w:line="17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None of the Senior Unsecured Notes are guaranteed by any subsidiaries of VICI LP. The Exchange Notes, the MGP OP Notes, the April 2022 Notes, the March 2024 Notes, the December 2024 Notes and the April 2025 Notes benefit from a pledge of the limited partnership interests of VICI LP directly owned by VICI OP (the “Limited Equity Pledge”). The Limited Equity Pledge</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has also been granted in favor of (i) the administrative agent and the lenders under the Credit Agreement (as defined below), and (ii) the trustee under the indentures governing, and the holders of, the November 2019 Notes and the February 2020 Notes.</w:t>
      </w:r>
    </w:p>
    <w:p>
      <w:pPr>
        <w:spacing w:after="0" w:line="108"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Pursuant to the terms of the respective indentures, in the event that the November 2019 Notes, February 2020 Notes and Exchange Notes (i) are rated investment grade by at least two of S&amp;P, Moody’s and Fitch and (ii) no default or event of default has occurred and is continuing under the respective indentures, VICI LP and its restricted subsidiaries will no longer be subject to certain of the restrictive covenants under such indentures. On April 18, 2022, the November 2019 Notes, February 2020 Notes and Exchange Notes were rated investment grade by each of S&amp;P and Fitch and VICI LP notified the trustee of such Suspension Date (as defined in the indentures). Accordingly, VICI LP and its restricted subsidiaries currently are not subject to certain of the restrictive covenants under such indentures, but are subject to a maintenance covenant requiring VICI LP and its restricted subsidiaries to maintain a certain total unencumbered assets to unsecured debt ratio. In the event that the November 2019 Notes, February 2020 Notes and Exchange Notes are no longer rated investment grade by at least two of S&amp;P, Moody’s and Fitch, then VICI LP and its restricted subsidiaries will again be subject to all of the covenants of the respective indentures, as applicable, but will no longer be subject to the maintenance covenant.</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governing each of the April 2022 Notes, March 2024 Notes, December 2024 Notes and April 2025 Notes contain certain covenants that limit the ability of VICI LP and its subsidiaries to incur secured and unsecured indebtedness and limit VICI LP’s ability to consummate a merger, consolidation or sale of all or substantially all of its assets. In addition, VICI LP is required to maintain total unencumbered assets of at least 150% of total unsecured indebtedness. These covenants are subject to a number of important exceptions and qualifications.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Unsecured Credit Facilities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3, 2025, we entered into a credit agreement by and among VICI LP, the lenders party thereto, and Wells Fargo Bank, N.A., as administrative agent, as amended from time to time (the “Credit Agreement”), providing for a revolving credit facility in the amount of $2.5 billion scheduled to mature on February 3, 2029 (the “Revolving Credit Facility”). Concurrently with entry into the Credit Agreement and Revolving Credit Facility, we terminated the credit agreement dated February 8, 2022 by and among VICI LP, the lenders from time to time party thereto, and JPMorgan Chase Bank, N.A., as administrative agent, as amended from time to time (the “2022 Credit Agreement”) and the existing revolving credit facility in the amount of $2.5 billion scheduled to mature on March 31, 2026 (the “2022 Revolving Credit Facility”). In connection with the termination of the 2022 Revolving Credit Facility, all outstanding balances thereunder were repaid and reborrowed under the Revolving Credit Facility.</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Revolving Credit Facility includes two six-month maturity extension options (or one twelve-month extension option), the exercise of which in each case is subject to customary conditions and the payment of an extension fee of (i) 0.0625% on the extended commitments, in the case of each six-month extension of the Revolving Credit Facility, and (ii) 0.125% on the extended commitments, in the case of a twelve-month extension of the Revolving Credit Facility. The Revolving Credit Facility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w:t>
      </w:r>
    </w:p>
    <w:p>
      <w:pPr>
        <w:spacing w:after="0" w:line="13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and total leverage ratio. The base rate is the highest of (i) the prime rate of interest last quoted by the Wall Street Journal in the U.S. then in effect, (ii) the NYFRB rate from time to time plus 0.5% and (iii) the SOFR rate for a one-month interest period plus 1.0%, subject to a floor of 1.0%.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Revolving Credit Facility requires the payment of a facility fee ranging from 0.10% to 0.30% (depending on VICI LP’s debt ratings and total leverage ratio) of total commitments. The Revolving Credit Facility may be voluntarily prepaid in full or in part at any time, subject to customary breakage costs, if applicable.</w:t>
      </w:r>
    </w:p>
    <w:p>
      <w:pPr>
        <w:spacing w:after="0" w:line="13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Credit Agreement contains customary representations and warranties and affirmative, negative and financial covenants. Such covenants include restrictions on mergers, affiliate transactions, and asset sales as well as certain financial maintenance covenants. The Credit Agreement also includes customary events of default, the occurrence of which, following any applicable grace period, would permit the lenders to, among other things, declare the principal, accrued interest and other obligations of</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VICI LP under the Credit Agreement to be immediately due and payable. The Credit Agreement is consistent with certain tax-related requirements related to security for our debt.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we had C$175.0 million and £16.5 million outstanding on the Revolving Credit Facility in connection with the funding of a portion of our Canadian investments and our United Kingdom investments, respectively.</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MGM Grand/Mandalay Bay CMBS Debt</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investment in the real estate assets of the MGM Grand and Mandalay Bay, through an entity that holds these assets (the “MGM Grand/Mandalay Bay PropCo”), is financed with CMBS debt (the “MGM Grand/Mandalay Bay CMBS Debt”) and is secured primarily by mortgages on our fee interest in the real estate assets of these two properties. The MGM Grand/Mandalay Bay CMBS Debt has a current outstanding principal balance of $3.0 billion, matures in March 2032 and bears interest at 3.558% per annum until March 2030, at which time the rate can change in accordance with the terms of the MGM Grand/Mandalay Bay CMBS loan agreement until maturity. The MGM Grand/Mandalay Bay CMBS loan agreement contains certain customary affirmative and negative covenants and events of default, including, among other things, restrictions on the ability of the MGM Grand/Mandalay Bay PropCo and certain of its affiliates to incur additional debt and transfer, pledge or assign certain equity interests or its assets, and covenants requiring certain affiliates of the MGM Grand/Mandalay Bay PropCo to exist as “special purpose entities,” maintain certain ongoing reserve funds and comply with other customary obligations for commercial mortgage-backed securities loan financings.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Covenants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described above, our debt obligations are subject to certain customary financial and protective covenants that restrict VICI LP, VICI PropCo and its subsidiaries’ ability to incur additional debt, sell certain assets and restrict certain payments, among other things. These covenants are subject to a number of exceptions and qualifications, including the ability to make restricted payments to maintain our REIT status. At September 30, 2025, we were in compliance with all financial covenants under our debt obligations.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8 — Derivatives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231F20"/>
        </w:rPr>
        <w:t>Interest-Rate Derivatives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Outstanding Derivatives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detail our outstanding interest rate derivatives that were designated as cash flow hedges of interest rate risk as of December 31, 2024.</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There were no derivative instruments outstanding as of September 30, 2025.</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31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60" w:type="dxa"/>
            <w:vAlign w:val="bottom"/>
            <w:gridSpan w:val="4"/>
          </w:tcPr>
          <w:p>
            <w:pPr>
              <w:ind w:left="9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318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Instrument</w:t>
            </w:r>
          </w:p>
        </w:tc>
        <w:tc>
          <w:tcPr>
            <w:tcW w:w="1340" w:type="dxa"/>
            <w:vAlign w:val="bottom"/>
            <w:gridSpan w:val="2"/>
          </w:tcPr>
          <w:p>
            <w:pPr>
              <w:jc w:val="center"/>
              <w:ind w:right="100"/>
              <w:spacing w:after="0" w:line="155" w:lineRule="exact"/>
              <w:rPr>
                <w:sz w:val="20"/>
                <w:szCs w:val="20"/>
                <w:color w:val="auto"/>
              </w:rPr>
            </w:pPr>
            <w:r>
              <w:rPr>
                <w:rFonts w:ascii="Times New Roman" w:cs="Times New Roman" w:eastAsia="Times New Roman" w:hAnsi="Times New Roman"/>
                <w:sz w:val="16"/>
                <w:szCs w:val="16"/>
                <w:b w:val="1"/>
                <w:bCs w:val="1"/>
                <w:color w:val="auto"/>
              </w:rPr>
              <w:t>Number of</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Fixed Rate</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60" w:type="dxa"/>
            <w:vAlign w:val="bottom"/>
            <w:gridSpan w:val="2"/>
            <w:vMerge w:val="restart"/>
          </w:tcPr>
          <w:p>
            <w:pPr>
              <w:ind w:left="240"/>
              <w:spacing w:after="0"/>
              <w:rPr>
                <w:sz w:val="20"/>
                <w:szCs w:val="20"/>
                <w:color w:val="auto"/>
              </w:rPr>
            </w:pPr>
            <w:r>
              <w:rPr>
                <w:rFonts w:ascii="Times New Roman" w:cs="Times New Roman" w:eastAsia="Times New Roman" w:hAnsi="Times New Roman"/>
                <w:sz w:val="16"/>
                <w:szCs w:val="16"/>
                <w:b w:val="1"/>
                <w:bCs w:val="1"/>
                <w:color w:val="auto"/>
              </w:rPr>
              <w:t>Notional</w:t>
            </w:r>
          </w:p>
        </w:tc>
        <w:tc>
          <w:tcPr>
            <w:tcW w:w="26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Index</w:t>
            </w:r>
          </w:p>
        </w:tc>
        <w:tc>
          <w:tcPr>
            <w:tcW w:w="182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Maturity</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3180" w:type="dxa"/>
            <w:vAlign w:val="bottom"/>
            <w:gridSpan w:val="3"/>
            <w:vMerge w:val="continue"/>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9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vMerge w:val="continue"/>
          </w:tcPr>
          <w:p>
            <w:pPr>
              <w:spacing w:after="0"/>
              <w:rPr>
                <w:sz w:val="18"/>
                <w:szCs w:val="18"/>
                <w:color w:val="auto"/>
              </w:rPr>
            </w:pPr>
          </w:p>
        </w:tc>
        <w:tc>
          <w:tcPr>
            <w:tcW w:w="2600" w:type="dxa"/>
            <w:vAlign w:val="bottom"/>
            <w:gridSpan w:val="2"/>
            <w:vMerge w:val="continue"/>
          </w:tcPr>
          <w:p>
            <w:pPr>
              <w:spacing w:after="0"/>
              <w:rPr>
                <w:sz w:val="18"/>
                <w:szCs w:val="18"/>
                <w:color w:val="auto"/>
              </w:rPr>
            </w:pPr>
          </w:p>
        </w:tc>
        <w:tc>
          <w:tcPr>
            <w:tcW w:w="18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31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Forward-starting interest rate swap</w:t>
            </w:r>
          </w:p>
        </w:tc>
        <w:tc>
          <w:tcPr>
            <w:tcW w:w="80" w:type="dxa"/>
            <w:vAlign w:val="bottom"/>
            <w:tcBorders>
              <w:top w:val="single" w:sz="8" w:color="CCEEFF"/>
            </w:tcBorders>
            <w:shd w:val="clear" w:color="auto" w:fill="CCEEFF"/>
          </w:tcPr>
          <w:p>
            <w:pPr>
              <w:spacing w:after="0"/>
              <w:rPr>
                <w:sz w:val="19"/>
                <w:szCs w:val="19"/>
                <w:color w:val="auto"/>
              </w:rPr>
            </w:pPr>
          </w:p>
        </w:tc>
        <w:tc>
          <w:tcPr>
            <w:tcW w:w="12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88"/>
              </w:rPr>
              <w:t>4</w:t>
            </w: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3.5880%</w:t>
            </w:r>
          </w:p>
        </w:tc>
        <w:tc>
          <w:tcPr>
            <w:tcW w:w="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   200,000</w:t>
            </w:r>
          </w:p>
        </w:tc>
        <w:tc>
          <w:tcPr>
            <w:tcW w:w="100" w:type="dxa"/>
            <w:vAlign w:val="bottom"/>
            <w:tcBorders>
              <w:top w:val="single" w:sz="8" w:color="CCEEFF"/>
            </w:tcBorders>
            <w:shd w:val="clear" w:color="auto" w:fill="CCEEFF"/>
          </w:tcPr>
          <w:p>
            <w:pPr>
              <w:spacing w:after="0"/>
              <w:rPr>
                <w:sz w:val="19"/>
                <w:szCs w:val="19"/>
                <w:color w:val="auto"/>
              </w:rPr>
            </w:pPr>
          </w:p>
        </w:tc>
        <w:tc>
          <w:tcPr>
            <w:tcW w:w="2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USD-SOFR-OIS COMPOUND</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27, 2035</w:t>
            </w:r>
          </w:p>
        </w:tc>
        <w:tc>
          <w:tcPr>
            <w:tcW w:w="0" w:type="dxa"/>
            <w:vAlign w:val="bottom"/>
          </w:tcPr>
          <w:p>
            <w:pPr>
              <w:spacing w:after="0"/>
              <w:rPr>
                <w:sz w:val="1"/>
                <w:szCs w:val="1"/>
                <w:color w:val="auto"/>
              </w:rPr>
            </w:pPr>
          </w:p>
        </w:tc>
      </w:tr>
      <w:tr>
        <w:trPr>
          <w:trHeight w:val="905"/>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40" w:type="dxa"/>
            <w:vAlign w:val="bottom"/>
            <w:gridSpan w:val="3"/>
          </w:tcPr>
          <w:p>
            <w:pPr>
              <w:jc w:val="right"/>
              <w:ind w:right="916"/>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21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5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Settled Derivatives</w:t>
      </w:r>
    </w:p>
    <w:p>
      <w:pPr>
        <w:spacing w:after="0" w:line="17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entered into, and subsequently settled, the following forward-starting interest rate swap agreements and U.S. Treasury Rate Lock agreements to hedge against changes in future cash flows resulting from changes in interest rates from the trade date through the forecasted issuance of the respective senior unsecured notes. In each case, the derivatives were designated as cash-flow hedges and, accordingly, the unrealized gain in Accumulated other comprehensive income is amortized over the term of the respective derivative instruments, which matches that of the underlying note, as a reduction in interest expense.</w:t>
      </w: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1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Total Net</w:t>
            </w: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2260" w:type="dxa"/>
            <w:vAlign w:val="bottom"/>
            <w:gridSpan w:val="3"/>
            <w:vMerge w:val="restart"/>
          </w:tcPr>
          <w:p>
            <w:pPr>
              <w:spacing w:after="0"/>
              <w:rPr>
                <w:sz w:val="20"/>
                <w:szCs w:val="20"/>
                <w:color w:val="auto"/>
              </w:rPr>
            </w:pPr>
            <w:r>
              <w:rPr>
                <w:rFonts w:ascii="Times New Roman" w:cs="Times New Roman" w:eastAsia="Times New Roman" w:hAnsi="Times New Roman"/>
                <w:sz w:val="16"/>
                <w:szCs w:val="16"/>
                <w:b w:val="1"/>
                <w:bCs w:val="1"/>
                <w:color w:val="auto"/>
              </w:rPr>
              <w:t>Notes Offering</w:t>
            </w:r>
          </w:p>
        </w:tc>
        <w:tc>
          <w:tcPr>
            <w:tcW w:w="19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Settlement Period</w:t>
            </w:r>
          </w:p>
        </w:tc>
        <w:tc>
          <w:tcPr>
            <w:tcW w:w="2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Instrument</w:t>
            </w:r>
          </w:p>
        </w:tc>
        <w:tc>
          <w:tcPr>
            <w:tcW w:w="1440" w:type="dxa"/>
            <w:vAlign w:val="bottom"/>
            <w:gridSpan w:val="2"/>
            <w:vMerge w:val="continue"/>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Notional Amount</w:t>
            </w:r>
          </w:p>
        </w:tc>
        <w:tc>
          <w:tcPr>
            <w:tcW w:w="280" w:type="dxa"/>
            <w:vAlign w:val="bottom"/>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260" w:type="dxa"/>
            <w:vAlign w:val="bottom"/>
            <w:gridSpan w:val="3"/>
            <w:vMerge w:val="continue"/>
          </w:tcPr>
          <w:p>
            <w:pPr>
              <w:spacing w:after="0"/>
              <w:rPr>
                <w:sz w:val="18"/>
                <w:szCs w:val="18"/>
                <w:color w:val="auto"/>
              </w:rPr>
            </w:pPr>
          </w:p>
        </w:tc>
        <w:tc>
          <w:tcPr>
            <w:tcW w:w="1920" w:type="dxa"/>
            <w:vAlign w:val="bottom"/>
            <w:gridSpan w:val="2"/>
            <w:vMerge w:val="continue"/>
          </w:tcPr>
          <w:p>
            <w:pPr>
              <w:spacing w:after="0"/>
              <w:rPr>
                <w:sz w:val="18"/>
                <w:szCs w:val="18"/>
                <w:color w:val="auto"/>
              </w:rPr>
            </w:pPr>
          </w:p>
        </w:tc>
        <w:tc>
          <w:tcPr>
            <w:tcW w:w="2540" w:type="dxa"/>
            <w:vAlign w:val="bottom"/>
            <w:gridSpan w:val="2"/>
            <w:vMerge w:val="continue"/>
          </w:tcPr>
          <w:p>
            <w:pPr>
              <w:spacing w:after="0"/>
              <w:rPr>
                <w:sz w:val="18"/>
                <w:szCs w:val="18"/>
                <w:color w:val="auto"/>
              </w:rPr>
            </w:pP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1420" w:type="dxa"/>
            <w:vAlign w:val="bottom"/>
            <w:gridSpan w:val="2"/>
            <w:vMerge w:val="continue"/>
          </w:tcPr>
          <w:p>
            <w:pPr>
              <w:spacing w:after="0"/>
              <w:rPr>
                <w:sz w:val="18"/>
                <w:szCs w:val="18"/>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Proceeds/(Payments)</w:t>
            </w:r>
          </w:p>
        </w:tc>
        <w:tc>
          <w:tcPr>
            <w:tcW w:w="0" w:type="dxa"/>
            <w:vAlign w:val="bottom"/>
          </w:tcPr>
          <w:p>
            <w:pPr>
              <w:spacing w:after="0"/>
              <w:rPr>
                <w:sz w:val="1"/>
                <w:szCs w:val="1"/>
                <w:color w:val="auto"/>
              </w:rPr>
            </w:pPr>
          </w:p>
        </w:tc>
      </w:tr>
      <w:tr>
        <w:trPr>
          <w:trHeight w:val="171"/>
        </w:trPr>
        <w:tc>
          <w:tcPr>
            <w:tcW w:w="2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20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40" w:type="dxa"/>
            <w:vAlign w:val="bottom"/>
            <w:tcBorders>
              <w:top w:val="single" w:sz="8" w:color="auto"/>
            </w:tcBorders>
            <w:shd w:val="clear" w:color="auto" w:fill="CCEEFF"/>
          </w:tcPr>
          <w:p>
            <w:pPr>
              <w:ind w:left="20"/>
              <w:spacing w:after="0" w:line="171" w:lineRule="exact"/>
              <w:rPr>
                <w:sz w:val="20"/>
                <w:szCs w:val="20"/>
                <w:color w:val="auto"/>
              </w:rPr>
            </w:pPr>
            <w:r>
              <w:rPr>
                <w:rFonts w:ascii="Times New Roman" w:cs="Times New Roman" w:eastAsia="Times New Roman" w:hAnsi="Times New Roman"/>
                <w:sz w:val="18"/>
                <w:szCs w:val="18"/>
                <w:color w:val="auto"/>
              </w:rPr>
              <w:t>Forward-starting interest rate</w:t>
            </w:r>
          </w:p>
        </w:tc>
        <w:tc>
          <w:tcPr>
            <w:tcW w:w="100" w:type="dxa"/>
            <w:vAlign w:val="bottom"/>
            <w:tcBorders>
              <w:top w:val="single" w:sz="8" w:color="CCEEFF"/>
            </w:tcBorders>
            <w:shd w:val="clear" w:color="auto" w:fill="CCEEFF"/>
          </w:tcPr>
          <w:p>
            <w:pPr>
              <w:spacing w:after="0"/>
              <w:rPr>
                <w:sz w:val="14"/>
                <w:szCs w:val="14"/>
                <w:color w:val="auto"/>
              </w:rPr>
            </w:pPr>
          </w:p>
        </w:tc>
        <w:tc>
          <w:tcPr>
            <w:tcW w:w="13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3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12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2025 Notes</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swap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12</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2025 Notes</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2025</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Rate Lock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176"/>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Forward-starting interest rate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December 2024 Notes</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swap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December 2024 Notes</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December 2024</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U.S. Treasury Rate Lock</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300,000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w:t>
            </w: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54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Forward-starting interest rate</w:t>
            </w: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shd w:val="clear" w:color="auto" w:fill="CCEEFF"/>
          </w:tcPr>
          <w:p>
            <w:pPr>
              <w:spacing w:after="0"/>
              <w:rPr>
                <w:sz w:val="21"/>
                <w:szCs w:val="21"/>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2024 Notes</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2024</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swap</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2,543</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54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8"/>
                <w:szCs w:val="18"/>
                <w:color w:val="auto"/>
              </w:rPr>
              <w:t>Forward-starting interest rate</w:t>
            </w: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2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April 2022 Notes</w:t>
            </w:r>
          </w:p>
        </w:tc>
        <w:tc>
          <w:tcPr>
            <w:tcW w:w="19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swap</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2,500,000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202,289</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226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April 2022 Notes</w:t>
            </w:r>
          </w:p>
        </w:tc>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April 2022</w:t>
            </w:r>
          </w:p>
        </w:tc>
        <w:tc>
          <w:tcPr>
            <w:tcW w:w="25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Rate Lock</w:t>
            </w:r>
          </w:p>
        </w:tc>
        <w:tc>
          <w:tcPr>
            <w:tcW w:w="13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4,549</w:t>
            </w: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effect of our forward-starting derivative financial instruments on our Statement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5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Pr>
          <w:p>
            <w:pPr>
              <w:spacing w:after="0"/>
              <w:rPr>
                <w:sz w:val="16"/>
                <w:szCs w:val="16"/>
                <w:color w:val="auto"/>
              </w:rPr>
            </w:pPr>
          </w:p>
        </w:tc>
        <w:tc>
          <w:tcPr>
            <w:tcW w:w="2520" w:type="dxa"/>
            <w:vAlign w:val="bottom"/>
            <w:gridSpan w:val="4"/>
          </w:tcPr>
          <w:p>
            <w:pPr>
              <w:jc w:val="center"/>
              <w:ind w:right="233"/>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center"/>
              <w:ind w:left="4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8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5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gain recorded in other comprehensive income</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(5,949)</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9,768</w:t>
            </w:r>
          </w:p>
        </w:tc>
      </w:tr>
      <w:tr>
        <w:trPr>
          <w:trHeight w:val="175"/>
        </w:trPr>
        <w:tc>
          <w:tcPr>
            <w:tcW w:w="20" w:type="dxa"/>
            <w:vAlign w:val="bottom"/>
          </w:tcPr>
          <w:p>
            <w:pPr>
              <w:spacing w:after="0"/>
              <w:rPr>
                <w:sz w:val="15"/>
                <w:szCs w:val="15"/>
                <w:color w:val="auto"/>
              </w:rPr>
            </w:pPr>
          </w:p>
        </w:tc>
        <w:tc>
          <w:tcPr>
            <w:tcW w:w="5420" w:type="dxa"/>
            <w:vAlign w:val="bottom"/>
            <w:gridSpan w:val="2"/>
          </w:tcPr>
          <w:p>
            <w:pPr>
              <w:spacing w:after="0" w:line="176" w:lineRule="exact"/>
              <w:rPr>
                <w:sz w:val="20"/>
                <w:szCs w:val="20"/>
                <w:color w:val="auto"/>
              </w:rPr>
            </w:pPr>
            <w:r>
              <w:rPr>
                <w:rFonts w:ascii="Times New Roman" w:cs="Times New Roman" w:eastAsia="Times New Roman" w:hAnsi="Times New Roman"/>
                <w:sz w:val="18"/>
                <w:szCs w:val="18"/>
                <w:color w:val="auto"/>
              </w:rPr>
              <w:t>Reduction in interest expense related to the amortization of the forward-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43"/>
        </w:trPr>
        <w:tc>
          <w:tcPr>
            <w:tcW w:w="20" w:type="dxa"/>
            <w:vAlign w:val="bottom"/>
          </w:tcPr>
          <w:p>
            <w:pPr>
              <w:spacing w:after="0"/>
              <w:rPr>
                <w:sz w:val="21"/>
                <w:szCs w:val="21"/>
                <w:color w:val="auto"/>
              </w:rPr>
            </w:pPr>
          </w:p>
        </w:tc>
        <w:tc>
          <w:tcPr>
            <w:tcW w:w="5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starting interest rate swaps and treasury locks</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(6,389)</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(6,100)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(19,120)</w:t>
            </w: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(18,530)</w:t>
            </w: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Investment Hedges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connection with our foreign transactions in Canada and the United Kingdom, we currently have C$175.0 million and £16.5 million, respectively, outstanding on the Revolving Credit Facility, which funds were used to reduce the impact of exchange rate variations associated with our investments, and, accordingly, have been designated as a hedge of the net investment in such entities. As non-derivative net investment hedges, the impact of changes in foreign currency exchange rates on the principal balances are recognized as a cumulative translation adjustment within accumulated other comprehensive income. For the three and nine months ended September 30, 2025, we recognized $3.3 million in unrealized gains and $5.7 million in unrealized losses, respectively, related to such net investment hedges, and for the three and nine months ended September 30, 2024, we recognized $2.4 million in unrealized losses and $2.4 million in unrealized gains, respectively, related to such net investment hedges, which were recorded as a component of Foreign currency translation adjustments in the Statement of Operations.</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9 — Fair Value</w:t>
      </w:r>
    </w:p>
    <w:p>
      <w:pPr>
        <w:spacing w:after="0" w:line="16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assets and liabilities measured at fair value on a recurring basis as of December 31, 2024. As of September 30, 2025, there were no assets or liabilities measured at fair value on a recurring basis.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5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5"/>
          </w:tcPr>
          <w:p>
            <w:pPr>
              <w:jc w:val="center"/>
              <w:ind w:right="600"/>
              <w:spacing w:after="0"/>
              <w:rPr>
                <w:sz w:val="20"/>
                <w:szCs w:val="20"/>
                <w:color w:val="auto"/>
              </w:rPr>
            </w:pPr>
            <w:r>
              <w:rPr>
                <w:rFonts w:ascii="Times New Roman" w:cs="Times New Roman" w:eastAsia="Times New Roman" w:hAnsi="Times New Roman"/>
                <w:sz w:val="16"/>
                <w:szCs w:val="16"/>
                <w:b w:val="1"/>
                <w:bCs w:val="1"/>
                <w:color w:val="auto"/>
              </w:rPr>
              <w:t>December 31, 2024</w:t>
            </w: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r>
      <w:tr>
        <w:trPr>
          <w:trHeight w:val="158"/>
        </w:trPr>
        <w:tc>
          <w:tcPr>
            <w:tcW w:w="20" w:type="dxa"/>
            <w:vAlign w:val="bottom"/>
          </w:tcPr>
          <w:p>
            <w:pPr>
              <w:spacing w:after="0"/>
              <w:rPr>
                <w:sz w:val="13"/>
                <w:szCs w:val="13"/>
                <w:color w:val="auto"/>
              </w:rPr>
            </w:pPr>
          </w:p>
        </w:tc>
        <w:tc>
          <w:tcPr>
            <w:tcW w:w="43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right="360"/>
              <w:spacing w:after="0" w:line="142" w:lineRule="exact"/>
              <w:rPr>
                <w:sz w:val="20"/>
                <w:szCs w:val="20"/>
                <w:color w:val="auto"/>
              </w:rPr>
            </w:pPr>
            <w:r>
              <w:rPr>
                <w:rFonts w:ascii="Times New Roman" w:cs="Times New Roman" w:eastAsia="Times New Roman" w:hAnsi="Times New Roman"/>
                <w:sz w:val="16"/>
                <w:szCs w:val="16"/>
                <w:b w:val="1"/>
                <w:bCs w:val="1"/>
                <w:color w:val="auto"/>
                <w:w w:val="98"/>
              </w:rPr>
              <w:t>Fair Value</w:t>
            </w: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r>
      <w:tr>
        <w:trPr>
          <w:trHeight w:val="34"/>
        </w:trPr>
        <w:tc>
          <w:tcPr>
            <w:tcW w:w="20" w:type="dxa"/>
            <w:vAlign w:val="bottom"/>
          </w:tcPr>
          <w:p>
            <w:pPr>
              <w:spacing w:after="0"/>
              <w:rPr>
                <w:sz w:val="2"/>
                <w:szCs w:val="2"/>
                <w:color w:val="auto"/>
              </w:rPr>
            </w:pPr>
          </w:p>
        </w:tc>
        <w:tc>
          <w:tcPr>
            <w:tcW w:w="880" w:type="dxa"/>
            <w:vAlign w:val="bottom"/>
            <w:tcBorders>
              <w:top w:val="single" w:sz="8" w:color="auto"/>
            </w:tcBorders>
          </w:tcPr>
          <w:p>
            <w:pPr>
              <w:spacing w:after="0"/>
              <w:rPr>
                <w:sz w:val="2"/>
                <w:szCs w:val="2"/>
                <w:color w:val="auto"/>
              </w:rPr>
            </w:pPr>
          </w:p>
        </w:tc>
        <w:tc>
          <w:tcPr>
            <w:tcW w:w="3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3"/>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Carrying Amount</w:t>
            </w:r>
          </w:p>
        </w:tc>
        <w:tc>
          <w:tcPr>
            <w:tcW w:w="300" w:type="dxa"/>
            <w:vAlign w:val="bottom"/>
          </w:tcPr>
          <w:p>
            <w:pPr>
              <w:spacing w:after="0"/>
              <w:rPr>
                <w:sz w:val="19"/>
                <w:szCs w:val="19"/>
                <w:color w:val="auto"/>
              </w:rPr>
            </w:pPr>
          </w:p>
        </w:tc>
        <w:tc>
          <w:tcPr>
            <w:tcW w:w="164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44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320" w:type="dxa"/>
            <w:vAlign w:val="bottom"/>
          </w:tcPr>
          <w:p>
            <w:pPr>
              <w:spacing w:after="0"/>
              <w:rPr>
                <w:sz w:val="19"/>
                <w:szCs w:val="19"/>
                <w:color w:val="auto"/>
              </w:rPr>
            </w:pPr>
          </w:p>
        </w:tc>
        <w:tc>
          <w:tcPr>
            <w:tcW w:w="126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Level 3</w:t>
            </w:r>
          </w:p>
        </w:tc>
      </w:tr>
      <w:tr>
        <w:trPr>
          <w:trHeight w:val="209"/>
        </w:trPr>
        <w:tc>
          <w:tcPr>
            <w:tcW w:w="20" w:type="dxa"/>
            <w:vAlign w:val="bottom"/>
            <w:tcBorders>
              <w:top w:val="single" w:sz="8" w:color="CCEEFF"/>
            </w:tcBorders>
            <w:shd w:val="clear" w:color="auto" w:fill="CCEEFF"/>
          </w:tcPr>
          <w:p>
            <w:pPr>
              <w:spacing w:after="0"/>
              <w:rPr>
                <w:sz w:val="18"/>
                <w:szCs w:val="18"/>
                <w:color w:val="auto"/>
              </w:rPr>
            </w:pPr>
          </w:p>
        </w:tc>
        <w:tc>
          <w:tcPr>
            <w:tcW w:w="438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180" w:type="dxa"/>
            <w:vAlign w:val="bottom"/>
            <w:tcBorders>
              <w:top w:val="single" w:sz="8" w:color="auto"/>
            </w:tcBorders>
            <w:shd w:val="clear" w:color="auto" w:fill="CCEEFF"/>
          </w:tcPr>
          <w:p>
            <w:pPr>
              <w:spacing w:after="0"/>
              <w:rPr>
                <w:sz w:val="18"/>
                <w:szCs w:val="18"/>
                <w:color w:val="auto"/>
              </w:rPr>
            </w:pPr>
          </w:p>
        </w:tc>
        <w:tc>
          <w:tcPr>
            <w:tcW w:w="15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r>
      <w:tr>
        <w:trPr>
          <w:trHeight w:val="179"/>
        </w:trPr>
        <w:tc>
          <w:tcPr>
            <w:tcW w:w="20" w:type="dxa"/>
            <w:vAlign w:val="bottom"/>
          </w:tcPr>
          <w:p>
            <w:pPr>
              <w:spacing w:after="0"/>
              <w:rPr>
                <w:sz w:val="15"/>
                <w:szCs w:val="15"/>
                <w:color w:val="auto"/>
              </w:rPr>
            </w:pPr>
          </w:p>
        </w:tc>
        <w:tc>
          <w:tcPr>
            <w:tcW w:w="4380" w:type="dxa"/>
            <w:vAlign w:val="bottom"/>
            <w:gridSpan w:val="2"/>
          </w:tcPr>
          <w:p>
            <w:pPr>
              <w:ind w:left="200"/>
              <w:spacing w:after="0" w:line="179" w:lineRule="exact"/>
              <w:rPr>
                <w:sz w:val="20"/>
                <w:szCs w:val="20"/>
                <w:color w:val="auto"/>
              </w:rPr>
            </w:pPr>
            <w:r>
              <w:rPr>
                <w:rFonts w:ascii="Times New Roman" w:cs="Times New Roman" w:eastAsia="Times New Roman" w:hAnsi="Times New Roman"/>
                <w:sz w:val="18"/>
                <w:szCs w:val="18"/>
                <w:color w:val="auto"/>
              </w:rPr>
              <w:t>Derivative instruments – forward-starting interest rate</w:t>
            </w:r>
          </w:p>
        </w:tc>
        <w:tc>
          <w:tcPr>
            <w:tcW w:w="18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308"/>
        </w:trPr>
        <w:tc>
          <w:tcPr>
            <w:tcW w:w="20" w:type="dxa"/>
            <w:vAlign w:val="bottom"/>
          </w:tcPr>
          <w:p>
            <w:pPr>
              <w:spacing w:after="0"/>
              <w:rPr>
                <w:sz w:val="24"/>
                <w:szCs w:val="24"/>
                <w:color w:val="auto"/>
              </w:rPr>
            </w:pPr>
          </w:p>
        </w:tc>
        <w:tc>
          <w:tcPr>
            <w:tcW w:w="43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 xml:space="preserve">swaps </w:t>
            </w:r>
            <w:r>
              <w:rPr>
                <w:rFonts w:ascii="Times New Roman" w:cs="Times New Roman" w:eastAsia="Times New Roman" w:hAnsi="Times New Roman"/>
                <w:sz w:val="23"/>
                <w:szCs w:val="23"/>
                <w:i w:val="1"/>
                <w:iCs w:val="1"/>
                <w:color w:val="auto"/>
                <w:vertAlign w:val="superscript"/>
              </w:rPr>
              <w:t>(1)</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40" w:type="dxa"/>
            <w:vAlign w:val="bottom"/>
          </w:tcPr>
          <w:p>
            <w:pPr>
              <w:spacing w:after="0"/>
              <w:rPr>
                <w:sz w:val="24"/>
                <w:szCs w:val="24"/>
                <w:color w:val="auto"/>
              </w:rPr>
            </w:pP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640" w:type="dxa"/>
            <w:vAlign w:val="bottom"/>
            <w:gridSpan w:val="3"/>
          </w:tcPr>
          <w:p>
            <w:pPr>
              <w:jc w:val="center"/>
              <w:ind w:left="753"/>
              <w:spacing w:after="0"/>
              <w:rPr>
                <w:sz w:val="20"/>
                <w:szCs w:val="20"/>
                <w:color w:val="auto"/>
              </w:rPr>
            </w:pPr>
            <w:r>
              <w:rPr>
                <w:rFonts w:ascii="Times New Roman" w:cs="Times New Roman" w:eastAsia="Times New Roman" w:hAnsi="Times New Roman"/>
                <w:sz w:val="18"/>
                <w:szCs w:val="18"/>
                <w:color w:val="auto"/>
              </w:rPr>
              <w:t>—   $</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7,717</w:t>
            </w:r>
          </w:p>
        </w:tc>
        <w:tc>
          <w:tcPr>
            <w:tcW w:w="140" w:type="dxa"/>
            <w:vAlign w:val="bottom"/>
          </w:tcPr>
          <w:p>
            <w:pPr>
              <w:spacing w:after="0"/>
              <w:rPr>
                <w:sz w:val="24"/>
                <w:szCs w:val="24"/>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ind w:left="1000"/>
              <w:spacing w:after="0"/>
              <w:rPr>
                <w:sz w:val="20"/>
                <w:szCs w:val="20"/>
                <w:color w:val="auto"/>
              </w:rPr>
            </w:pPr>
            <w:r>
              <w:rPr>
                <w:rFonts w:ascii="Times New Roman" w:cs="Times New Roman" w:eastAsia="Times New Roman" w:hAnsi="Times New Roman"/>
                <w:sz w:val="18"/>
                <w:szCs w:val="18"/>
                <w:color w:val="auto"/>
              </w:rPr>
              <w:t>—</w:t>
            </w:r>
          </w:p>
        </w:tc>
      </w:tr>
    </w:tbl>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w:t>
      </w:r>
    </w:p>
    <w:p>
      <w:pPr>
        <w:spacing w:after="0" w:line="67" w:lineRule="exact"/>
        <w:rPr>
          <w:sz w:val="20"/>
          <w:szCs w:val="20"/>
          <w:color w:val="auto"/>
        </w:rPr>
      </w:pPr>
    </w:p>
    <w:p>
      <w:pPr>
        <w:ind w:right="240" w:firstLine="8"/>
        <w:spacing w:after="0" w:line="285" w:lineRule="auto"/>
        <w:tabs>
          <w:tab w:leader="none" w:pos="204" w:val="left"/>
        </w:tabs>
        <w:numPr>
          <w:ilvl w:val="0"/>
          <w:numId w:val="2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values of our interest rate swap derivative instruments were estimated using advice from a third-party derivative specialist, based on contractual cash flows and observable inputs comprising interest rate curves and credit spreads, which are Level 2 measurements as defined under ASC 820.</w:t>
      </w:r>
    </w:p>
    <w:p>
      <w:pPr>
        <w:spacing w:after="0" w:line="124"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estimated fair values of our financial instruments as of September 30, 2025 and December 31, 2024 for which fair value is only disclosed are as follows:</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80" w:type="dxa"/>
            <w:vAlign w:val="bottom"/>
          </w:tcPr>
          <w:p>
            <w:pPr>
              <w:spacing w:after="0"/>
              <w:rPr>
                <w:sz w:val="18"/>
                <w:szCs w:val="18"/>
                <w:color w:val="auto"/>
              </w:rPr>
            </w:pPr>
          </w:p>
        </w:tc>
        <w:tc>
          <w:tcPr>
            <w:tcW w:w="2500" w:type="dxa"/>
            <w:vAlign w:val="bottom"/>
            <w:gridSpan w:val="4"/>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158"/>
        </w:trPr>
        <w:tc>
          <w:tcPr>
            <w:tcW w:w="20" w:type="dxa"/>
            <w:vAlign w:val="bottom"/>
          </w:tcPr>
          <w:p>
            <w:pPr>
              <w:spacing w:after="0"/>
              <w:rPr>
                <w:sz w:val="13"/>
                <w:szCs w:val="13"/>
                <w:color w:val="auto"/>
              </w:rPr>
            </w:pPr>
          </w:p>
        </w:tc>
        <w:tc>
          <w:tcPr>
            <w:tcW w:w="55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4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Carrying Amount</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31"/>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3"/>
                <w:szCs w:val="13"/>
                <w:color w:val="auto"/>
              </w:rPr>
            </w:pPr>
          </w:p>
        </w:tc>
        <w:tc>
          <w:tcPr>
            <w:tcW w:w="1440" w:type="dxa"/>
            <w:vAlign w:val="bottom"/>
            <w:tcBorders>
              <w:top w:val="single" w:sz="8" w:color="auto"/>
            </w:tcBorders>
            <w:gridSpan w:val="3"/>
          </w:tcPr>
          <w:p>
            <w:pPr>
              <w:ind w:left="40"/>
              <w:spacing w:after="0" w:line="142" w:lineRule="exact"/>
              <w:rPr>
                <w:sz w:val="20"/>
                <w:szCs w:val="20"/>
                <w:color w:val="auto"/>
              </w:rPr>
            </w:pPr>
            <w:r>
              <w:rPr>
                <w:rFonts w:ascii="Times New Roman" w:cs="Times New Roman" w:eastAsia="Times New Roman" w:hAnsi="Times New Roman"/>
                <w:sz w:val="16"/>
                <w:szCs w:val="16"/>
                <w:b w:val="1"/>
                <w:bCs w:val="1"/>
                <w:color w:val="auto"/>
              </w:rPr>
              <w:t>Carrying Amount</w:t>
            </w:r>
          </w:p>
        </w:tc>
        <w:tc>
          <w:tcPr>
            <w:tcW w:w="200" w:type="dxa"/>
            <w:vAlign w:val="bottom"/>
            <w:tcBorders>
              <w:top w:val="single" w:sz="8" w:color="auto"/>
            </w:tcBorders>
          </w:tcPr>
          <w:p>
            <w:pPr>
              <w:spacing w:after="0"/>
              <w:rPr>
                <w:sz w:val="13"/>
                <w:szCs w:val="13"/>
                <w:color w:val="auto"/>
              </w:rPr>
            </w:pPr>
          </w:p>
        </w:tc>
        <w:tc>
          <w:tcPr>
            <w:tcW w:w="1140" w:type="dxa"/>
            <w:vAlign w:val="bottom"/>
            <w:tcBorders>
              <w:top w:val="single" w:sz="8" w:color="auto"/>
            </w:tcBorders>
          </w:tcPr>
          <w:p>
            <w:pPr>
              <w:jc w:val="right"/>
              <w:ind w:right="211"/>
              <w:spacing w:after="0" w:line="142" w:lineRule="exact"/>
              <w:rPr>
                <w:sz w:val="20"/>
                <w:szCs w:val="20"/>
                <w:color w:val="auto"/>
              </w:rPr>
            </w:pPr>
            <w:r>
              <w:rPr>
                <w:rFonts w:ascii="Times New Roman" w:cs="Times New Roman" w:eastAsia="Times New Roman" w:hAnsi="Times New Roman"/>
                <w:sz w:val="16"/>
                <w:szCs w:val="16"/>
                <w:b w:val="1"/>
                <w:bCs w:val="1"/>
                <w:color w:val="auto"/>
              </w:rPr>
              <w:t>Fair Value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52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b w:val="1"/>
                <w:bCs w:val="1"/>
                <w:i w:val="1"/>
                <w:iCs w:val="1"/>
                <w:color w:val="auto"/>
              </w:rPr>
              <w:t>Financial assets:</w:t>
            </w: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leases – financing receivables </w:t>
            </w:r>
            <w:r>
              <w:rPr>
                <w:rFonts w:ascii="Times New Roman" w:cs="Times New Roman" w:eastAsia="Times New Roman" w:hAnsi="Times New Roman"/>
                <w:sz w:val="23"/>
                <w:szCs w:val="23"/>
                <w:i w:val="1"/>
                <w:iCs w:val="1"/>
                <w:color w:val="auto"/>
                <w:vertAlign w:val="superscript"/>
              </w:rPr>
              <w:t>(1)</w:t>
            </w: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18,640,073</w:t>
            </w:r>
          </w:p>
        </w:tc>
        <w:tc>
          <w:tcPr>
            <w:tcW w:w="1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17,995,736</w:t>
            </w:r>
          </w:p>
        </w:tc>
        <w:tc>
          <w:tcPr>
            <w:tcW w:w="100" w:type="dxa"/>
            <w:vAlign w:val="bottom"/>
          </w:tcPr>
          <w:p>
            <w:pPr>
              <w:spacing w:after="0"/>
              <w:rPr>
                <w:sz w:val="19"/>
                <w:szCs w:val="19"/>
                <w:color w:val="auto"/>
              </w:rPr>
            </w:pPr>
          </w:p>
        </w:tc>
        <w:tc>
          <w:tcPr>
            <w:tcW w:w="28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18,430,320</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17,723,171</w:t>
            </w: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180"/>
              <w:spacing w:after="0" w:line="230" w:lineRule="exact"/>
              <w:rPr>
                <w:sz w:val="20"/>
                <w:szCs w:val="20"/>
                <w:color w:val="auto"/>
              </w:rPr>
            </w:pPr>
            <w:r>
              <w:rPr>
                <w:rFonts w:ascii="Times New Roman" w:cs="Times New Roman" w:eastAsia="Times New Roman" w:hAnsi="Times New Roman"/>
                <w:sz w:val="18"/>
                <w:szCs w:val="18"/>
                <w:color w:val="auto"/>
              </w:rPr>
              <w:t xml:space="preserve">Investments in loans and securities </w:t>
            </w:r>
            <w:r>
              <w:rPr>
                <w:rFonts w:ascii="Times New Roman" w:cs="Times New Roman" w:eastAsia="Times New Roman" w:hAnsi="Times New Roman"/>
                <w:sz w:val="23"/>
                <w:szCs w:val="23"/>
                <w:i w:val="1"/>
                <w:iCs w:val="1"/>
                <w:color w:val="auto"/>
                <w:vertAlign w:val="superscript"/>
              </w:rPr>
              <w:t>(2)</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2,432,999</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2,329,042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1,651,533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1,575,856</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507,503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507,503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524,615</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liabilities: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520" w:type="dxa"/>
            <w:vAlign w:val="bottom"/>
            <w:gridSpan w:val="2"/>
          </w:tcPr>
          <w:p>
            <w:pPr>
              <w:ind w:left="200"/>
              <w:spacing w:after="0" w:line="230" w:lineRule="exact"/>
              <w:rPr>
                <w:sz w:val="20"/>
                <w:szCs w:val="20"/>
                <w:color w:val="auto"/>
              </w:rPr>
            </w:pPr>
            <w:r>
              <w:rPr>
                <w:rFonts w:ascii="Times New Roman" w:cs="Times New Roman" w:eastAsia="Times New Roman" w:hAnsi="Times New Roman"/>
                <w:sz w:val="18"/>
                <w:szCs w:val="18"/>
                <w:color w:val="auto"/>
              </w:rPr>
              <w:t xml:space="preserve">Debt </w:t>
            </w:r>
            <w:r>
              <w:rPr>
                <w:rFonts w:ascii="Times New Roman" w:cs="Times New Roman" w:eastAsia="Times New Roman" w:hAnsi="Times New Roman"/>
                <w:sz w:val="23"/>
                <w:szCs w:val="23"/>
                <w:i w:val="1"/>
                <w:iCs w:val="1"/>
                <w:color w:val="auto"/>
                <w:vertAlign w:val="superscript"/>
              </w:rPr>
              <w:t>(3)</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147,906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3"/>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148,846</w:t>
            </w:r>
          </w:p>
        </w:tc>
      </w:tr>
      <w:tr>
        <w:trPr>
          <w:trHeight w:val="230"/>
        </w:trPr>
        <w:tc>
          <w:tcPr>
            <w:tcW w:w="20" w:type="dxa"/>
            <w:vAlign w:val="bottom"/>
          </w:tcPr>
          <w:p>
            <w:pPr>
              <w:spacing w:after="0"/>
              <w:rPr>
                <w:sz w:val="19"/>
                <w:szCs w:val="19"/>
                <w:color w:val="auto"/>
              </w:rPr>
            </w:pPr>
          </w:p>
        </w:tc>
        <w:tc>
          <w:tcPr>
            <w:tcW w:w="552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2,820,693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2,810,809</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2,800,544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2,686,960</w:t>
            </w:r>
          </w:p>
        </w:tc>
      </w:tr>
      <w:tr>
        <w:trPr>
          <w:trHeight w:val="230"/>
        </w:trPr>
        <w:tc>
          <w:tcPr>
            <w:tcW w:w="20" w:type="dxa"/>
            <w:vAlign w:val="bottom"/>
            <w:shd w:val="clear" w:color="auto" w:fill="CCEEFF"/>
          </w:tcPr>
          <w:p>
            <w:pPr>
              <w:spacing w:after="0"/>
              <w:rPr>
                <w:sz w:val="19"/>
                <w:szCs w:val="19"/>
                <w:color w:val="auto"/>
              </w:rPr>
            </w:pPr>
          </w:p>
        </w:tc>
        <w:tc>
          <w:tcPr>
            <w:tcW w:w="552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Senior Unsecured Notes</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13,794,061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13,952,502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13,783,499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13,619,484</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27" w:lineRule="exact"/>
        <w:rPr>
          <w:sz w:val="20"/>
          <w:szCs w:val="20"/>
          <w:color w:val="auto"/>
        </w:rPr>
      </w:pPr>
    </w:p>
    <w:p>
      <w:pPr>
        <w:jc w:val="both"/>
        <w:ind w:left="340" w:hanging="332"/>
        <w:spacing w:after="0" w:line="254" w:lineRule="auto"/>
        <w:tabs>
          <w:tab w:leader="none" w:pos="332"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asset acquisitions structured as sale leaseback transactions. In accordance with ASC 842, since the lease agreements were determined to meet the definition of a sales-type lease and control of the asset is not considered to have been transferred to us, such lease agreements are accounted for as financings under ASC 310. Except as noted below, the fair value of these assets is based on significant “unobservable” market inputs and, as such, these fair value measurements are considered Level 3 of the fair value hierarchy.</w:t>
      </w:r>
    </w:p>
    <w:p>
      <w:pPr>
        <w:spacing w:after="0" w:line="1" w:lineRule="exact"/>
        <w:rPr>
          <w:rFonts w:ascii="Times New Roman" w:cs="Times New Roman" w:eastAsia="Times New Roman" w:hAnsi="Times New Roman"/>
          <w:sz w:val="14"/>
          <w:szCs w:val="14"/>
          <w:i w:val="1"/>
          <w:iCs w:val="1"/>
          <w:color w:val="auto"/>
        </w:rPr>
      </w:pPr>
    </w:p>
    <w:p>
      <w:pPr>
        <w:jc w:val="both"/>
        <w:ind w:left="340" w:hanging="332"/>
        <w:spacing w:after="0" w:line="256" w:lineRule="auto"/>
        <w:tabs>
          <w:tab w:leader="none" w:pos="332"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investments in loans is based on significant “unobservable” market inputs and, as such, these fair value measurements are considered Level 3 of the fair value hierarchy. The fair value of our senior secured notes was estimated using quoted prices for identical or similar liabilities in markets that are not active and, as such, these fair value measurements are considered Level 2 of the fair value hierarchy.</w:t>
      </w:r>
    </w:p>
    <w:p>
      <w:pPr>
        <w:spacing w:after="0" w:line="1" w:lineRule="exact"/>
        <w:rPr>
          <w:rFonts w:ascii="Times New Roman" w:cs="Times New Roman" w:eastAsia="Times New Roman" w:hAnsi="Times New Roman"/>
          <w:sz w:val="14"/>
          <w:szCs w:val="14"/>
          <w:i w:val="1"/>
          <w:iCs w:val="1"/>
          <w:color w:val="auto"/>
        </w:rPr>
      </w:pPr>
    </w:p>
    <w:p>
      <w:pPr>
        <w:ind w:left="340" w:hanging="332"/>
        <w:spacing w:after="0" w:line="278" w:lineRule="auto"/>
        <w:tabs>
          <w:tab w:leader="none" w:pos="332" w:val="left"/>
        </w:tabs>
        <w:numPr>
          <w:ilvl w:val="0"/>
          <w:numId w:val="2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fair value of our debt instruments was estimated using quoted prices for identical or similar liabilities in markets that are not active and, as such, these fair value measurements are considered Level 2 of the fair value hierarchy.</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10 — Commitments and Contingent Liabilities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Litigation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ordinary course of business, from time to time, we may be subject to legal claims and administrative proceedings. As of September 30, 2025, we are not subject to any litigation that we believe could have, individually or in the aggregate, a material adverse effect on our business, financial condition or results of operations, liquidity or cash flows.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Lease Commitments</w:t>
      </w:r>
    </w:p>
    <w:p>
      <w:pPr>
        <w:spacing w:after="0" w:line="117" w:lineRule="exact"/>
        <w:rPr>
          <w:sz w:val="20"/>
          <w:szCs w:val="20"/>
          <w:color w:val="auto"/>
        </w:rPr>
      </w:pPr>
    </w:p>
    <w:p>
      <w:pPr>
        <w:ind w:left="660" w:hanging="328"/>
        <w:spacing w:after="0" w:line="286" w:lineRule="auto"/>
        <w:tabs>
          <w:tab w:leader="none" w:pos="65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Operating Lease Commitments. </w:t>
      </w:r>
      <w:r>
        <w:rPr>
          <w:rFonts w:ascii="Times New Roman" w:cs="Times New Roman" w:eastAsia="Times New Roman" w:hAnsi="Times New Roman"/>
          <w:sz w:val="18"/>
          <w:szCs w:val="18"/>
          <w:color w:val="auto"/>
        </w:rPr>
        <w:t>We are liable under operating leases for: (i) land at the Cascata golf course, which expires in 2038 and has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10-year extension options, and (ii) our corporate headquarters in New York, NY, which expires in 2035 and has one five-year renewal option.</w:t>
      </w:r>
    </w:p>
    <w:p>
      <w:pPr>
        <w:spacing w:after="0" w:line="46" w:lineRule="exact"/>
        <w:rPr>
          <w:rFonts w:ascii="Times New Roman" w:cs="Times New Roman" w:eastAsia="Times New Roman" w:hAnsi="Times New Roman"/>
          <w:sz w:val="18"/>
          <w:szCs w:val="18"/>
          <w:b w:val="1"/>
          <w:bCs w:val="1"/>
          <w:color w:val="auto"/>
        </w:rPr>
      </w:pPr>
    </w:p>
    <w:p>
      <w:pPr>
        <w:jc w:val="both"/>
        <w:ind w:left="660" w:hanging="328"/>
        <w:spacing w:after="0" w:line="268" w:lineRule="auto"/>
        <w:tabs>
          <w:tab w:leader="none" w:pos="655" w:val="left"/>
        </w:tabs>
        <w:numPr>
          <w:ilvl w:val="0"/>
          <w:numId w:val="2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Sub-Lease Commitments. </w:t>
      </w:r>
      <w:r>
        <w:rPr>
          <w:rFonts w:ascii="Times New Roman" w:cs="Times New Roman" w:eastAsia="Times New Roman" w:hAnsi="Times New Roman"/>
          <w:sz w:val="18"/>
          <w:szCs w:val="18"/>
          <w:color w:val="auto"/>
        </w:rPr>
        <w:t>Certain of our acquisitions necessitate that we assume, as the lessee, ground and use leases that in certain cases are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may be integral to the operations of the property, the cost of which is passed to our tenants through our lease agreements, which require the tenants to pay all costs associated with such ground and use leases and provide for their direct payment to the landlord.</w:t>
      </w:r>
    </w:p>
    <w:p>
      <w:pPr>
        <w:spacing w:after="0" w:line="66"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We have determined we are the primary obligor of certain of such ground and use leases and, accordingly, have presented these leases on a gross basis on our Balance Sheet and Statement of Operations.</w:t>
      </w:r>
    </w:p>
    <w:p>
      <w:pPr>
        <w:spacing w:after="0" w:line="53" w:lineRule="exact"/>
        <w:rPr>
          <w:rFonts w:ascii="Times New Roman" w:cs="Times New Roman" w:eastAsia="Times New Roman" w:hAnsi="Times New Roman"/>
          <w:sz w:val="18"/>
          <w:szCs w:val="18"/>
          <w:b w:val="1"/>
          <w:bCs w:val="1"/>
          <w:color w:val="auto"/>
        </w:rPr>
      </w:pPr>
    </w:p>
    <w:p>
      <w:pPr>
        <w:jc w:val="both"/>
        <w:ind w:left="66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the ground and use leases determined to be operating leases, we recorded a sub-lease right-of-use assets in Other assets and sub-lease liabilities in Other liabilities. For ground and lease uses determined to be finance leases, we recorded a sales-type sub-lease in Other assets and finance sub-lease liability in Other liabilities.</w:t>
      </w:r>
    </w:p>
    <w:p>
      <w:pPr>
        <w:spacing w:after="0" w:line="12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 details the balance and location in our Balance Sheet of the ground and use sub-leases as of September 30, 2025 and December 31, 2024:</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20" w:type="dxa"/>
            <w:vAlign w:val="bottom"/>
          </w:tcPr>
          <w:p>
            <w:pPr>
              <w:spacing w:after="0"/>
              <w:rPr>
                <w:sz w:val="17"/>
                <w:szCs w:val="17"/>
                <w:color w:val="auto"/>
              </w:rPr>
            </w:pPr>
          </w:p>
        </w:tc>
        <w:tc>
          <w:tcPr>
            <w:tcW w:w="1920" w:type="dxa"/>
            <w:vAlign w:val="bottom"/>
            <w:gridSpan w:val="2"/>
          </w:tcPr>
          <w:p>
            <w:pPr>
              <w:ind w:left="140"/>
              <w:spacing w:after="0"/>
              <w:rPr>
                <w:sz w:val="20"/>
                <w:szCs w:val="20"/>
                <w:color w:val="auto"/>
              </w:rPr>
            </w:pPr>
            <w:r>
              <w:rPr>
                <w:rFonts w:ascii="Times New Roman" w:cs="Times New Roman" w:eastAsia="Times New Roman" w:hAnsi="Times New Roman"/>
                <w:sz w:val="16"/>
                <w:szCs w:val="16"/>
                <w:b w:val="1"/>
                <w:bCs w:val="1"/>
                <w:color w:val="auto"/>
              </w:rPr>
              <w:t>September 30, 2025</w:t>
            </w:r>
          </w:p>
        </w:tc>
        <w:tc>
          <w:tcPr>
            <w:tcW w:w="240" w:type="dxa"/>
            <w:vAlign w:val="bottom"/>
          </w:tcPr>
          <w:p>
            <w:pPr>
              <w:spacing w:after="0"/>
              <w:rPr>
                <w:sz w:val="17"/>
                <w:szCs w:val="17"/>
                <w:color w:val="auto"/>
              </w:rPr>
            </w:pPr>
          </w:p>
        </w:tc>
        <w:tc>
          <w:tcPr>
            <w:tcW w:w="182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December 31, 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6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 (operating lease and sub-leases right-of-use assets)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55,326</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54,144</w:t>
            </w:r>
          </w:p>
        </w:tc>
      </w:tr>
      <w:tr>
        <w:trPr>
          <w:trHeight w:val="230"/>
        </w:trPr>
        <w:tc>
          <w:tcPr>
            <w:tcW w:w="20" w:type="dxa"/>
            <w:vAlign w:val="bottom"/>
          </w:tcPr>
          <w:p>
            <w:pPr>
              <w:spacing w:after="0"/>
              <w:rPr>
                <w:sz w:val="19"/>
                <w:szCs w:val="19"/>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(operating lease and sub-lease liabilities)</w:t>
            </w:r>
          </w:p>
        </w:tc>
        <w:tc>
          <w:tcPr>
            <w:tcW w:w="22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55,028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53,822</w:t>
            </w:r>
          </w:p>
        </w:tc>
      </w:tr>
      <w:tr>
        <w:trPr>
          <w:trHeight w:val="230"/>
        </w:trPr>
        <w:tc>
          <w:tcPr>
            <w:tcW w:w="20" w:type="dxa"/>
            <w:vAlign w:val="bottom"/>
            <w:shd w:val="clear" w:color="auto" w:fill="CCEEFF"/>
          </w:tcPr>
          <w:p>
            <w:pPr>
              <w:spacing w:after="0"/>
              <w:rPr>
                <w:sz w:val="19"/>
                <w:szCs w:val="19"/>
                <w:color w:val="auto"/>
              </w:rPr>
            </w:pPr>
          </w:p>
        </w:tc>
        <w:tc>
          <w:tcPr>
            <w:tcW w:w="70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assets (sales-type sub-leases, net) </w:t>
            </w:r>
            <w:r>
              <w:rPr>
                <w:rFonts w:ascii="Times New Roman" w:cs="Times New Roman" w:eastAsia="Times New Roman" w:hAnsi="Times New Roman"/>
                <w:sz w:val="23"/>
                <w:szCs w:val="23"/>
                <w:i w:val="1"/>
                <w:iCs w:val="1"/>
                <w:color w:val="auto"/>
                <w:vertAlign w:val="superscript"/>
              </w:rPr>
              <w:t>(1)</w:t>
            </w:r>
          </w:p>
        </w:tc>
        <w:tc>
          <w:tcPr>
            <w:tcW w:w="22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842,097</w:t>
            </w:r>
          </w:p>
        </w:tc>
        <w:tc>
          <w:tcPr>
            <w:tcW w:w="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842,776</w:t>
            </w:r>
          </w:p>
        </w:tc>
      </w:tr>
      <w:tr>
        <w:trPr>
          <w:trHeight w:val="234"/>
        </w:trPr>
        <w:tc>
          <w:tcPr>
            <w:tcW w:w="20" w:type="dxa"/>
            <w:vAlign w:val="bottom"/>
          </w:tcPr>
          <w:p>
            <w:pPr>
              <w:spacing w:after="0"/>
              <w:rPr>
                <w:sz w:val="20"/>
                <w:szCs w:val="20"/>
                <w:color w:val="auto"/>
              </w:rPr>
            </w:pPr>
          </w:p>
        </w:tc>
        <w:tc>
          <w:tcPr>
            <w:tcW w:w="7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 (finance sub-lease liabilities)</w:t>
            </w:r>
          </w:p>
        </w:tc>
        <w:tc>
          <w:tcPr>
            <w:tcW w:w="220" w:type="dxa"/>
            <w:vAlign w:val="bottom"/>
          </w:tcPr>
          <w:p>
            <w:pPr>
              <w:spacing w:after="0"/>
              <w:rPr>
                <w:sz w:val="20"/>
                <w:szCs w:val="20"/>
                <w:color w:val="auto"/>
              </w:rPr>
            </w:pPr>
          </w:p>
        </w:tc>
        <w:tc>
          <w:tcPr>
            <w:tcW w:w="1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862,469</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863,374</w:t>
            </w: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38" w:lineRule="exact"/>
        <w:rPr>
          <w:sz w:val="20"/>
          <w:szCs w:val="20"/>
          <w:color w:val="auto"/>
        </w:rPr>
      </w:pPr>
    </w:p>
    <w:p>
      <w:pPr>
        <w:ind w:firstLine="8"/>
        <w:spacing w:after="0" w:line="305" w:lineRule="auto"/>
        <w:tabs>
          <w:tab w:leader="none" w:pos="205" w:val="left"/>
        </w:tabs>
        <w:numPr>
          <w:ilvl w:val="0"/>
          <w:numId w:val="2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 xml:space="preserve">As of September 30, 2025 and December 31, 2024, sales-type sub-leases are net of $20.4 million and $20.6 million of allowance for credit losses, respectively. Refer to </w:t>
      </w:r>
      <w:r>
        <w:rPr>
          <w:rFonts w:ascii="Times New Roman" w:cs="Times New Roman" w:eastAsia="Times New Roman" w:hAnsi="Times New Roman"/>
          <w:sz w:val="14"/>
          <w:szCs w:val="14"/>
          <w:i w:val="1"/>
          <w:iCs w:val="1"/>
          <w:u w:val="single" w:color="auto"/>
          <w:color w:val="0000FF"/>
        </w:rPr>
        <w:t>Note 5 – Allowance for</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i w:val="1"/>
          <w:iCs w:val="1"/>
          <w:u w:val="single" w:color="auto"/>
          <w:color w:val="0000FF"/>
        </w:rPr>
        <w:t>Credit Losses</w:t>
      </w:r>
      <w:r>
        <w:rPr>
          <w:rFonts w:ascii="Times New Roman" w:cs="Times New Roman" w:eastAsia="Times New Roman" w:hAnsi="Times New Roman"/>
          <w:sz w:val="14"/>
          <w:szCs w:val="14"/>
          <w:i w:val="1"/>
          <w:iCs w:val="1"/>
          <w:color w:val="0000FF"/>
        </w:rPr>
        <w:t xml:space="preserve"> </w:t>
      </w:r>
      <w:r>
        <w:rPr>
          <w:rFonts w:ascii="Times New Roman" w:cs="Times New Roman" w:eastAsia="Times New Roman" w:hAnsi="Times New Roman"/>
          <w:sz w:val="14"/>
          <w:szCs w:val="14"/>
          <w:i w:val="1"/>
          <w:iCs w:val="1"/>
          <w:color w:val="000000"/>
        </w:rPr>
        <w:t>for further details.</w:t>
      </w:r>
    </w:p>
    <w:p>
      <w:pPr>
        <w:spacing w:after="0" w:line="11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Total rental expense for operating lease commitments and total rental income and rental expense for operating and Finance sub-lease commitments and contractual rent expense under these agreements were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center"/>
              <w:ind w:right="2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leases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Rental expense </w:t>
            </w:r>
            <w:r>
              <w:rPr>
                <w:rFonts w:ascii="Times New Roman" w:cs="Times New Roman" w:eastAsia="Times New Roman" w:hAnsi="Times New Roman"/>
                <w:sz w:val="23"/>
                <w:szCs w:val="23"/>
                <w:i w:val="1"/>
                <w:iCs w:val="1"/>
                <w:color w:val="auto"/>
                <w:vertAlign w:val="superscript"/>
              </w:rPr>
              <w:t>(1)</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1,705</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1,109</w:t>
            </w:r>
          </w:p>
        </w:tc>
      </w:tr>
      <w:tr>
        <w:trPr>
          <w:trHeight w:val="229"/>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Operating sub-leases</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Rental income and expense </w:t>
            </w:r>
            <w:r>
              <w:rPr>
                <w:rFonts w:ascii="Times New Roman" w:cs="Times New Roman" w:eastAsia="Times New Roman" w:hAnsi="Times New Roman"/>
                <w:sz w:val="23"/>
                <w:szCs w:val="23"/>
                <w:i w:val="1"/>
                <w:iCs w:val="1"/>
                <w:color w:val="auto"/>
                <w:vertAlign w:val="superscript"/>
              </w:rPr>
              <w:t>(2)</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5,137</w:t>
            </w: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5,033</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5,064</w:t>
            </w: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Finance sub-leases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Rental income and expense </w:t>
            </w:r>
            <w:r>
              <w:rPr>
                <w:rFonts w:ascii="Times New Roman" w:cs="Times New Roman" w:eastAsia="Times New Roman" w:hAnsi="Times New Roman"/>
                <w:sz w:val="23"/>
                <w:szCs w:val="23"/>
                <w:i w:val="1"/>
                <w:iCs w:val="1"/>
                <w:color w:val="auto"/>
                <w:vertAlign w:val="superscript"/>
              </w:rPr>
              <w:t>(2)</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47,908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48,026</w:t>
            </w: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Contractual rent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17,757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49,400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49,266</w:t>
            </w:r>
          </w:p>
        </w:tc>
      </w:tr>
    </w:tbl>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w:t>
      </w:r>
    </w:p>
    <w:p>
      <w:pPr>
        <w:spacing w:after="0" w:line="2" w:lineRule="exact"/>
        <w:rPr>
          <w:sz w:val="20"/>
          <w:szCs w:val="20"/>
          <w:color w:val="auto"/>
        </w:rPr>
      </w:pPr>
    </w:p>
    <w:p>
      <w:pPr>
        <w:ind w:left="220" w:hanging="212"/>
        <w:spacing w:after="0"/>
        <w:tabs>
          <w:tab w:leader="none" w:pos="220"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rental expense is included in golf operations and general and administrative expenses in our Statement of Operations.</w:t>
      </w:r>
    </w:p>
    <w:p>
      <w:pPr>
        <w:spacing w:after="0" w:line="11" w:lineRule="exact"/>
        <w:rPr>
          <w:rFonts w:ascii="Times New Roman" w:cs="Times New Roman" w:eastAsia="Times New Roman" w:hAnsi="Times New Roman"/>
          <w:sz w:val="14"/>
          <w:szCs w:val="14"/>
          <w:i w:val="1"/>
          <w:iCs w:val="1"/>
          <w:color w:val="auto"/>
        </w:rPr>
      </w:pPr>
    </w:p>
    <w:p>
      <w:pPr>
        <w:ind w:firstLine="8"/>
        <w:spacing w:after="0" w:line="261" w:lineRule="auto"/>
        <w:tabs>
          <w:tab w:leader="none" w:pos="229" w:val="left"/>
        </w:tabs>
        <w:numPr>
          <w:ilvl w:val="0"/>
          <w:numId w:val="26"/>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Total rental income and rental expense for operating and finance sub-lease commitments are presented gross and included in Other income and Other expenses in our Statement of Operations.</w:t>
      </w:r>
    </w:p>
    <w:p>
      <w:pPr>
        <w:sectPr>
          <w:pgSz w:w="11900" w:h="16838" w:orient="portrait"/>
          <w:cols w:equalWidth="0" w:num="1">
            <w:col w:w="11240"/>
          </w:cols>
          <w:pgMar w:left="320" w:top="28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type w:val="continuous"/>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 minimum lease commitments relating to the base lease rent portion of noncancelable operating leases and ground and use sub-leases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2025 are as follows:</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23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Operating Lease Commitments</w:t>
            </w:r>
          </w:p>
        </w:tc>
        <w:tc>
          <w:tcPr>
            <w:tcW w:w="260" w:type="dxa"/>
            <w:vAlign w:val="bottom"/>
          </w:tcPr>
          <w:p>
            <w:pPr>
              <w:spacing w:after="0"/>
              <w:rPr>
                <w:sz w:val="16"/>
                <w:szCs w:val="16"/>
                <w:color w:val="auto"/>
              </w:rPr>
            </w:pPr>
          </w:p>
        </w:tc>
        <w:tc>
          <w:tcPr>
            <w:tcW w:w="2120" w:type="dxa"/>
            <w:vAlign w:val="bottom"/>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Operating Sub-Lease</w:t>
            </w:r>
          </w:p>
        </w:tc>
        <w:tc>
          <w:tcPr>
            <w:tcW w:w="240" w:type="dxa"/>
            <w:vAlign w:val="bottom"/>
          </w:tcPr>
          <w:p>
            <w:pPr>
              <w:spacing w:after="0"/>
              <w:rPr>
                <w:sz w:val="16"/>
                <w:szCs w:val="16"/>
                <w:color w:val="auto"/>
              </w:rPr>
            </w:pPr>
          </w:p>
        </w:tc>
        <w:tc>
          <w:tcPr>
            <w:tcW w:w="2020" w:type="dxa"/>
            <w:vAlign w:val="bottom"/>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Financing Sub-Lease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2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23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120" w:type="dxa"/>
            <w:vAlign w:val="bottom"/>
            <w:gridSpan w:val="2"/>
          </w:tcPr>
          <w:p>
            <w:pPr>
              <w:jc w:val="center"/>
              <w:ind w:right="340"/>
              <w:spacing w:after="0" w:line="142" w:lineRule="exact"/>
              <w:rPr>
                <w:sz w:val="20"/>
                <w:szCs w:val="20"/>
                <w:color w:val="auto"/>
              </w:rPr>
            </w:pPr>
            <w:r>
              <w:rPr>
                <w:rFonts w:ascii="Times New Roman" w:cs="Times New Roman" w:eastAsia="Times New Roman" w:hAnsi="Times New Roman"/>
                <w:sz w:val="16"/>
                <w:szCs w:val="16"/>
                <w:b w:val="1"/>
                <w:bCs w:val="1"/>
                <w:color w:val="auto"/>
              </w:rPr>
              <w:t>Commitments</w:t>
            </w:r>
          </w:p>
        </w:tc>
        <w:tc>
          <w:tcPr>
            <w:tcW w:w="240" w:type="dxa"/>
            <w:vAlign w:val="bottom"/>
          </w:tcPr>
          <w:p>
            <w:pPr>
              <w:spacing w:after="0"/>
              <w:rPr>
                <w:sz w:val="14"/>
                <w:szCs w:val="14"/>
                <w:color w:val="auto"/>
              </w:rPr>
            </w:pPr>
          </w:p>
        </w:tc>
        <w:tc>
          <w:tcPr>
            <w:tcW w:w="2020" w:type="dxa"/>
            <w:vAlign w:val="bottom"/>
          </w:tcPr>
          <w:p>
            <w:pPr>
              <w:jc w:val="right"/>
              <w:ind w:right="551"/>
              <w:spacing w:after="0" w:line="142" w:lineRule="exact"/>
              <w:rPr>
                <w:sz w:val="20"/>
                <w:szCs w:val="20"/>
                <w:color w:val="auto"/>
              </w:rPr>
            </w:pPr>
            <w:r>
              <w:rPr>
                <w:rFonts w:ascii="Times New Roman" w:cs="Times New Roman" w:eastAsia="Times New Roman" w:hAnsi="Times New Roman"/>
                <w:sz w:val="16"/>
                <w:szCs w:val="16"/>
                <w:b w:val="1"/>
                <w:bCs w:val="1"/>
                <w:color w:val="auto"/>
              </w:rPr>
              <w:t>Commitments</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2025 (remaining)</w:t>
            </w:r>
          </w:p>
        </w:tc>
        <w:tc>
          <w:tcPr>
            <w:tcW w:w="720" w:type="dxa"/>
            <w:vAlign w:val="bottom"/>
            <w:shd w:val="clear" w:color="auto" w:fill="CCEEFF"/>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15,829</w:t>
            </w:r>
          </w:p>
        </w:tc>
        <w:tc>
          <w:tcPr>
            <w:tcW w:w="0" w:type="dxa"/>
            <w:vAlign w:val="bottom"/>
          </w:tcPr>
          <w:p>
            <w:pPr>
              <w:spacing w:after="0"/>
              <w:rPr>
                <w:sz w:val="1"/>
                <w:szCs w:val="1"/>
                <w:color w:val="auto"/>
              </w:rPr>
            </w:pPr>
          </w:p>
        </w:tc>
      </w:tr>
      <w:tr>
        <w:trPr>
          <w:trHeight w:val="23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65,233</w:t>
            </w:r>
          </w:p>
        </w:tc>
        <w:tc>
          <w:tcPr>
            <w:tcW w:w="0" w:type="dxa"/>
            <w:vAlign w:val="bottom"/>
          </w:tcPr>
          <w:p>
            <w:pPr>
              <w:spacing w:after="0"/>
              <w:rPr>
                <w:sz w:val="1"/>
                <w:szCs w:val="1"/>
                <w:color w:val="auto"/>
              </w:rPr>
            </w:pPr>
          </w:p>
        </w:tc>
      </w:tr>
      <w:tr>
        <w:trPr>
          <w:trHeight w:val="229"/>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65,233</w:t>
            </w:r>
          </w:p>
        </w:tc>
        <w:tc>
          <w:tcPr>
            <w:tcW w:w="0" w:type="dxa"/>
            <w:vAlign w:val="bottom"/>
          </w:tcPr>
          <w:p>
            <w:pPr>
              <w:spacing w:after="0"/>
              <w:rPr>
                <w:sz w:val="1"/>
                <w:szCs w:val="1"/>
                <w:color w:val="auto"/>
              </w:rPr>
            </w:pPr>
          </w:p>
        </w:tc>
      </w:tr>
      <w:tr>
        <w:trPr>
          <w:trHeight w:val="229"/>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6,470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65,295</w:t>
            </w:r>
          </w:p>
        </w:tc>
        <w:tc>
          <w:tcPr>
            <w:tcW w:w="0" w:type="dxa"/>
            <w:vAlign w:val="bottom"/>
          </w:tcPr>
          <w:p>
            <w:pPr>
              <w:spacing w:after="0"/>
              <w:rPr>
                <w:sz w:val="1"/>
                <w:szCs w:val="1"/>
                <w:color w:val="auto"/>
              </w:rPr>
            </w:pPr>
          </w:p>
        </w:tc>
      </w:tr>
      <w:tr>
        <w:trPr>
          <w:trHeight w:val="230"/>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24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2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65,854</w:t>
            </w:r>
          </w:p>
        </w:tc>
        <w:tc>
          <w:tcPr>
            <w:tcW w:w="0" w:type="dxa"/>
            <w:vAlign w:val="bottom"/>
          </w:tcPr>
          <w:p>
            <w:pPr>
              <w:spacing w:after="0"/>
              <w:rPr>
                <w:sz w:val="1"/>
                <w:szCs w:val="1"/>
                <w:color w:val="auto"/>
              </w:rPr>
            </w:pPr>
          </w:p>
        </w:tc>
      </w:tr>
      <w:tr>
        <w:trPr>
          <w:trHeight w:val="229"/>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3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66,028</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Thereafter</w:t>
            </w:r>
          </w:p>
        </w:tc>
        <w:tc>
          <w:tcPr>
            <w:tcW w:w="7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17,909</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2,627,864</w:t>
            </w: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422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Total minimum lease commitments</w:t>
            </w:r>
          </w:p>
        </w:tc>
        <w:tc>
          <w:tcPr>
            <w:tcW w:w="720" w:type="dxa"/>
            <w:vAlign w:val="bottom"/>
            <w:tcBorders>
              <w:bottom w:val="single" w:sz="8" w:color="auto"/>
            </w:tcBorders>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30,506</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39,269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2,971,336</w:t>
            </w: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4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Discounting factor</w:t>
            </w:r>
          </w:p>
        </w:tc>
        <w:tc>
          <w:tcPr>
            <w:tcW w:w="7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9,076</w:t>
            </w:r>
          </w:p>
        </w:tc>
        <w:tc>
          <w:tcPr>
            <w:tcW w:w="8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2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2,108,867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720" w:type="dxa"/>
            <w:vAlign w:val="bottom"/>
          </w:tcPr>
          <w:p>
            <w:pPr>
              <w:jc w:val="right"/>
              <w:ind w:right="512"/>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21,430</w:t>
            </w:r>
          </w:p>
        </w:tc>
        <w:tc>
          <w:tcPr>
            <w:tcW w:w="8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33,598</w:t>
            </w:r>
          </w:p>
        </w:tc>
        <w:tc>
          <w:tcPr>
            <w:tcW w:w="10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862,469</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422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Discount rates </w:t>
            </w:r>
            <w:r>
              <w:rPr>
                <w:rFonts w:ascii="Times New Roman" w:cs="Times New Roman" w:eastAsia="Times New Roman" w:hAnsi="Times New Roman"/>
                <w:sz w:val="23"/>
                <w:szCs w:val="23"/>
                <w:i w:val="1"/>
                <w:iCs w:val="1"/>
                <w:color w:val="auto"/>
                <w:vertAlign w:val="superscript"/>
              </w:rPr>
              <w:t>(1)</w:t>
            </w:r>
          </w:p>
        </w:tc>
        <w:tc>
          <w:tcPr>
            <w:tcW w:w="720" w:type="dxa"/>
            <w:vAlign w:val="bottom"/>
          </w:tcPr>
          <w:p>
            <w:pPr>
              <w:spacing w:after="0"/>
              <w:rPr>
                <w:sz w:val="19"/>
                <w:szCs w:val="19"/>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 – 7.0%</w:t>
            </w:r>
          </w:p>
        </w:tc>
        <w:tc>
          <w:tcPr>
            <w:tcW w:w="260" w:type="dxa"/>
            <w:vAlign w:val="bottom"/>
          </w:tcPr>
          <w:p>
            <w:pPr>
              <w:spacing w:after="0"/>
              <w:rPr>
                <w:sz w:val="19"/>
                <w:szCs w:val="19"/>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2.6% – 5.8%</w:t>
            </w:r>
          </w:p>
        </w:tc>
        <w:tc>
          <w:tcPr>
            <w:tcW w:w="240" w:type="dxa"/>
            <w:vAlign w:val="bottom"/>
          </w:tcPr>
          <w:p>
            <w:pPr>
              <w:spacing w:after="0"/>
              <w:rPr>
                <w:sz w:val="19"/>
                <w:szCs w:val="19"/>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 – 8.3%</w:t>
            </w:r>
          </w:p>
        </w:tc>
        <w:tc>
          <w:tcPr>
            <w:tcW w:w="0" w:type="dxa"/>
            <w:vAlign w:val="bottom"/>
          </w:tcPr>
          <w:p>
            <w:pPr>
              <w:spacing w:after="0"/>
              <w:rPr>
                <w:sz w:val="1"/>
                <w:szCs w:val="1"/>
                <w:color w:val="auto"/>
              </w:rPr>
            </w:pPr>
          </w:p>
        </w:tc>
      </w:tr>
      <w:tr>
        <w:trPr>
          <w:trHeight w:val="257"/>
        </w:trPr>
        <w:tc>
          <w:tcPr>
            <w:tcW w:w="2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3240" w:type="dxa"/>
            <w:vAlign w:val="bottom"/>
            <w:shd w:val="clear" w:color="auto" w:fill="CCEEFF"/>
          </w:tcPr>
          <w:p>
            <w:pPr>
              <w:spacing w:after="0"/>
              <w:rPr>
                <w:sz w:val="22"/>
                <w:szCs w:val="22"/>
                <w:color w:val="auto"/>
              </w:rPr>
            </w:pPr>
          </w:p>
        </w:tc>
        <w:tc>
          <w:tcPr>
            <w:tcW w:w="720" w:type="dxa"/>
            <w:vAlign w:val="bottom"/>
            <w:shd w:val="clear" w:color="auto" w:fill="CCEEFF"/>
          </w:tcPr>
          <w:p>
            <w:pPr>
              <w:spacing w:after="0"/>
              <w:rPr>
                <w:sz w:val="22"/>
                <w:szCs w:val="22"/>
                <w:color w:val="auto"/>
              </w:rPr>
            </w:pPr>
          </w:p>
        </w:tc>
        <w:tc>
          <w:tcPr>
            <w:tcW w:w="15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20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Weighted average remaining lease term</w:t>
            </w:r>
          </w:p>
        </w:tc>
        <w:tc>
          <w:tcPr>
            <w:tcW w:w="720" w:type="dxa"/>
            <w:vAlign w:val="bottom"/>
          </w:tcPr>
          <w:p>
            <w:pPr>
              <w:spacing w:after="0"/>
              <w:rPr>
                <w:sz w:val="20"/>
                <w:szCs w:val="20"/>
                <w:color w:val="auto"/>
              </w:rPr>
            </w:pPr>
          </w:p>
        </w:tc>
        <w:tc>
          <w:tcPr>
            <w:tcW w:w="16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 years</w:t>
            </w:r>
          </w:p>
        </w:tc>
        <w:tc>
          <w:tcPr>
            <w:tcW w:w="260" w:type="dxa"/>
            <w:vAlign w:val="bottom"/>
          </w:tcPr>
          <w:p>
            <w:pPr>
              <w:spacing w:after="0"/>
              <w:rPr>
                <w:sz w:val="20"/>
                <w:szCs w:val="20"/>
                <w:color w:val="auto"/>
              </w:rPr>
            </w:pPr>
          </w:p>
        </w:tc>
        <w:tc>
          <w:tcPr>
            <w:tcW w:w="21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6.8 years</w:t>
            </w:r>
          </w:p>
        </w:tc>
        <w:tc>
          <w:tcPr>
            <w:tcW w:w="240" w:type="dxa"/>
            <w:vAlign w:val="bottom"/>
          </w:tcPr>
          <w:p>
            <w:pPr>
              <w:spacing w:after="0"/>
              <w:rPr>
                <w:sz w:val="20"/>
                <w:szCs w:val="20"/>
                <w:color w:val="auto"/>
              </w:rPr>
            </w:pPr>
          </w:p>
        </w:tc>
        <w:tc>
          <w:tcPr>
            <w:tcW w:w="2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 years</w:t>
            </w:r>
          </w:p>
        </w:tc>
        <w:tc>
          <w:tcPr>
            <w:tcW w:w="0" w:type="dxa"/>
            <w:vAlign w:val="bottom"/>
          </w:tcPr>
          <w:p>
            <w:pPr>
              <w:spacing w:after="0"/>
              <w:rPr>
                <w:sz w:val="1"/>
                <w:szCs w:val="1"/>
                <w:color w:val="auto"/>
              </w:rPr>
            </w:pPr>
          </w:p>
        </w:tc>
      </w:tr>
      <w:tr>
        <w:trPr>
          <w:trHeight w:val="204"/>
        </w:trPr>
        <w:tc>
          <w:tcPr>
            <w:tcW w:w="4240" w:type="dxa"/>
            <w:vAlign w:val="bottom"/>
            <w:gridSpan w:val="3"/>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7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i w:val="1"/>
          <w:iCs w:val="1"/>
          <w:color w:val="auto"/>
        </w:rPr>
        <w:t>(1) The discount rates for the leases were determined based on the yield of our then current secured borrowings, adjusted to match borrowings of similar terms.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11 — Stockholders' Equity</w:t>
      </w:r>
    </w:p>
    <w:p>
      <w:pPr>
        <w:spacing w:after="0" w:line="1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Authorized</w:t>
      </w:r>
    </w:p>
    <w:p>
      <w:pPr>
        <w:spacing w:after="0" w:line="14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September 30, 2025, we have the authority to issue 1,400,000,000 shares of stock, consisting of 1,350,000,000 shares of common stock, $0.01 par value per share, and 50,000,000 shares of preferred stock, $0.01 par value per share.</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Public Offerings</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we offer shares of our common stock through public offerings registered with the SEC. In connection with such offerings, we may issue and sell the offered shares of common stock upon settlement of the offering or, alternatively, enter into forward sale agreements with respect to all or a portion of the shares of common stock sold in such public offerings, pursuant to which the offered shares are borrowed by the forward sale purchasers and the issuance of such shares takes place upon settlement of the applicable forward sale agreement in accordance with its terms. There were no marketed public offerings of our common stock during the three months ended September 30, 2025 and 2024.</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At-the-Market Offering Program</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May 6, 2024, we entered into an equity distribution agreement, pursuant to which we may sell, from time to time, up to an aggregate sales price of $2.0 billion of our common stock and concurrently terminated our previous equity distribution agreement (collectively under both equity distribution agreements, the “ATM Program”). Sales of common stock, if any, made pursuant to the ATM Program may be sold in negotiated transactions or transactions that are deemed to be “at the market” offerings, as defined in Rule 415 of the Securities Act. The ATM Program also provides that we may sell shares of our common stock under the ATM Program through forward sale agreements. Actual sales under the ATM Program will depend on a variety of factors including market conditions, the trading price of our common stock, our capital needs, and our determination of the appropriate sources of funding to meet such needs.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transactions under the ATM Program during the nine months ended September 30, 2025 and 2024, all of which were sold subject to forward sale agreements, which we refer to as ATM forward sale agreements.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2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140" w:type="dxa"/>
            <w:vAlign w:val="bottom"/>
          </w:tcPr>
          <w:p>
            <w:pPr>
              <w:spacing w:after="0"/>
              <w:rPr>
                <w:sz w:val="16"/>
                <w:szCs w:val="16"/>
                <w:color w:val="auto"/>
              </w:rPr>
            </w:pPr>
          </w:p>
        </w:tc>
        <w:tc>
          <w:tcPr>
            <w:tcW w:w="14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Aggregate Value</w:t>
            </w:r>
          </w:p>
        </w:tc>
        <w:tc>
          <w:tcPr>
            <w:tcW w:w="152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Net Forward Sales</w:t>
            </w:r>
          </w:p>
        </w:tc>
        <w:tc>
          <w:tcPr>
            <w:tcW w:w="14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Aggregate Net Value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 and per share data)</w:t>
            </w:r>
          </w:p>
        </w:tc>
        <w:tc>
          <w:tcPr>
            <w:tcW w:w="146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rPr>
              <w:t>Share Price</w:t>
            </w:r>
          </w:p>
        </w:tc>
        <w:tc>
          <w:tcPr>
            <w:tcW w:w="140" w:type="dxa"/>
            <w:vAlign w:val="bottom"/>
          </w:tcPr>
          <w:p>
            <w:pPr>
              <w:spacing w:after="0"/>
              <w:rPr>
                <w:sz w:val="14"/>
                <w:szCs w:val="14"/>
                <w:color w:val="auto"/>
              </w:rPr>
            </w:pPr>
          </w:p>
        </w:tc>
        <w:tc>
          <w:tcPr>
            <w:tcW w:w="144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380" w:type="dxa"/>
            <w:vAlign w:val="bottom"/>
            <w:gridSpan w:val="2"/>
          </w:tcPr>
          <w:p>
            <w:pPr>
              <w:ind w:left="20"/>
              <w:spacing w:after="0" w:line="142" w:lineRule="exact"/>
              <w:rPr>
                <w:sz w:val="20"/>
                <w:szCs w:val="20"/>
                <w:color w:val="auto"/>
              </w:rPr>
            </w:pPr>
            <w:r>
              <w:rPr>
                <w:rFonts w:ascii="Times New Roman" w:cs="Times New Roman" w:eastAsia="Times New Roman" w:hAnsi="Times New Roman"/>
                <w:sz w:val="16"/>
                <w:szCs w:val="16"/>
                <w:b w:val="1"/>
                <w:bCs w:val="1"/>
                <w:color w:val="auto"/>
              </w:rPr>
              <w:t>Price Per Share</w:t>
            </w:r>
          </w:p>
        </w:tc>
        <w:tc>
          <w:tcPr>
            <w:tcW w:w="14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2840" w:type="dxa"/>
            <w:vAlign w:val="bottom"/>
            <w:tcBorders>
              <w:top w:val="single" w:sz="8" w:color="auto"/>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March 2025 ATM Forward Sale Agreements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7,835,973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254,156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252,840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6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September 2024 ATM Forward Sale Agreement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1,996,483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67,516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33.10</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66,091</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6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January 2024 ATM Forward Sale Agreement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9,662,116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305,466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302,411</w:t>
            </w:r>
          </w:p>
        </w:tc>
        <w:tc>
          <w:tcPr>
            <w:tcW w:w="0" w:type="dxa"/>
            <w:vAlign w:val="bottom"/>
          </w:tcPr>
          <w:p>
            <w:pPr>
              <w:spacing w:after="0"/>
              <w:rPr>
                <w:sz w:val="1"/>
                <w:szCs w:val="1"/>
                <w:color w:val="auto"/>
              </w:rPr>
            </w:pPr>
          </w:p>
        </w:tc>
      </w:tr>
    </w:tbl>
    <w:p>
      <w:pPr>
        <w:spacing w:after="0" w:line="238"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We did not receive any proceeds from the sale of shares at the time we entered into each of the ATM forward sale agreements. We determined that the ATM forward sale agreements meet the criteria for equity classification and, therefore, are exempt from derivative accounting. We recorded the ATM forward sale agreements at fair value at inception, which we determined to be zero. Subsequent changes to fair value are not required under equity classification.</w:t>
      </w:r>
    </w:p>
    <w:p>
      <w:pPr>
        <w:spacing w:after="0" w:line="1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September 30, 2025, we had approximately 7.8 million forward shares remaining to be settled under our ATM Program. The net forward sales price per share of forward shares sold under the ATM Program was $31.60 and would result in us receiving approximately $244.9 million in net cash proceeds if we were to physically settle the shares. Alternatively, if we were to cash settle the shares under the ATM forward sale agreements, it would result in a cash payment of $7.8 million, or, if we were to net share settle the shares under the ATM forward sale agreements, it would result in us issuing approximately 240,462 shares of common stock.</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 Settlement Activity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settlement activity of the outstanding forward shares under the ATM Program during the nine months ended September 30, 2025 and 2024.</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Settlement Date</w:t>
            </w:r>
          </w:p>
        </w:tc>
        <w:tc>
          <w:tcPr>
            <w:tcW w:w="18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8"/>
              </w:rPr>
              <w:t>Settlement Type</w:t>
            </w:r>
          </w:p>
        </w:tc>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Number of Shares</w:t>
            </w:r>
          </w:p>
        </w:tc>
        <w:tc>
          <w:tcPr>
            <w:tcW w:w="17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 Net Proceeds Upon</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u w:val="single" w:color="auto"/>
                <w:color w:val="auto"/>
              </w:rPr>
              <w:t>(</w:t>
            </w:r>
            <w:r>
              <w:rPr>
                <w:rFonts w:ascii="Times New Roman" w:cs="Times New Roman" w:eastAsia="Times New Roman" w:hAnsi="Times New Roman"/>
                <w:sz w:val="14"/>
                <w:szCs w:val="14"/>
                <w:b w:val="1"/>
                <w:bCs w:val="1"/>
                <w:i w:val="1"/>
                <w:iCs w:val="1"/>
                <w:color w:val="auto"/>
              </w:rPr>
              <w:t>$ In thousands)</w:t>
            </w:r>
          </w:p>
        </w:tc>
        <w:tc>
          <w:tcPr>
            <w:tcW w:w="1860" w:type="dxa"/>
            <w:vAlign w:val="bottom"/>
            <w:gridSpan w:val="2"/>
            <w:vMerge w:val="continue"/>
          </w:tcPr>
          <w:p>
            <w:pPr>
              <w:spacing w:after="0"/>
              <w:rPr>
                <w:sz w:val="14"/>
                <w:szCs w:val="14"/>
                <w:color w:val="auto"/>
              </w:rPr>
            </w:pPr>
          </w:p>
        </w:tc>
        <w:tc>
          <w:tcPr>
            <w:tcW w:w="1860" w:type="dxa"/>
            <w:vAlign w:val="bottom"/>
            <w:gridSpan w:val="2"/>
            <w:vMerge w:val="continue"/>
          </w:tcPr>
          <w:p>
            <w:pPr>
              <w:spacing w:after="0"/>
              <w:rPr>
                <w:sz w:val="14"/>
                <w:szCs w:val="14"/>
                <w:color w:val="auto"/>
              </w:rPr>
            </w:pPr>
          </w:p>
        </w:tc>
        <w:tc>
          <w:tcPr>
            <w:tcW w:w="188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6"/>
                <w:szCs w:val="16"/>
                <w:b w:val="1"/>
                <w:bCs w:val="1"/>
                <w:color w:val="auto"/>
              </w:rPr>
              <w:t>Settled</w:t>
            </w:r>
          </w:p>
        </w:tc>
        <w:tc>
          <w:tcPr>
            <w:tcW w:w="300" w:type="dxa"/>
            <w:vAlign w:val="bottom"/>
          </w:tcPr>
          <w:p>
            <w:pPr>
              <w:spacing w:after="0"/>
              <w:rPr>
                <w:sz w:val="14"/>
                <w:szCs w:val="14"/>
                <w:color w:val="auto"/>
              </w:rPr>
            </w:pPr>
          </w:p>
        </w:tc>
        <w:tc>
          <w:tcPr>
            <w:tcW w:w="146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6"/>
                <w:szCs w:val="16"/>
                <w:b w:val="1"/>
                <w:bCs w:val="1"/>
                <w:color w:val="auto"/>
              </w:rPr>
              <w:t>Settlement</w:t>
            </w:r>
          </w:p>
        </w:tc>
        <w:tc>
          <w:tcPr>
            <w:tcW w:w="0" w:type="dxa"/>
            <w:vAlign w:val="bottom"/>
          </w:tcPr>
          <w:p>
            <w:pPr>
              <w:spacing w:after="0"/>
              <w:rPr>
                <w:sz w:val="1"/>
                <w:szCs w:val="1"/>
                <w:color w:val="auto"/>
              </w:rPr>
            </w:pPr>
          </w:p>
        </w:tc>
      </w:tr>
      <w:tr>
        <w:trPr>
          <w:trHeight w:val="34"/>
        </w:trPr>
        <w:tc>
          <w:tcPr>
            <w:tcW w:w="20" w:type="dxa"/>
            <w:vAlign w:val="bottom"/>
            <w:tcBorders>
              <w:bottom w:val="single" w:sz="8" w:color="CCEEFF"/>
            </w:tcBorders>
          </w:tcPr>
          <w:p>
            <w:pPr>
              <w:spacing w:after="0"/>
              <w:rPr>
                <w:sz w:val="2"/>
                <w:szCs w:val="2"/>
                <w:color w:val="auto"/>
              </w:rPr>
            </w:pPr>
          </w:p>
        </w:tc>
        <w:tc>
          <w:tcPr>
            <w:tcW w:w="980" w:type="dxa"/>
            <w:vAlign w:val="bottom"/>
            <w:tcBorders>
              <w:top w:val="single" w:sz="8" w:color="auto"/>
              <w:bottom w:val="single" w:sz="8" w:color="CCEEFF"/>
            </w:tcBorders>
          </w:tcPr>
          <w:p>
            <w:pPr>
              <w:spacing w:after="0"/>
              <w:rPr>
                <w:sz w:val="2"/>
                <w:szCs w:val="2"/>
                <w:color w:val="auto"/>
              </w:rPr>
            </w:pPr>
          </w:p>
        </w:tc>
        <w:tc>
          <w:tcPr>
            <w:tcW w:w="28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2025</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9,662,116</w:t>
            </w:r>
          </w:p>
        </w:tc>
        <w:tc>
          <w:tcPr>
            <w:tcW w:w="10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295,966</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w w:val="98"/>
              </w:rPr>
              <w:t>August 11, 2025</w:t>
            </w:r>
          </w:p>
        </w:tc>
        <w:tc>
          <w:tcPr>
            <w:tcW w:w="1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2,439,256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79,761</w:t>
            </w:r>
          </w:p>
        </w:tc>
        <w:tc>
          <w:tcPr>
            <w:tcW w:w="0" w:type="dxa"/>
            <w:vAlign w:val="bottom"/>
          </w:tcPr>
          <w:p>
            <w:pPr>
              <w:spacing w:after="0"/>
              <w:rPr>
                <w:sz w:val="1"/>
                <w:szCs w:val="1"/>
                <w:color w:val="auto"/>
              </w:rPr>
            </w:pPr>
          </w:p>
        </w:tc>
      </w:tr>
      <w:tr>
        <w:trPr>
          <w:trHeight w:val="23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ATM Forward Shares</w:t>
            </w:r>
          </w:p>
        </w:tc>
        <w:tc>
          <w:tcPr>
            <w:tcW w:w="18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July 1, 2024</w:t>
            </w:r>
          </w:p>
        </w:tc>
        <w:tc>
          <w:tcPr>
            <w:tcW w:w="186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Physical</w:t>
            </w:r>
          </w:p>
        </w:tc>
        <w:tc>
          <w:tcPr>
            <w:tcW w:w="1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115,231</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Common Stock Outstanding</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issuance of outstanding shares of common stock, including restricted common stock:</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100" w:type="dxa"/>
            <w:vAlign w:val="bottom"/>
            <w:tcBorders>
              <w:bottom w:val="single" w:sz="8" w:color="auto"/>
            </w:tcBorders>
            <w:gridSpan w:val="3"/>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4"/>
        </w:trPr>
        <w:tc>
          <w:tcPr>
            <w:tcW w:w="70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 Outstanding</w:t>
            </w: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33"/>
              <w:spacing w:after="0"/>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bottom w:val="single" w:sz="8" w:color="CCEEFF"/>
            </w:tcBorders>
          </w:tcPr>
          <w:p>
            <w:pPr>
              <w:spacing w:after="0"/>
              <w:rPr>
                <w:sz w:val="18"/>
                <w:szCs w:val="18"/>
                <w:color w:val="auto"/>
              </w:rPr>
            </w:pPr>
          </w:p>
        </w:tc>
        <w:tc>
          <w:tcPr>
            <w:tcW w:w="2000" w:type="dxa"/>
            <w:vAlign w:val="bottom"/>
            <w:tcBorders>
              <w:bottom w:val="single" w:sz="8" w:color="auto"/>
            </w:tcBorders>
          </w:tcPr>
          <w:p>
            <w:pPr>
              <w:jc w:val="right"/>
              <w:ind w:right="752"/>
              <w:spacing w:after="0"/>
              <w:rPr>
                <w:sz w:val="20"/>
                <w:szCs w:val="20"/>
                <w:color w:val="auto"/>
              </w:rPr>
            </w:pPr>
            <w:r>
              <w:rPr>
                <w:rFonts w:ascii="Times New Roman" w:cs="Times New Roman" w:eastAsia="Times New Roman" w:hAnsi="Times New Roman"/>
                <w:sz w:val="16"/>
                <w:szCs w:val="16"/>
                <w:b w:val="1"/>
                <w:bCs w:val="1"/>
                <w:color w:val="auto"/>
              </w:rPr>
              <w:t>2024</w:t>
            </w:r>
          </w:p>
        </w:tc>
        <w:tc>
          <w:tcPr>
            <w:tcW w:w="0" w:type="dxa"/>
            <w:vAlign w:val="bottom"/>
          </w:tcPr>
          <w:p>
            <w:pPr>
              <w:spacing w:after="0"/>
              <w:rPr>
                <w:sz w:val="1"/>
                <w:szCs w:val="1"/>
                <w:color w:val="auto"/>
              </w:rPr>
            </w:pPr>
          </w:p>
        </w:tc>
      </w:tr>
      <w:tr>
        <w:trPr>
          <w:trHeight w:val="225"/>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Beginning Balance January 1,</w:t>
            </w: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1,056,366,685</w:t>
            </w:r>
          </w:p>
        </w:tc>
        <w:tc>
          <w:tcPr>
            <w:tcW w:w="100" w:type="dxa"/>
            <w:vAlign w:val="bottom"/>
            <w:shd w:val="clear" w:color="auto" w:fill="CCEEFF"/>
          </w:tcPr>
          <w:p>
            <w:pPr>
              <w:spacing w:after="0"/>
              <w:rPr>
                <w:sz w:val="19"/>
                <w:szCs w:val="19"/>
                <w:color w:val="auto"/>
              </w:rPr>
            </w:pPr>
          </w:p>
        </w:tc>
        <w:tc>
          <w:tcPr>
            <w:tcW w:w="2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1,042,702,763</w:t>
            </w:r>
          </w:p>
        </w:tc>
        <w:tc>
          <w:tcPr>
            <w:tcW w:w="0" w:type="dxa"/>
            <w:vAlign w:val="bottom"/>
          </w:tcPr>
          <w:p>
            <w:pPr>
              <w:spacing w:after="0"/>
              <w:rPr>
                <w:sz w:val="1"/>
                <w:szCs w:val="1"/>
                <w:color w:val="auto"/>
              </w:rPr>
            </w:pPr>
          </w:p>
        </w:tc>
      </w:tr>
      <w:tr>
        <w:trPr>
          <w:trHeight w:val="230"/>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Issuance of common stock upon physical settlement of forward sale agreements</w:t>
            </w: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12,101,372</w:t>
            </w:r>
          </w:p>
        </w:tc>
        <w:tc>
          <w:tcPr>
            <w:tcW w:w="10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4,000,000</w:t>
            </w:r>
          </w:p>
        </w:tc>
        <w:tc>
          <w:tcPr>
            <w:tcW w:w="0" w:type="dxa"/>
            <w:vAlign w:val="bottom"/>
          </w:tcPr>
          <w:p>
            <w:pPr>
              <w:spacing w:after="0"/>
              <w:rPr>
                <w:sz w:val="1"/>
                <w:szCs w:val="1"/>
                <w:color w:val="auto"/>
              </w:rPr>
            </w:pPr>
          </w:p>
        </w:tc>
      </w:tr>
      <w:tr>
        <w:trPr>
          <w:trHeight w:val="184"/>
        </w:trPr>
        <w:tc>
          <w:tcPr>
            <w:tcW w:w="7140" w:type="dxa"/>
            <w:vAlign w:val="bottom"/>
            <w:gridSpan w:val="2"/>
            <w:shd w:val="clear" w:color="auto" w:fill="CCEEFF"/>
          </w:tcPr>
          <w:p>
            <w:pPr>
              <w:ind w:left="20"/>
              <w:spacing w:after="0" w:line="184" w:lineRule="exact"/>
              <w:rPr>
                <w:sz w:val="20"/>
                <w:szCs w:val="20"/>
                <w:color w:val="auto"/>
              </w:rPr>
            </w:pPr>
            <w:r>
              <w:rPr>
                <w:rFonts w:ascii="Times New Roman" w:cs="Times New Roman" w:eastAsia="Times New Roman" w:hAnsi="Times New Roman"/>
                <w:sz w:val="18"/>
                <w:szCs w:val="18"/>
                <w:color w:val="auto"/>
              </w:rPr>
              <w:t>Issuance of restricted and unrestricted common stock under the stock incentive program, net of</w:t>
            </w:r>
          </w:p>
        </w:tc>
        <w:tc>
          <w:tcPr>
            <w:tcW w:w="2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1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forfeitures</w:t>
            </w: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340,637</w:t>
            </w:r>
          </w:p>
        </w:tc>
        <w:tc>
          <w:tcPr>
            <w:tcW w:w="100" w:type="dxa"/>
            <w:vAlign w:val="bottom"/>
            <w:shd w:val="clear" w:color="auto" w:fill="CCEEFF"/>
          </w:tcPr>
          <w:p>
            <w:pPr>
              <w:spacing w:after="0"/>
              <w:rPr>
                <w:sz w:val="20"/>
                <w:szCs w:val="20"/>
                <w:color w:val="auto"/>
              </w:rPr>
            </w:pPr>
          </w:p>
        </w:tc>
        <w:tc>
          <w:tcPr>
            <w:tcW w:w="2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469,718</w:t>
            </w:r>
          </w:p>
        </w:tc>
        <w:tc>
          <w:tcPr>
            <w:tcW w:w="0" w:type="dxa"/>
            <w:vAlign w:val="bottom"/>
          </w:tcPr>
          <w:p>
            <w:pPr>
              <w:spacing w:after="0"/>
              <w:rPr>
                <w:sz w:val="1"/>
                <w:szCs w:val="1"/>
                <w:color w:val="auto"/>
              </w:rPr>
            </w:pPr>
          </w:p>
        </w:tc>
      </w:tr>
      <w:tr>
        <w:trPr>
          <w:trHeight w:val="223"/>
        </w:trPr>
        <w:tc>
          <w:tcPr>
            <w:tcW w:w="714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Ending Balance September 30,</w:t>
            </w: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1,068,808,694</w:t>
            </w:r>
          </w:p>
        </w:tc>
        <w:tc>
          <w:tcPr>
            <w:tcW w:w="100" w:type="dxa"/>
            <w:vAlign w:val="bottom"/>
          </w:tcPr>
          <w:p>
            <w:pPr>
              <w:spacing w:after="0"/>
              <w:rPr>
                <w:sz w:val="19"/>
                <w:szCs w:val="19"/>
                <w:color w:val="auto"/>
              </w:rPr>
            </w:pPr>
          </w:p>
        </w:tc>
        <w:tc>
          <w:tcPr>
            <w:tcW w:w="2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1,047,172,481</w:t>
            </w:r>
          </w:p>
        </w:tc>
        <w:tc>
          <w:tcPr>
            <w:tcW w:w="0" w:type="dxa"/>
            <w:vAlign w:val="bottom"/>
          </w:tcPr>
          <w:p>
            <w:pPr>
              <w:spacing w:after="0"/>
              <w:rPr>
                <w:sz w:val="1"/>
                <w:szCs w:val="1"/>
                <w:color w:val="auto"/>
              </w:rPr>
            </w:pPr>
          </w:p>
        </w:tc>
      </w:tr>
      <w:tr>
        <w:trPr>
          <w:trHeight w:val="20"/>
        </w:trPr>
        <w:tc>
          <w:tcPr>
            <w:tcW w:w="704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98"/>
        </w:trPr>
        <w:tc>
          <w:tcPr>
            <w:tcW w:w="70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7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Dividends declared (on a per share basis) during the nine months ended September 30, 2025 and 2024 were as follows:</w:t>
      </w:r>
    </w:p>
    <w:p>
      <w:pPr>
        <w:spacing w:after="0" w:line="16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0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2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460" w:type="dxa"/>
            <w:vAlign w:val="bottom"/>
            <w:tcBorders>
              <w:top w:val="single" w:sz="8" w:color="auto"/>
            </w:tcBorders>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6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3, 2025</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 March 31, 2025</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0.4325</w:t>
            </w:r>
          </w:p>
        </w:tc>
      </w:tr>
      <w:tr>
        <w:trPr>
          <w:trHeight w:val="230"/>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5, 2025</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2025</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July 10, 2025</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2025 – June 30, 2025</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0.4325</w:t>
            </w:r>
          </w:p>
        </w:tc>
      </w:tr>
      <w:tr>
        <w:trPr>
          <w:trHeight w:val="229"/>
        </w:trPr>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4, 2025</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9, 2025</w:t>
            </w: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2025 – September 30, 2025</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0.4500</w:t>
            </w:r>
          </w:p>
        </w:tc>
      </w:tr>
      <w:tr>
        <w:trPr>
          <w:trHeight w:val="443"/>
        </w:trPr>
        <w:tc>
          <w:tcPr>
            <w:tcW w:w="1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4"/>
          </w:tcPr>
          <w:p>
            <w:pPr>
              <w:ind w:left="20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36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r>
      <w:tr>
        <w:trPr>
          <w:trHeight w:val="211"/>
        </w:trPr>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19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360" w:type="dxa"/>
            <w:vAlign w:val="bottom"/>
          </w:tcPr>
          <w:p>
            <w:pPr>
              <w:spacing w:after="0"/>
              <w:rPr>
                <w:sz w:val="18"/>
                <w:szCs w:val="18"/>
                <w:color w:val="auto"/>
              </w:rPr>
            </w:pPr>
          </w:p>
        </w:tc>
        <w:tc>
          <w:tcPr>
            <w:tcW w:w="1460" w:type="dxa"/>
            <w:vAlign w:val="bottom"/>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Dividend</w:t>
            </w:r>
          </w:p>
        </w:tc>
      </w:tr>
      <w:tr>
        <w:trPr>
          <w:trHeight w:val="225"/>
        </w:trPr>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10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21, 2024</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April 4, 2024</w:t>
            </w:r>
          </w:p>
        </w:tc>
        <w:tc>
          <w:tcPr>
            <w:tcW w:w="1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2024 – March 31, 2024</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0.4150</w:t>
            </w:r>
          </w:p>
        </w:tc>
      </w:tr>
      <w:tr>
        <w:trPr>
          <w:trHeight w:val="229"/>
        </w:trPr>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rPr>
              <w:t>June 7, 2024</w:t>
            </w:r>
          </w:p>
        </w:tc>
        <w:tc>
          <w:tcPr>
            <w:tcW w:w="20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June 18, 2024</w:t>
            </w:r>
          </w:p>
        </w:tc>
        <w:tc>
          <w:tcPr>
            <w:tcW w:w="1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3, 2024</w:t>
            </w:r>
          </w:p>
        </w:tc>
        <w:tc>
          <w:tcPr>
            <w:tcW w:w="34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April 1, 2024 – June 30, 2024</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0.4150</w:t>
            </w:r>
          </w:p>
        </w:tc>
      </w:tr>
      <w:tr>
        <w:trPr>
          <w:trHeight w:val="230"/>
        </w:trPr>
        <w:tc>
          <w:tcPr>
            <w:tcW w:w="200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8"/>
                <w:szCs w:val="18"/>
                <w:color w:val="auto"/>
              </w:rPr>
              <w:t>September 5, 2024</w:t>
            </w:r>
          </w:p>
        </w:tc>
        <w:tc>
          <w:tcPr>
            <w:tcW w:w="20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September 18, 2024</w:t>
            </w:r>
          </w:p>
        </w:tc>
        <w:tc>
          <w:tcPr>
            <w:tcW w:w="192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October 3, 2024</w:t>
            </w:r>
          </w:p>
        </w:tc>
        <w:tc>
          <w:tcPr>
            <w:tcW w:w="34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2024 – September 30, 2024</w:t>
            </w:r>
          </w:p>
        </w:tc>
        <w:tc>
          <w:tcPr>
            <w:tcW w:w="36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0.4325</w:t>
            </w: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12 — Earnings Per Share and Earnings Per Unit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 xml:space="preserve">Basic earnings per share is computed by dividing net income attributable to common stockholders by the weighted-average number of shares of common stock outstanding during the period. Diluted earnings per share reflects the additional dilution for all potentially dilutive securities such as stock options, unvested restricted shares, unvested performance-based restricted shares and the shares to be issued by us upon settlement of any outstanding forward sale agreements for the period such dilutive security is outstanding. The shares issuable upon settlement of any outstanding forward sale agreements, as described in </w:t>
      </w:r>
      <w:r>
        <w:rPr>
          <w:rFonts w:ascii="Times New Roman" w:cs="Times New Roman" w:eastAsia="Times New Roman" w:hAnsi="Times New Roman"/>
          <w:sz w:val="18"/>
          <w:szCs w:val="18"/>
          <w:u w:val="single" w:color="auto"/>
          <w:color w:val="0000FF"/>
        </w:rPr>
        <w:t>Note 11 – Stockholder’s Equity</w:t>
      </w:r>
      <w:r>
        <w:rPr>
          <w:rFonts w:ascii="Times New Roman" w:cs="Times New Roman" w:eastAsia="Times New Roman" w:hAnsi="Times New Roman"/>
          <w:sz w:val="18"/>
          <w:szCs w:val="18"/>
          <w:color w:val="auto"/>
        </w:rPr>
        <w:t>, are reflected in the diluted earnings per share calculations using the treasury stock method for the period outstanding prior to settlement. Under this method, the number of shares of our common stock used in calculating diluted earnings per share is deemed to be increased by the excess, if any, of the number of shares of common stock that would be issued upon full physical settlement of the shares under any outstanding forward sale agreements for the period prior to settlement over the number of shares of common stock that could be purchased by us in the market (based on the average market price during the period prior to settlement) using the proceeds receivable upon full physical settlement (based on the adjusted forward sales price immediately prior to settlement).</w:t>
      </w:r>
    </w:p>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shares of common stock outstanding used in the calculation of basic earnings per share to the weighted-average shares of common stock outstanding used in the calculation of diluted earnings per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9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940" w:type="dxa"/>
            <w:vAlign w:val="bottom"/>
            <w:tcBorders>
              <w:bottom w:val="single" w:sz="8" w:color="auto"/>
            </w:tcBorders>
            <w:gridSpan w:val="3"/>
          </w:tcPr>
          <w:p>
            <w:pPr>
              <w:jc w:val="center"/>
              <w:ind w:left="7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6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36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Determination of shares:</w:t>
            </w: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1,067,254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1,046,627</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1,059,871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1,043,922</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conversion of restricted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Assumed settlement of forward sale agreements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1,068,369</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1,048,338</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1,060,732</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share data)</w:t>
            </w: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2220" w:type="dxa"/>
            <w:vAlign w:val="bottom"/>
            <w:tcBorders>
              <w:top w:val="single" w:sz="8" w:color="auto"/>
              <w:bottom w:val="single" w:sz="8" w:color="CCEEFF"/>
            </w:tcBorders>
          </w:tcPr>
          <w:p>
            <w:pPr>
              <w:spacing w:after="0"/>
              <w:rPr>
                <w:sz w:val="2"/>
                <w:szCs w:val="2"/>
                <w:color w:val="auto"/>
              </w:rPr>
            </w:pPr>
          </w:p>
        </w:tc>
        <w:tc>
          <w:tcPr>
            <w:tcW w:w="32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732,898</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2,170,726</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2,064,216</w:t>
            </w: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shares of common stock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1,067,254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1,046,627</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1,059,871</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1,043,922</w:t>
            </w:r>
          </w:p>
        </w:tc>
      </w:tr>
      <w:tr>
        <w:trPr>
          <w:trHeight w:val="223"/>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EPS</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2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220" w:type="dxa"/>
            <w:vAlign w:val="bottom"/>
            <w:shd w:val="clear" w:color="auto" w:fill="CCEEFF"/>
          </w:tcPr>
          <w:p>
            <w:pPr>
              <w:spacing w:after="0"/>
              <w:rPr>
                <w:sz w:val="17"/>
                <w:szCs w:val="17"/>
                <w:color w:val="auto"/>
              </w:rPr>
            </w:pPr>
          </w:p>
        </w:tc>
        <w:tc>
          <w:tcPr>
            <w:tcW w:w="32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732,898</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2,170,726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2,064,216</w:t>
            </w:r>
          </w:p>
        </w:tc>
      </w:tr>
      <w:tr>
        <w:trPr>
          <w:trHeight w:val="23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Diluted weighted-average shares of common stock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1,068,369</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1,048,338</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1,060,732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1,044,897</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EPS</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3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Earnings Per Unit</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following section presents the basic earnings per unit (“EPU”) and diluted EPU of VICI OP, our operating partnership and the direct parent and 100% interest holder in VICI LP. VICI LP’s interests are not expressed in units. However, given that VICI OP has a unit ownership structure and the financial information of VICI OP is substantially identical with that of VICI LP, we have elected to present the EPU of VICI OP. Basic EPU is computed by dividing net income attributable to partners’ capital by the weighted-average number of units outstanding during the period. In accordance with the VICI OP limited liability company agreement, for each share of common stock issued at VICI, a corresponding unit is issued by VICI OP. Accordingly, diluted EPU reflects the additional dilution for all potentially dilutive units resulting from potentially dilutive VICI stock issuances, such as options, unvested restricted stock awards, unvested performance-based restricted stock unit awards and units to be issued by us upon settlement of any outstanding forward sale agreements of VICI for the period such dilutive security is outstanding. The units issuable upon settlement of any outstanding forward sale agreements of VICI are reflected in the diluted EPU calculations using the treasury stock method for the period outstanding prior to settlement. Under this method, the number of units used in calculating diluted EPU is deemed to be increased by the excess, if any, of the number of units that would be issued upon full physical settlement of the units under any outstanding forward sale agreements for the period prior to settlement over the number of shares of VICI common stock that could be purchased by us in the market (based on the average market price during the period prior to settlement) using the proceeds receivable upon full physical settlement (based on the adjusted forward sales price immediately prior to settlement). Upon VICI’s physical settlement of the shares of VICI common stock under the outstanding forward sale agreement, the delivery of shares of VICI common stock resulted in an increase in the number of VICI OP Units outstanding and resulting dilution to EPU.</w:t>
      </w:r>
    </w:p>
    <w:p>
      <w:pPr>
        <w:spacing w:after="0" w:line="14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tables reconcile the weighted-average units outstanding used in the calculation of basic EPU to the weighted-average units outstanding used in the calculation of diluted EPU:</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2920" w:type="dxa"/>
            <w:vAlign w:val="bottom"/>
            <w:gridSpan w:val="5"/>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8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940" w:type="dxa"/>
            <w:vAlign w:val="bottom"/>
            <w:tcBorders>
              <w:bottom w:val="single" w:sz="8" w:color="auto"/>
            </w:tcBorders>
            <w:gridSpan w:val="3"/>
          </w:tcPr>
          <w:p>
            <w:pPr>
              <w:jc w:val="center"/>
              <w:ind w:left="793"/>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940" w:type="dxa"/>
            <w:vAlign w:val="bottom"/>
            <w:tcBorders>
              <w:bottom w:val="single" w:sz="8" w:color="auto"/>
            </w:tcBorders>
            <w:gridSpan w:val="3"/>
          </w:tcPr>
          <w:p>
            <w:pPr>
              <w:jc w:val="center"/>
              <w:ind w:left="794"/>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36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360" w:type="dxa"/>
            <w:vAlign w:val="bottom"/>
          </w:tcPr>
          <w:p>
            <w:pPr>
              <w:jc w:val="right"/>
              <w:ind w:right="434"/>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Determination of units:</w:t>
            </w: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1,079,485</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1,058,858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1,072,102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1,056,153</w:t>
            </w:r>
          </w:p>
        </w:tc>
      </w:tr>
      <w:tr>
        <w:trPr>
          <w:trHeight w:val="230"/>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Assumed conversion of VICI restricted stock</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681</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w:t>
            </w:r>
          </w:p>
        </w:tc>
      </w:tr>
      <w:tr>
        <w:trPr>
          <w:trHeight w:val="23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Assumed settlement of VICI forward sale agreements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1,031</w:t>
            </w:r>
          </w:p>
        </w:tc>
        <w:tc>
          <w:tcPr>
            <w:tcW w:w="100" w:type="dxa"/>
            <w:vAlign w:val="bottom"/>
            <w:tcBorders>
              <w:bottom w:val="single" w:sz="8" w:color="CCEEFF"/>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508</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weighted-average units outstanding</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1,080,601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1,060,570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1,072,963</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1,057,129</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r>
        <w:trPr>
          <w:trHeight w:val="865"/>
        </w:trPr>
        <w:tc>
          <w:tcPr>
            <w:tcW w:w="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360" w:type="dxa"/>
            <w:vAlign w:val="bottom"/>
          </w:tcPr>
          <w:p>
            <w:pPr>
              <w:jc w:val="right"/>
              <w:ind w:right="1053"/>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6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3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0" w:type="dxa"/>
            <w:vAlign w:val="bottom"/>
            <w:gridSpan w:val="5"/>
          </w:tcPr>
          <w:p>
            <w:pPr>
              <w:ind w:left="36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20" w:type="dxa"/>
            <w:vAlign w:val="bottom"/>
          </w:tcPr>
          <w:p>
            <w:pPr>
              <w:spacing w:after="0"/>
              <w:rPr>
                <w:sz w:val="16"/>
                <w:szCs w:val="16"/>
                <w:color w:val="auto"/>
              </w:rPr>
            </w:pPr>
          </w:p>
        </w:tc>
        <w:tc>
          <w:tcPr>
            <w:tcW w:w="2500" w:type="dxa"/>
            <w:vAlign w:val="bottom"/>
            <w:gridSpan w:val="4"/>
          </w:tcPr>
          <w:p>
            <w:pPr>
              <w:jc w:val="right"/>
              <w:ind w:right="631"/>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4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per unit data)</w:t>
            </w: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3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2120" w:type="dxa"/>
            <w:vAlign w:val="bottom"/>
            <w:tcBorders>
              <w:top w:val="single" w:sz="8" w:color="auto"/>
              <w:bottom w:val="single" w:sz="8" w:color="CCEEFF"/>
            </w:tcBorders>
          </w:tcPr>
          <w:p>
            <w:pPr>
              <w:spacing w:after="0"/>
              <w:rPr>
                <w:sz w:val="2"/>
                <w:szCs w:val="2"/>
                <w:color w:val="auto"/>
              </w:rPr>
            </w:pPr>
          </w:p>
        </w:tc>
        <w:tc>
          <w:tcPr>
            <w:tcW w:w="33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54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Basic:</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741,519</w:t>
            </w:r>
          </w:p>
        </w:tc>
        <w:tc>
          <w:tcPr>
            <w:tcW w:w="10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2,190,024</w:t>
            </w:r>
          </w:p>
        </w:tc>
        <w:tc>
          <w:tcPr>
            <w:tcW w:w="10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2,081,840</w:t>
            </w: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1,079,485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1,058,858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1,072,102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1,056,153</w:t>
            </w:r>
          </w:p>
        </w:tc>
      </w:tr>
      <w:tr>
        <w:trPr>
          <w:trHeight w:val="223"/>
        </w:trPr>
        <w:tc>
          <w:tcPr>
            <w:tcW w:w="20" w:type="dxa"/>
            <w:vAlign w:val="bottom"/>
          </w:tcPr>
          <w:p>
            <w:pPr>
              <w:spacing w:after="0"/>
              <w:rPr>
                <w:sz w:val="19"/>
                <w:szCs w:val="19"/>
                <w:color w:val="auto"/>
              </w:rPr>
            </w:pPr>
          </w:p>
        </w:tc>
        <w:tc>
          <w:tcPr>
            <w:tcW w:w="548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Basic EPU</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2120" w:type="dxa"/>
            <w:vAlign w:val="bottom"/>
            <w:tcBorders>
              <w:bottom w:val="single" w:sz="8" w:color="CCEEFF"/>
            </w:tcBorders>
          </w:tcPr>
          <w:p>
            <w:pPr>
              <w:spacing w:after="0" w:line="20" w:lineRule="exact"/>
              <w:rPr>
                <w:sz w:val="1"/>
                <w:szCs w:val="1"/>
                <w:color w:val="auto"/>
              </w:rPr>
            </w:pPr>
          </w:p>
        </w:tc>
        <w:tc>
          <w:tcPr>
            <w:tcW w:w="33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197"/>
        </w:trPr>
        <w:tc>
          <w:tcPr>
            <w:tcW w:w="20" w:type="dxa"/>
            <w:vAlign w:val="bottom"/>
            <w:shd w:val="clear" w:color="auto" w:fill="CCEEFF"/>
          </w:tcPr>
          <w:p>
            <w:pPr>
              <w:spacing w:after="0"/>
              <w:rPr>
                <w:sz w:val="17"/>
                <w:szCs w:val="17"/>
                <w:color w:val="auto"/>
              </w:rPr>
            </w:pPr>
          </w:p>
        </w:tc>
        <w:tc>
          <w:tcPr>
            <w:tcW w:w="2120" w:type="dxa"/>
            <w:vAlign w:val="bottom"/>
            <w:shd w:val="clear" w:color="auto" w:fill="CCEEFF"/>
          </w:tcPr>
          <w:p>
            <w:pPr>
              <w:spacing w:after="0"/>
              <w:rPr>
                <w:sz w:val="17"/>
                <w:szCs w:val="17"/>
                <w:color w:val="auto"/>
              </w:rPr>
            </w:pPr>
          </w:p>
        </w:tc>
        <w:tc>
          <w:tcPr>
            <w:tcW w:w="3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r>
      <w:tr>
        <w:trPr>
          <w:trHeight w:val="229"/>
        </w:trPr>
        <w:tc>
          <w:tcPr>
            <w:tcW w:w="20" w:type="dxa"/>
            <w:vAlign w:val="bottom"/>
          </w:tcPr>
          <w:p>
            <w:pPr>
              <w:spacing w:after="0"/>
              <w:rPr>
                <w:sz w:val="19"/>
                <w:szCs w:val="19"/>
                <w:color w:val="auto"/>
              </w:rPr>
            </w:pPr>
          </w:p>
        </w:tc>
        <w:tc>
          <w:tcPr>
            <w:tcW w:w="54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Diluted:</w:t>
            </w: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29"/>
        </w:trPr>
        <w:tc>
          <w:tcPr>
            <w:tcW w:w="20" w:type="dxa"/>
            <w:vAlign w:val="bottom"/>
            <w:shd w:val="clear" w:color="auto" w:fill="CCEEFF"/>
          </w:tcPr>
          <w:p>
            <w:pPr>
              <w:spacing w:after="0"/>
              <w:rPr>
                <w:sz w:val="19"/>
                <w:szCs w:val="19"/>
                <w:color w:val="auto"/>
              </w:rPr>
            </w:pPr>
          </w:p>
        </w:tc>
        <w:tc>
          <w:tcPr>
            <w:tcW w:w="548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Net income attributable to partners</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770,281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741,519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2,190,024</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2,081,840</w:t>
            </w:r>
          </w:p>
        </w:tc>
      </w:tr>
      <w:tr>
        <w:trPr>
          <w:trHeight w:val="230"/>
        </w:trPr>
        <w:tc>
          <w:tcPr>
            <w:tcW w:w="20" w:type="dxa"/>
            <w:vAlign w:val="bottom"/>
            <w:tcBorders>
              <w:bottom w:val="single" w:sz="8" w:color="CCEEFF"/>
            </w:tcBorders>
          </w:tcPr>
          <w:p>
            <w:pPr>
              <w:spacing w:after="0"/>
              <w:rPr>
                <w:sz w:val="19"/>
                <w:szCs w:val="19"/>
                <w:color w:val="auto"/>
              </w:rPr>
            </w:pPr>
          </w:p>
        </w:tc>
        <w:tc>
          <w:tcPr>
            <w:tcW w:w="548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Weighted-average units outstanding</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1,080,601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1,060,570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1,072,963</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1,057,129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480" w:type="dxa"/>
            <w:vAlign w:val="bottom"/>
            <w:tcBorders>
              <w:bottom w:val="single" w:sz="8" w:color="CCEEFF"/>
            </w:tcBorders>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 EPU</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r>
    </w:tbl>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13 — Stock-Based Compensation</w:t>
      </w:r>
    </w:p>
    <w:p>
      <w:pPr>
        <w:spacing w:after="0" w:line="16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2017 Stock Incentive Plan (the “Plan”) is designed to provide long-term equity-based compensation to our directors and employees. The Plan is administered by the Compensation Committee of the Board of Directors. Awards under the Plan may be granted with respect to an aggregate of 12,750,000 shares of common stock and may be issued in the form of (a) incentive stock options, (b) non-qualified stock options, (c) stock appreciation rights, (d) dividend equivalent rights, (e) restricted stock, (f) restricted stock units or (g) unrestricted stock. In addition, the Plan limits the total number of shares of common stock with respect to which awards may be granted to any employee or director during any one calendar year. At September 30, 2025, approximately 9.0 million shares of common stock remained available for issuance by us as equity awards under the Plan.</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stock-based compensation expense recorded as General and administrative expense in the Statement of Operations: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620" w:type="dxa"/>
            <w:vAlign w:val="bottom"/>
          </w:tcPr>
          <w:p>
            <w:pPr>
              <w:spacing w:after="0"/>
              <w:rPr>
                <w:sz w:val="16"/>
                <w:szCs w:val="16"/>
                <w:color w:val="auto"/>
              </w:rPr>
            </w:pPr>
          </w:p>
        </w:tc>
        <w:tc>
          <w:tcPr>
            <w:tcW w:w="2300" w:type="dxa"/>
            <w:vAlign w:val="bottom"/>
            <w:gridSpan w:val="4"/>
          </w:tcPr>
          <w:p>
            <w:pPr>
              <w:jc w:val="center"/>
              <w:ind w:left="41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500" w:type="dxa"/>
            <w:vAlign w:val="bottom"/>
            <w:gridSpan w:val="4"/>
          </w:tcPr>
          <w:p>
            <w:pPr>
              <w:jc w:val="center"/>
              <w:ind w:right="235"/>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center"/>
              <w:ind w:right="275"/>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477"/>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880" w:type="dxa"/>
            <w:vAlign w:val="bottom"/>
            <w:tcBorders>
              <w:bottom w:val="single" w:sz="8" w:color="auto"/>
            </w:tcBorders>
          </w:tcPr>
          <w:p>
            <w:pPr>
              <w:spacing w:after="0"/>
              <w:rPr>
                <w:sz w:val="18"/>
                <w:szCs w:val="18"/>
                <w:color w:val="auto"/>
              </w:rPr>
            </w:pPr>
          </w:p>
        </w:tc>
      </w:tr>
      <w:tr>
        <w:trPr>
          <w:trHeight w:val="157"/>
        </w:trPr>
        <w:tc>
          <w:tcPr>
            <w:tcW w:w="20" w:type="dxa"/>
            <w:vAlign w:val="bottom"/>
          </w:tcPr>
          <w:p>
            <w:pPr>
              <w:spacing w:after="0"/>
              <w:rPr>
                <w:sz w:val="13"/>
                <w:szCs w:val="13"/>
                <w:color w:val="auto"/>
              </w:rPr>
            </w:pPr>
          </w:p>
        </w:tc>
        <w:tc>
          <w:tcPr>
            <w:tcW w:w="550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jc w:val="right"/>
              <w:ind w:right="437"/>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jc w:val="right"/>
              <w:ind w:right="435"/>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6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860" w:type="dxa"/>
            <w:vAlign w:val="bottom"/>
            <w:shd w:val="clear" w:color="auto" w:fill="CCEEFF"/>
          </w:tcPr>
          <w:p>
            <w:pPr>
              <w:jc w:val="right"/>
              <w:ind w:right="676"/>
              <w:spacing w:after="0"/>
              <w:rPr>
                <w:sz w:val="20"/>
                <w:szCs w:val="20"/>
                <w:color w:val="auto"/>
              </w:rPr>
            </w:pPr>
            <w:r>
              <w:rPr>
                <w:rFonts w:ascii="Times New Roman" w:cs="Times New Roman" w:eastAsia="Times New Roman" w:hAnsi="Times New Roman"/>
                <w:sz w:val="18"/>
                <w:szCs w:val="18"/>
                <w:color w:val="auto"/>
                <w:w w:val="88"/>
              </w:rPr>
              <w:t>$</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4,415</w:t>
            </w:r>
          </w:p>
        </w:tc>
        <w:tc>
          <w:tcPr>
            <w:tcW w:w="10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675"/>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12,973</w:t>
            </w:r>
          </w:p>
        </w:tc>
      </w:tr>
    </w:tbl>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activity of our time-based restricted stock and performance-based restricted stock units: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80" w:type="dxa"/>
            <w:vAlign w:val="bottom"/>
          </w:tcPr>
          <w:p>
            <w:pPr>
              <w:spacing w:after="0"/>
              <w:rPr>
                <w:sz w:val="18"/>
                <w:szCs w:val="18"/>
                <w:color w:val="auto"/>
              </w:rPr>
            </w:pPr>
          </w:p>
        </w:tc>
        <w:tc>
          <w:tcPr>
            <w:tcW w:w="1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gridSpan w:val="4"/>
          </w:tcPr>
          <w:p>
            <w:pPr>
              <w:ind w:left="56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tc>
        <w:tc>
          <w:tcPr>
            <w:tcW w:w="140" w:type="dxa"/>
            <w:vAlign w:val="bottom"/>
            <w:tcBorders>
              <w:bottom w:val="single" w:sz="8" w:color="auto"/>
            </w:tcBorders>
          </w:tcPr>
          <w:p>
            <w:pPr>
              <w:spacing w:after="0"/>
              <w:rPr>
                <w:sz w:val="18"/>
                <w:szCs w:val="18"/>
                <w:color w:val="auto"/>
              </w:rPr>
            </w:pPr>
          </w:p>
        </w:tc>
        <w:tc>
          <w:tcPr>
            <w:tcW w:w="19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80" w:type="dxa"/>
            <w:vAlign w:val="bottom"/>
          </w:tcPr>
          <w:p>
            <w:pPr>
              <w:spacing w:after="0"/>
              <w:rPr>
                <w:sz w:val="18"/>
                <w:szCs w:val="18"/>
                <w:color w:val="auto"/>
              </w:rPr>
            </w:pPr>
          </w:p>
        </w:tc>
        <w:tc>
          <w:tcPr>
            <w:tcW w:w="398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Incentive and Time-Based Restricted Stock</w:t>
            </w:r>
          </w:p>
        </w:tc>
        <w:tc>
          <w:tcPr>
            <w:tcW w:w="3880" w:type="dxa"/>
            <w:vAlign w:val="bottom"/>
            <w:gridSpan w:val="4"/>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Units</w:t>
            </w:r>
          </w:p>
        </w:tc>
        <w:tc>
          <w:tcPr>
            <w:tcW w:w="0" w:type="dxa"/>
            <w:vAlign w:val="bottom"/>
          </w:tcPr>
          <w:p>
            <w:pPr>
              <w:spacing w:after="0"/>
              <w:rPr>
                <w:sz w:val="1"/>
                <w:szCs w:val="1"/>
                <w:color w:val="auto"/>
              </w:rPr>
            </w:pPr>
          </w:p>
        </w:tc>
      </w:tr>
      <w:tr>
        <w:trPr>
          <w:trHeight w:val="157"/>
        </w:trPr>
        <w:tc>
          <w:tcPr>
            <w:tcW w:w="338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10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8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right"/>
              <w:ind w:right="72"/>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0" w:type="dxa"/>
            <w:vAlign w:val="bottom"/>
          </w:tcPr>
          <w:p>
            <w:pPr>
              <w:spacing w:after="0"/>
              <w:rPr>
                <w:sz w:val="1"/>
                <w:szCs w:val="1"/>
                <w:color w:val="auto"/>
              </w:rPr>
            </w:pPr>
          </w:p>
        </w:tc>
      </w:tr>
      <w:tr>
        <w:trPr>
          <w:trHeight w:val="214"/>
        </w:trPr>
        <w:tc>
          <w:tcPr>
            <w:tcW w:w="3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share/unit data)</w:t>
            </w:r>
          </w:p>
        </w:tc>
        <w:tc>
          <w:tcPr>
            <w:tcW w:w="1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200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33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w:t>
            </w:r>
          </w:p>
        </w:tc>
        <w:tc>
          <w:tcPr>
            <w:tcW w:w="10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908</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25.60</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30.40</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34.82</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c>
          <w:tcPr>
            <w:tcW w:w="10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29.01</w:t>
            </w:r>
          </w:p>
        </w:tc>
        <w:tc>
          <w:tcPr>
            <w:tcW w:w="0" w:type="dxa"/>
            <w:vAlign w:val="bottom"/>
          </w:tcPr>
          <w:p>
            <w:pPr>
              <w:spacing w:after="0"/>
              <w:rPr>
                <w:sz w:val="1"/>
                <w:szCs w:val="1"/>
                <w:color w:val="auto"/>
              </w:rPr>
            </w:pPr>
          </w:p>
        </w:tc>
      </w:tr>
      <w:tr>
        <w:trPr>
          <w:trHeight w:val="230"/>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30.44</w:t>
            </w:r>
          </w:p>
        </w:tc>
        <w:tc>
          <w:tcPr>
            <w:tcW w:w="10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29.51</w:t>
            </w:r>
          </w:p>
        </w:tc>
        <w:tc>
          <w:tcPr>
            <w:tcW w:w="0" w:type="dxa"/>
            <w:vAlign w:val="bottom"/>
          </w:tcPr>
          <w:p>
            <w:pPr>
              <w:spacing w:after="0"/>
              <w:rPr>
                <w:sz w:val="1"/>
                <w:szCs w:val="1"/>
                <w:color w:val="auto"/>
              </w:rPr>
            </w:pPr>
          </w:p>
        </w:tc>
      </w:tr>
      <w:tr>
        <w:trPr>
          <w:trHeight w:val="230"/>
        </w:trPr>
        <w:tc>
          <w:tcPr>
            <w:tcW w:w="3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2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30.55</w:t>
            </w:r>
          </w:p>
        </w:tc>
        <w:tc>
          <w:tcPr>
            <w:tcW w:w="10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w:t>
            </w:r>
          </w:p>
        </w:tc>
        <w:tc>
          <w:tcPr>
            <w:tcW w:w="0" w:type="dxa"/>
            <w:vAlign w:val="bottom"/>
          </w:tcPr>
          <w:p>
            <w:pPr>
              <w:spacing w:after="0"/>
              <w:rPr>
                <w:sz w:val="1"/>
                <w:szCs w:val="1"/>
                <w:color w:val="auto"/>
              </w:rPr>
            </w:pPr>
          </w:p>
        </w:tc>
      </w:tr>
      <w:tr>
        <w:trPr>
          <w:trHeight w:val="20"/>
        </w:trPr>
        <w:tc>
          <w:tcPr>
            <w:tcW w:w="33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4"/>
        </w:trPr>
        <w:tc>
          <w:tcPr>
            <w:tcW w:w="33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jc w:val="right"/>
              <w:ind w:right="1453"/>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90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7"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0"/>
          <w:szCs w:val="20"/>
          <w:b w:val="1"/>
          <w:bCs w:val="1"/>
          <w:color w:val="auto"/>
        </w:rPr>
        <w:t>VICI PROPERTIES INC. AND VICI PROPERTIES L.P.</w:t>
      </w:r>
    </w:p>
    <w:p>
      <w:pPr>
        <w:spacing w:after="0" w:line="6"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20"/>
          <w:szCs w:val="20"/>
          <w:b w:val="1"/>
          <w:bCs w:val="1"/>
          <w:color w:val="auto"/>
        </w:rPr>
        <w:t>NOTES TO CONSOLIDATED FINANCIAL STATEMENTS (Continued)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360" w:type="dxa"/>
            <w:vAlign w:val="bottom"/>
          </w:tcPr>
          <w:p>
            <w:pPr>
              <w:spacing w:after="0"/>
              <w:rPr>
                <w:sz w:val="18"/>
                <w:szCs w:val="18"/>
                <w:color w:val="auto"/>
              </w:rPr>
            </w:pPr>
          </w:p>
        </w:tc>
        <w:tc>
          <w:tcPr>
            <w:tcW w:w="17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4"/>
          </w:tcPr>
          <w:p>
            <w:pPr>
              <w:ind w:left="5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3360" w:type="dxa"/>
            <w:vAlign w:val="bottom"/>
          </w:tcPr>
          <w:p>
            <w:pPr>
              <w:spacing w:after="0"/>
              <w:rPr>
                <w:sz w:val="18"/>
                <w:szCs w:val="18"/>
                <w:color w:val="auto"/>
              </w:rPr>
            </w:pPr>
          </w:p>
        </w:tc>
        <w:tc>
          <w:tcPr>
            <w:tcW w:w="3960" w:type="dxa"/>
            <w:vAlign w:val="bottom"/>
            <w:gridSpan w:val="5"/>
          </w:tcPr>
          <w:p>
            <w:pPr>
              <w:ind w:left="440"/>
              <w:spacing w:after="0"/>
              <w:rPr>
                <w:sz w:val="20"/>
                <w:szCs w:val="20"/>
                <w:color w:val="auto"/>
              </w:rPr>
            </w:pPr>
            <w:r>
              <w:rPr>
                <w:rFonts w:ascii="Times New Roman" w:cs="Times New Roman" w:eastAsia="Times New Roman" w:hAnsi="Times New Roman"/>
                <w:sz w:val="16"/>
                <w:szCs w:val="16"/>
                <w:b w:val="1"/>
                <w:bCs w:val="1"/>
                <w:color w:val="auto"/>
              </w:rPr>
              <w:t>Incentive and Time-Based Restricted Stock</w:t>
            </w:r>
          </w:p>
        </w:tc>
        <w:tc>
          <w:tcPr>
            <w:tcW w:w="3920" w:type="dxa"/>
            <w:vAlign w:val="bottom"/>
            <w:gridSpan w:val="4"/>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Performance-Based Restricted Stock Units</w:t>
            </w:r>
          </w:p>
        </w:tc>
        <w:tc>
          <w:tcPr>
            <w:tcW w:w="0" w:type="dxa"/>
            <w:vAlign w:val="bottom"/>
          </w:tcPr>
          <w:p>
            <w:pPr>
              <w:spacing w:after="0"/>
              <w:rPr>
                <w:sz w:val="1"/>
                <w:szCs w:val="1"/>
                <w:color w:val="auto"/>
              </w:rPr>
            </w:pPr>
          </w:p>
        </w:tc>
      </w:tr>
      <w:tr>
        <w:trPr>
          <w:trHeight w:val="157"/>
        </w:trPr>
        <w:tc>
          <w:tcPr>
            <w:tcW w:w="336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6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tcBorders>
          </w:tcPr>
          <w:p>
            <w:pPr>
              <w:spacing w:after="0"/>
              <w:rPr>
                <w:sz w:val="13"/>
                <w:szCs w:val="13"/>
                <w:color w:val="auto"/>
              </w:rPr>
            </w:pPr>
          </w:p>
        </w:tc>
        <w:tc>
          <w:tcPr>
            <w:tcW w:w="1900" w:type="dxa"/>
            <w:vAlign w:val="bottom"/>
            <w:tcBorders>
              <w:top w:val="single" w:sz="8" w:color="auto"/>
            </w:tcBorders>
          </w:tcPr>
          <w:p>
            <w:pPr>
              <w:jc w:val="center"/>
              <w:ind w:right="53"/>
              <w:spacing w:after="0" w:line="158" w:lineRule="exact"/>
              <w:rPr>
                <w:sz w:val="20"/>
                <w:szCs w:val="20"/>
                <w:color w:val="auto"/>
              </w:rPr>
            </w:pPr>
            <w:r>
              <w:rPr>
                <w:rFonts w:ascii="Times New Roman" w:cs="Times New Roman" w:eastAsia="Times New Roman" w:hAnsi="Times New Roman"/>
                <w:sz w:val="16"/>
                <w:szCs w:val="16"/>
                <w:b w:val="1"/>
                <w:bCs w:val="1"/>
                <w:color w:val="auto"/>
                <w:w w:val="99"/>
              </w:rPr>
              <w:t>Weighted Average Grant</w:t>
            </w:r>
          </w:p>
        </w:tc>
        <w:tc>
          <w:tcPr>
            <w:tcW w:w="80" w:type="dxa"/>
            <w:vAlign w:val="bottom"/>
          </w:tcPr>
          <w:p>
            <w:pPr>
              <w:spacing w:after="0"/>
              <w:rPr>
                <w:sz w:val="13"/>
                <w:szCs w:val="13"/>
                <w:color w:val="auto"/>
              </w:rPr>
            </w:pPr>
          </w:p>
        </w:tc>
        <w:tc>
          <w:tcPr>
            <w:tcW w:w="1840" w:type="dxa"/>
            <w:vAlign w:val="bottom"/>
            <w:tcBorders>
              <w:top w:val="single" w:sz="8" w:color="auto"/>
            </w:tcBorders>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Units</w:t>
            </w:r>
          </w:p>
        </w:tc>
        <w:tc>
          <w:tcPr>
            <w:tcW w:w="140" w:type="dxa"/>
            <w:vAlign w:val="bottom"/>
            <w:tcBorders>
              <w:top w:val="single" w:sz="8" w:color="auto"/>
            </w:tcBorders>
          </w:tcPr>
          <w:p>
            <w:pPr>
              <w:spacing w:after="0"/>
              <w:rPr>
                <w:sz w:val="13"/>
                <w:szCs w:val="13"/>
                <w:color w:val="auto"/>
              </w:rPr>
            </w:pPr>
          </w:p>
        </w:tc>
        <w:tc>
          <w:tcPr>
            <w:tcW w:w="1940" w:type="dxa"/>
            <w:vAlign w:val="bottom"/>
            <w:tcBorders>
              <w:top w:val="single" w:sz="8" w:color="auto"/>
            </w:tcBorders>
          </w:tcPr>
          <w:p>
            <w:pPr>
              <w:jc w:val="right"/>
              <w:ind w:right="92"/>
              <w:spacing w:after="0" w:line="158" w:lineRule="exact"/>
              <w:rPr>
                <w:sz w:val="20"/>
                <w:szCs w:val="20"/>
                <w:color w:val="auto"/>
              </w:rPr>
            </w:pPr>
            <w:r>
              <w:rPr>
                <w:rFonts w:ascii="Times New Roman" w:cs="Times New Roman" w:eastAsia="Times New Roman" w:hAnsi="Times New Roman"/>
                <w:sz w:val="16"/>
                <w:szCs w:val="16"/>
                <w:b w:val="1"/>
                <w:bCs w:val="1"/>
                <w:color w:val="auto"/>
              </w:rPr>
              <w:t>Weighted Average Grant</w:t>
            </w:r>
          </w:p>
        </w:tc>
        <w:tc>
          <w:tcPr>
            <w:tcW w:w="0" w:type="dxa"/>
            <w:vAlign w:val="bottom"/>
          </w:tcPr>
          <w:p>
            <w:pPr>
              <w:spacing w:after="0"/>
              <w:rPr>
                <w:sz w:val="1"/>
                <w:szCs w:val="1"/>
                <w:color w:val="auto"/>
              </w:rPr>
            </w:pPr>
          </w:p>
        </w:tc>
      </w:tr>
      <w:tr>
        <w:trPr>
          <w:trHeight w:val="214"/>
        </w:trPr>
        <w:tc>
          <w:tcPr>
            <w:tcW w:w="3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 except per share/unit data)</w:t>
            </w:r>
          </w:p>
        </w:tc>
        <w:tc>
          <w:tcPr>
            <w:tcW w:w="1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8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Date Fair Value</w:t>
            </w:r>
          </w:p>
        </w:tc>
        <w:tc>
          <w:tcPr>
            <w:tcW w:w="184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940" w:type="dxa"/>
            <w:vAlign w:val="bottom"/>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Date Fair Value</w:t>
            </w:r>
          </w:p>
        </w:tc>
        <w:tc>
          <w:tcPr>
            <w:tcW w:w="0" w:type="dxa"/>
            <w:vAlign w:val="bottom"/>
          </w:tcPr>
          <w:p>
            <w:pPr>
              <w:spacing w:after="0"/>
              <w:rPr>
                <w:sz w:val="1"/>
                <w:szCs w:val="1"/>
                <w:color w:val="auto"/>
              </w:rPr>
            </w:pPr>
          </w:p>
        </w:tc>
      </w:tr>
      <w:tr>
        <w:trPr>
          <w:trHeight w:val="225"/>
        </w:trPr>
        <w:tc>
          <w:tcPr>
            <w:tcW w:w="33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Outstanding at beginning of period</w:t>
            </w:r>
          </w:p>
        </w:tc>
        <w:tc>
          <w:tcPr>
            <w:tcW w:w="1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8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27.44</w:t>
            </w:r>
          </w:p>
        </w:tc>
        <w:tc>
          <w:tcPr>
            <w:tcW w:w="80" w:type="dxa"/>
            <w:vAlign w:val="bottom"/>
            <w:tcBorders>
              <w:top w:val="single" w:sz="8" w:color="CCEEFF"/>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28.28</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23.88</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27.32</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Vested</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29.73</w:t>
            </w:r>
          </w:p>
        </w:tc>
        <w:tc>
          <w:tcPr>
            <w:tcW w:w="80" w:type="dxa"/>
            <w:vAlign w:val="bottom"/>
            <w:shd w:val="clear" w:color="auto" w:fill="CCEEFF"/>
          </w:tcPr>
          <w:p>
            <w:pPr>
              <w:spacing w:after="0"/>
              <w:rPr>
                <w:sz w:val="19"/>
                <w:szCs w:val="19"/>
                <w:color w:val="auto"/>
              </w:rPr>
            </w:pP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34.27</w:t>
            </w:r>
          </w:p>
        </w:tc>
        <w:tc>
          <w:tcPr>
            <w:tcW w:w="0" w:type="dxa"/>
            <w:vAlign w:val="bottom"/>
          </w:tcPr>
          <w:p>
            <w:pPr>
              <w:spacing w:after="0"/>
              <w:rPr>
                <w:sz w:val="1"/>
                <w:szCs w:val="1"/>
                <w:color w:val="auto"/>
              </w:rPr>
            </w:pPr>
          </w:p>
        </w:tc>
      </w:tr>
      <w:tr>
        <w:trPr>
          <w:trHeight w:val="229"/>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Forfeited</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29.91</w:t>
            </w:r>
          </w:p>
        </w:tc>
        <w:tc>
          <w:tcPr>
            <w:tcW w:w="8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32.16</w:t>
            </w:r>
          </w:p>
        </w:tc>
        <w:tc>
          <w:tcPr>
            <w:tcW w:w="0" w:type="dxa"/>
            <w:vAlign w:val="bottom"/>
          </w:tcPr>
          <w:p>
            <w:pPr>
              <w:spacing w:after="0"/>
              <w:rPr>
                <w:sz w:val="1"/>
                <w:szCs w:val="1"/>
                <w:color w:val="auto"/>
              </w:rPr>
            </w:pPr>
          </w:p>
        </w:tc>
      </w:tr>
      <w:tr>
        <w:trPr>
          <w:trHeight w:val="230"/>
        </w:trPr>
        <w:tc>
          <w:tcPr>
            <w:tcW w:w="3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Canceled</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Outstanding at end of period</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24.50</w:t>
            </w:r>
          </w:p>
        </w:tc>
        <w:tc>
          <w:tcPr>
            <w:tcW w:w="80" w:type="dxa"/>
            <w:vAlign w:val="bottom"/>
          </w:tcPr>
          <w:p>
            <w:pPr>
              <w:spacing w:after="0"/>
              <w:rPr>
                <w:sz w:val="19"/>
                <w:szCs w:val="19"/>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25.52</w:t>
            </w:r>
          </w:p>
        </w:tc>
        <w:tc>
          <w:tcPr>
            <w:tcW w:w="0" w:type="dxa"/>
            <w:vAlign w:val="bottom"/>
          </w:tcPr>
          <w:p>
            <w:pPr>
              <w:spacing w:after="0"/>
              <w:rPr>
                <w:sz w:val="1"/>
                <w:szCs w:val="1"/>
                <w:color w:val="auto"/>
              </w:rPr>
            </w:pPr>
          </w:p>
        </w:tc>
      </w:tr>
      <w:tr>
        <w:trPr>
          <w:trHeight w:val="21"/>
        </w:trPr>
        <w:tc>
          <w:tcPr>
            <w:tcW w:w="33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2025, there was $23.8 million of unrecognized compensation cost related to non-vested stock-based compensation arrangements under the Plan. This cost is expected to be recognized over a weighted average period of 1.9 years.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 14 — Segment Information</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operations consist of real estate investment activities, which represent substantially all of our business. Accordingly, all of our operations have been considered to represent one operating segment and one reportable segment. Our CODM is Edward B. Pitoniak, our CEO, who assesses the performance of our Company using consolidated Net income.</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a monthly basis, the CODM reviews the consolidated income statement, including the primary drivers of changes against the prior period, which allows him to actively monitor and review our revenues and expenses. Given the relatively predictable nature of our cash flows due to the net lease structure of our real estate portfolio, the CODM’s primary focus when reviewing the consolidated income statement is monitoring changes in the line items in the Statement of Operations as compared to the prior period and to evaluate total general and administrative expenses against the Company’s approved budget. The CODM does not review assets at a different asset level or category than the amounts disclosed in the consolidated balance sheet.</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83"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Management’s Discussion and Analysis of Financial Condition and Results of Operations</w:t>
      </w:r>
    </w:p>
    <w:p>
      <w:pPr>
        <w:spacing w:after="0" w:line="163" w:lineRule="exact"/>
        <w:rPr>
          <w:sz w:val="20"/>
          <w:szCs w:val="20"/>
          <w:color w:val="auto"/>
        </w:rPr>
      </w:pPr>
    </w:p>
    <w:p>
      <w:pPr>
        <w:jc w:val="both"/>
        <w:spacing w:after="0" w:line="277" w:lineRule="auto"/>
        <w:rPr>
          <w:rFonts w:ascii="Times New Roman" w:cs="Times New Roman" w:eastAsia="Times New Roman" w:hAnsi="Times New Roman"/>
          <w:sz w:val="17"/>
          <w:szCs w:val="17"/>
          <w:i w:val="1"/>
          <w:iCs w:val="1"/>
          <w:color w:val="auto"/>
        </w:rPr>
      </w:pPr>
      <w:r>
        <w:rPr>
          <w:rFonts w:ascii="Times New Roman" w:cs="Times New Roman" w:eastAsia="Times New Roman" w:hAnsi="Times New Roman"/>
          <w:sz w:val="17"/>
          <w:szCs w:val="17"/>
          <w:i w:val="1"/>
          <w:iCs w:val="1"/>
          <w:color w:val="auto"/>
        </w:rPr>
        <w:t xml:space="preserve">The following discussion and analysis of the financial position and operating results of VICI Properties Inc. and VICI Properties L.P. for the three and nine months ended September 30, 2025 should be read in conjunction with the Financial Statements and related notes thereto and other financial information contained elsewhere in this Quarterly Report on Form 10-Q and the audited consolidated financial statements and related notes for the year ended December 31, 2024, which were included in our </w:t>
      </w:r>
      <w:hyperlink r:id="rId28">
        <w:r>
          <w:rPr>
            <w:rFonts w:ascii="Times New Roman" w:cs="Times New Roman" w:eastAsia="Times New Roman" w:hAnsi="Times New Roman"/>
            <w:sz w:val="17"/>
            <w:szCs w:val="17"/>
            <w:i w:val="1"/>
            <w:iCs w:val="1"/>
            <w:u w:val="single" w:color="auto"/>
            <w:color w:val="0000FF"/>
          </w:rPr>
          <w:t>Annual Report on Form 10-K for the year ended December 31, 2024</w:t>
        </w:r>
      </w:hyperlink>
      <w:r>
        <w:rPr>
          <w:rFonts w:ascii="Times New Roman" w:cs="Times New Roman" w:eastAsia="Times New Roman" w:hAnsi="Times New Roman"/>
          <w:sz w:val="17"/>
          <w:szCs w:val="17"/>
          <w:i w:val="1"/>
          <w:iCs w:val="1"/>
          <w:color w:val="auto"/>
        </w:rPr>
        <w:t xml:space="preserve">. All defined terms included herein have the same meaning as those set forth in the </w:t>
      </w:r>
      <w:r>
        <w:rPr>
          <w:rFonts w:ascii="Times New Roman" w:cs="Times New Roman" w:eastAsia="Times New Roman" w:hAnsi="Times New Roman"/>
          <w:sz w:val="17"/>
          <w:szCs w:val="17"/>
          <w:i w:val="1"/>
          <w:iCs w:val="1"/>
          <w:u w:val="single" w:color="auto"/>
          <w:color w:val="0000FF"/>
        </w:rPr>
        <w:t>Notes to the Consolidated Financial Statements</w:t>
      </w:r>
      <w:r>
        <w:rPr>
          <w:rFonts w:ascii="Times New Roman" w:cs="Times New Roman" w:eastAsia="Times New Roman" w:hAnsi="Times New Roman"/>
          <w:sz w:val="17"/>
          <w:szCs w:val="17"/>
          <w:i w:val="1"/>
          <w:iCs w:val="1"/>
          <w:color w:val="auto"/>
        </w:rPr>
        <w:t xml:space="preserve"> contained within this Quarterly Report on Form 10-Q.</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CAUTIONARY NOTE REGARDING FORWARD-LOOKING STATEMENTS</w:t>
      </w:r>
    </w:p>
    <w:p>
      <w:pPr>
        <w:spacing w:after="0" w:line="2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Certain statements in this Quarterly Report on Form 10-Q, including statements such as “anticipate,” “believe,” “estimate,” “expect,” “intend,” “plan,” “project,” “target,” “can,” “could,” “may,” “should,” “will,” “would” or similar expressions, constitute “forward-looking statements” within the meaning of the federal securities laws. Forward-looking statements are based on our current plans, expectations and projections about future events. We therefore caution you against relying on any of these forward-looking statements. They give our expectations about the future and are not guarantees. These statements involve known and unknown risks, uncertainties and other factors that may cause our actual results, performance and achievements to materially differ from any future results, performance and achievements expressed in or implied by such forward-looking statements.</w:t>
      </w:r>
    </w:p>
    <w:p>
      <w:pPr>
        <w:spacing w:after="0" w:line="25"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The forward-looking statements included herein are based upon our current expectations, plans, estimates, assumptions and beliefs that involve numerous risks and uncertainties. Assumptions relating to the foregoing involve judgments with respect to, among other things, future economic, competitive and market conditions and future business decisions, all of which are difficult or impossible to predict accurately and many of which are beyond our control. Although we believe that the expectations reflected in such forward-looking statements are based on reasonable assumptions, our actual results, performance and achievements could differ materially from those set forth in the forward-looking statements and may be affected by a variety of risks and other factors, including, among others: the impact of changes in general economic conditions and market developments, including inflation, interest rate changes and volatility, tariffs and trade barriers, supply chain disruptions, changes in consumer spending, consumer confidence levels, unemployment levels, governmental action (including significant layoffs or reductions in force among federal government employees or a prolonged U.S. federal government shutdown), and depressed real estate prices resulting from the severity and duration of any downturn or recession in the U.S. or global economy; our ability to successfully pursue and consummate transactions, including investments in, and acquisitions of, real estate and to obtain debt financing for such investments at attractive interest rates, or at all; risks associated with our pending and completed transactions, including our ability or failure to realize the anticipated benefits thereof; our dependence on our tenants at our properties and their affiliates that serve as guarantors of the lease payments, and the negative consequences any material adverse effect on their respective businesses could have on us; the possibility that any future transactions may not be consummated on the terms or timeframes contemplated, or at all, including our ability to obtain the financing necessary to complete any acquisitions on the terms we expect in a timely manner, or at all; the ability of the parties to satisfy the conditions set forth in the definitive transaction documents, including the receipt of, or delays in obtaining, governmental and regulatory approvals and consents required to consummate such transactions, or other delays or impediments to completing the transactions; the anticipated benefits of certain arrangements with certain tenants in connection with our funding of “same store” capital improvements in exchange for increased rent pursuant to the terms of our agreements with such tenants, which we refer to as the Partner Property Growth Fund strategy; our decision and ability to exercise our purchase rights under our put-call agreements, call agreements, right of first refusal agreements and right of first offer agreements; our borrowers’ ability to repay their outstanding loan obligations to us; our dependence on the gaming industry; our ability to pursue our business and growth strategies may be limited by the requirement that we distribute 90% of our REIT taxable income in order to qualify for taxation as a REIT and that we distribute 100% of our REIT taxable income in order to avoid current entity-level U.S. federal income taxes; the impact of extensive regulation from gaming and other regulatory authorities; the ability of our tenants to obtain and maintain regulatory approvals in connection with the operation of our properties, or the imposition of conditions to such regulatory approvals; the possibility that our tenants may choose not to renew their respective lease agreements following the initial or subsequent terms of the leases; restrictions on our ability to sell our properties subject to the lease agreements; our tenants and any guarantors’ historical results may not be a reliable indicator of their future results; our substantial amount of indebtedness and ability to service, refinance (at attractive interest rates, or at all), and otherwise fulfill our obligations under such indebtedness; our historical financial information may not be reliable indicators of our future results of operations, financial condition and cash flows; the possibility that we identify significant environmental, tax, legal or other issues,</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including additional costs or liabilities, that materially and adversely impact the value of assets acquired or secured as collateral (or other benefits we expect to receive) in any of our pending and completed transactions; the impact of changes to tax laws and regulations, including U.S. federal income tax laws, state tax laws or global tax laws; the impact of changes in governmental or regulatory actions and initiatives; the possibility of adverse tax consequences as a result of our pending and completed transactions, including pursuant to tax protection agreements to which we are a party; increased volatility in our stock price, including as a result of our pending and completed transactions; our inability to maintain our qualification for taxation as a REIT; the impact of climate change, natural disasters or other severe weather events, war or conflict, political and public health conditions, uncertainty or civil unrest, violence or terrorist activities or threats on our properties, or in areas where our properties are located and changes in economic conditions or heightened travel security, and any measures instituted in response to these events; the loss of the services of key personnel; the inability to attract, retain and motivate employees; the costs and liabilities associated with environmental compliance; failure to establish and maintain an effective system of integrated internal controls; the risks related to us or our tenants not having adequate insurance to cover potential losses; the potential impact on the amount of our cash distributions if we determine to sell or divest any of our properties in the future or are unable to redeploy capital returned from investments at attractive rates, or at all; our ability to continue to make distributions to holders of our common stock or maintain anticipated levels of distributions over time, including our reliance on distributions received from our subsidiaries, including VICI OP, to make such distributions to our stockholders; competition for transaction opportunities, including from other REITs, investment companies, private equity firms and hedge funds, sovereign funds, lenders, gaming companies and other investors that may have greater resources and access to capital and a lower cost of capital or different investment parameters than us; and additional factors discussed herein and listed from time to time as “Risk Factors” in our filings with the SEC, including without limitation, in our subsequent reports on Form 10-K, Form 10-Q and Form 8-K.</w:t>
      </w:r>
    </w:p>
    <w:p>
      <w:pPr>
        <w:spacing w:after="0" w:line="1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Any of the assumptions underlying forward-looking statements could be inaccurate. You are cautioned not to place undue reliance on any forward-looking statements. All forward-looking statements are made as of the date of this Quarterly Report on Form 10-Q and the risk that actual results, performance and achievements will differ materially from the expectations expressed herein will increase with the passage of time. Except as otherwise required by the Federal securities laws, we undertake no obligation to publicly update or revise any forward-looking statements, whether as a result of new information, future events, changed circumstances or any other reason. In light of the significant uncertainties inherent in forward-looking statements, the inclusion of such forward-looking statements should not be regarded as a representation by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OVERVIEW</w:t>
      </w:r>
    </w:p>
    <w:p>
      <w:pPr>
        <w:spacing w:after="0" w:line="18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are primarily engaged in the business of owning and acquiring gaming, hospitality, wellness, entertainment and leisure destinations, subject to long-term triple-net leases. We own 93 experiential assets across a geographically diverse portfolio consisting of 54 gaming properties and 39 other experiential properties across the United States and Canada, including Caesars Palace Las Vegas, MGM Grand and the Venetian Resort, three of the most iconic entertainment facilities on the Las Vegas Strip. Our gaming and entertainment facilities are leased to leading brands that seek to drive consumer loyalty and value with guests through superior services, experiences, products and continuous innovation. Across approximately 127 million square feet, our well-maintained properties are currently located across urban, destination and drive-to markets in twenty-six states and Canada, contain approximately 60,300 hotel rooms and feature over 500 restaurants, bars, nightclubs and sportsbooks. As of September 30, 2025, our properties are 100% leased with a weighted average lease term based on contractual rent, including extension options, of approximately 40.0 years.</w:t>
      </w:r>
    </w:p>
    <w:p>
      <w:pPr>
        <w:spacing w:after="0" w:line="13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a growing array of real estate and financing partnerships with leading developers and operators in other experiential sectors, including Cabot, Cain, Canyon Ranch, Chelsea Piers, Great Wolf Resorts, Homefield, Kalahari Resorts and Lucky Strike Entertainment. This portfolio includes certain real estate debt investments that we have originated for strategic reasons, primarily in connection with transactions that either do or may provide the potential to convert our investment into the ownership of certain of the underlying real estate in the future. In addition, we own approximately 33 acres of undeveloped or underdeveloped land on and adjacent to the Las Vegas Strip that is leased to Caesars, which we may look to monetize as appropriate. VICI also owns four championship golf courses located near certain of our properties, two of which are in close proximity to the Las Vegas Strip.</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portfolio is competitively positioned and well-maintained. Pursuant to the terms of our lease agreements, which require our tenants to invest in our properties, and in line with our tenants’ commitment to build guest loyalty, we anticipate our tenants will continue to make strategic value-enhancing investments in our properties over time, helping to maintain their competitive position. Our long-term triple-net leases provide our tenants with complete control over management at our leased properties, including sole responsibility for all operations and related expenses, including property taxes, insurance and maintenance,</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repair, improvement and other capital expenditures, as well as over the implementation of environmental sustainability and other initiatives.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conduct our operations as a REIT for U.S. federal income tax purposes. We generally will not be subject to U.S. federal income taxes on our taxable income to the extent that we annually distribute all of our net taxable income to stockholders and maintain our qualification as a REIT. We believe VICI’s election of REIT status, combined with the income generation from the lease agreements and loans, will enhance our ability to make distributions to our stockholders, providing investors with current income as well as long-term growth, subject to the macroeconomic environment, other global events and market conditions more broadly. We conduct our real property business through VICI OP and our golf course business through a TRS, VICI Golf.</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financial information included in this Quarterly Report on Form 10-Q is our consolidated results (including the real property business and the golf course business) for the three and nine months ended September 30, 2025.</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Impact of Material Trends on Our Business</w:t>
      </w:r>
    </w:p>
    <w:p>
      <w:pPr>
        <w:spacing w:after="0" w:line="17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Macroeconomic volatility has introduced significant uncertainty and heightened risk for businesses, including us and our tenants, including the impact of interest rate changes and volatility, inflation, increased cost of capital, threat of recession, and geopolitical uncertainty. Our tenants also face additional challenges, including potential changes in consumer confidence levels, behavior and spending, increased supply and competition for gaming and other experiential activities, potential supply chain issues and increased operational expenses (including the impact of tariffs and trade barriers), such as with respect to material, labor or energy costs. As a triple-net lessor, increased operational expenses at our leased properties are borne by our tenants and do not directly impact their rent obligations (other than with respect to underlying inflation as applied to the CPI-based escalators) or other obligations under our lease agreements. The full extent to which these trends adversely affect our tenants and/or ultimately impact us depends on future developments that cannot be predicted with confidence, including our tenants’ financial performance, the direct and indirect effects of such trends (including among other things, interest rate changes and volatility, inflation, tariffs and trade barriers, economic recessions, consumer confidence levels and general conditions in the equity and credit markets) and the impact of any future measures taken in response to such trends by our tenants.</w:t>
      </w:r>
    </w:p>
    <w:p>
      <w:pPr>
        <w:spacing w:after="0" w:line="140" w:lineRule="exact"/>
        <w:rPr>
          <w:sz w:val="20"/>
          <w:szCs w:val="20"/>
          <w:color w:val="auto"/>
        </w:rPr>
      </w:pPr>
    </w:p>
    <w:p>
      <w:pPr>
        <w:jc w:val="both"/>
        <w:ind w:right="20"/>
        <w:spacing w:after="0" w:line="282" w:lineRule="auto"/>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auto"/>
          </w:rPr>
          <w:t xml:space="preserve">For more information, refer to the sections entitled “Key Trends That May Affect Our Business” and “Risk Factors” in our </w:t>
        </w:r>
        <w:r>
          <w:rPr>
            <w:rFonts w:ascii="Times New Roman" w:cs="Times New Roman" w:eastAsia="Times New Roman" w:hAnsi="Times New Roman"/>
            <w:sz w:val="18"/>
            <w:szCs w:val="18"/>
            <w:u w:val="single" w:color="auto"/>
            <w:color w:val="0000FF"/>
          </w:rPr>
          <w:t>Annual Report on Form 10-K</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FF"/>
          </w:rPr>
          <w:t>for the year ended December 31, 2024</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and as updated from time to time in our other filings with the SEC.</w:t>
        </w:r>
      </w:hyperlink>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SIGNIFICANT ACTIVITIES DURING 2025</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Leasing Activity</w:t>
      </w:r>
    </w:p>
    <w:p>
      <w:pPr>
        <w:spacing w:after="0" w:line="117" w:lineRule="exact"/>
        <w:rPr>
          <w:sz w:val="20"/>
          <w:szCs w:val="20"/>
          <w:color w:val="auto"/>
        </w:rPr>
      </w:pPr>
    </w:p>
    <w:p>
      <w:pPr>
        <w:jc w:val="both"/>
        <w:ind w:left="660" w:hanging="328"/>
        <w:spacing w:after="0" w:line="253" w:lineRule="auto"/>
        <w:tabs>
          <w:tab w:leader="none" w:pos="655"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Northfield Park Severance Lease. </w:t>
      </w:r>
      <w:r>
        <w:rPr>
          <w:rFonts w:ascii="Times New Roman" w:cs="Times New Roman" w:eastAsia="Times New Roman" w:hAnsi="Times New Roman"/>
          <w:sz w:val="18"/>
          <w:szCs w:val="18"/>
          <w:color w:val="auto"/>
        </w:rPr>
        <w:t>Subsequent to quarter-end, on October 16, 2025, we announced that, in connection with MGM’s agreement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sell the operations of Northfield Park, located in Northfield, Ohio, to an affiliate of funds managed by Clairvest, we agreed to enter into (i) the Northfield Park Lease, a new triple-net lease agreement with an affiliate of Clairvest with respect to the real property of Northfield Park, and (ii) an amendment to the MGM Master Lease in order to account for MGM’s divestiture of the operations of Northfield Park and to reduce the annual base rent under the MGM Master Lease by the initial base rent under the Northfield Park Lease. The Northfield Park Lease will have an initial annual base rent of $53.0 million ($54.0 million if the transaction closes on or after May 1, 2026 to reflect the 2.0% annual escalation provided under the MGM Master Lease). Upon closing, the Northfield Park Lease will begin a new 25-year lease term with three 10-year tenant renewal options, with other economic terms substantially similar to the MGM Master Lease, including escalation of 2.0% per annum (with escalation equal to the greater of 2.0% and the change in CPI (capped at 3.0%) beginning at the same time as the MGM Master Lease in 2032) and a minimum capital expenditure requirement equal to 1.0% of annual net revenue. The Northfield Park Lease will be guaranteed by an affiliate of funds managed by Clairvest that will own the operations of Northfield Park. The transaction is subject to customary closing conditions and regulatory approvals and is expected to be completed in the first half of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Real Estate Debt Investment Activity</w:t>
      </w:r>
    </w:p>
    <w:p>
      <w:pPr>
        <w:spacing w:after="0" w:line="171" w:lineRule="exact"/>
        <w:rPr>
          <w:sz w:val="20"/>
          <w:szCs w:val="20"/>
          <w:color w:val="auto"/>
        </w:rPr>
      </w:pPr>
    </w:p>
    <w:p>
      <w:pPr>
        <w:jc w:val="both"/>
        <w:ind w:left="660" w:hanging="328"/>
        <w:spacing w:after="0" w:line="257" w:lineRule="auto"/>
        <w:tabs>
          <w:tab w:leader="none" w:pos="655" w:val="left"/>
        </w:tabs>
        <w:numPr>
          <w:ilvl w:val="0"/>
          <w:numId w:val="2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 xml:space="preserve">One Beverly Hills Mezzanine Loan. </w:t>
      </w:r>
      <w:r>
        <w:rPr>
          <w:rFonts w:ascii="Times New Roman" w:cs="Times New Roman" w:eastAsia="Times New Roman" w:hAnsi="Times New Roman"/>
          <w:sz w:val="18"/>
          <w:szCs w:val="18"/>
          <w:color w:val="auto"/>
        </w:rPr>
        <w:t>On February 19, 2025, we purchased a $300.0 million interest in an existing mezzanine loan related to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development of One Beverly Hills, a landmark 17.5-acre luxury experiential lifestyle hub in Beverly Hills, California. On June 23, 2025, we purchased an additional $150.0 million interest in the existing mezzanine loan. One Beverly Hills is being developed by Cain and will be anchored by Aman Beverly Hills, featuring an Aman Hotel and Aman-branded residences, and include a full-scale refurbishment of The Beverly Hilton, additional retail, food and beverage offerings, and 10 acres of botanical gardens and open space. Construction of the development has commenced and is expected to be completed in phases in 2028.</w:t>
      </w:r>
    </w:p>
    <w:p>
      <w:pPr>
        <w:spacing w:after="0" w:line="118" w:lineRule="exact"/>
        <w:rPr>
          <w:rFonts w:ascii="Times New Roman" w:cs="Times New Roman" w:eastAsia="Times New Roman" w:hAnsi="Times New Roman"/>
          <w:sz w:val="18"/>
          <w:szCs w:val="18"/>
          <w:b w:val="1"/>
          <w:bCs w:val="1"/>
          <w:color w:val="auto"/>
        </w:rPr>
      </w:pPr>
    </w:p>
    <w:p>
      <w:pPr>
        <w:ind w:left="660"/>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mezzanine loan has an initial maturity in March 2026 and one 12-month extension option, subject to certain conditions. Our investments were each funded with a combination of cash on hand and a draw under the Revolving Credit Facility.</w:t>
      </w:r>
    </w:p>
    <w:p>
      <w:pPr>
        <w:spacing w:after="0" w:line="49" w:lineRule="exact"/>
        <w:rPr>
          <w:rFonts w:ascii="Times New Roman" w:cs="Times New Roman" w:eastAsia="Times New Roman" w:hAnsi="Times New Roman"/>
          <w:sz w:val="18"/>
          <w:szCs w:val="18"/>
          <w:b w:val="1"/>
          <w:bCs w:val="1"/>
          <w:color w:val="auto"/>
        </w:rPr>
      </w:pPr>
    </w:p>
    <w:p>
      <w:pPr>
        <w:jc w:val="both"/>
        <w:ind w:left="660" w:hanging="328"/>
        <w:spacing w:after="0" w:line="256"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North Fork Casino Loan. </w:t>
      </w:r>
      <w:r>
        <w:rPr>
          <w:rFonts w:ascii="Times New Roman" w:cs="Times New Roman" w:eastAsia="Times New Roman" w:hAnsi="Times New Roman"/>
          <w:sz w:val="18"/>
          <w:szCs w:val="18"/>
          <w:color w:val="auto"/>
        </w:rPr>
        <w:t>On April 4, 2025, we provided a commitment of up to $510.0 million of the $725.0 million Term Loan Arrangement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North Fork Rancheria Economic Development Authority, a wholly owned entity of the North Fork Rancheria of Mono Indians of California. Proceeds from the Term Loan Arrangement will be used to develop North Fork located near Madera, California, which will be developed and managed by affiliates of Red Rock Resorts. The Term Loan Arrangement consists of a $340.0 million Term Loan A, of which we have committed up to $125.0 million, and a $385.0 million Term Loan B, of which we have committed up to the full $385.0 million, for a total commitment of $510.0 million. The Term Loan A has an initial term of five years and the Term Loan B has an initial term of six years. The project is expected to be funded in accordance with a construction draw schedule and is expected to be completed in the second half of 2026.</w:t>
      </w:r>
    </w:p>
    <w:p>
      <w:pPr>
        <w:spacing w:after="0" w:line="106"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our real estate debt investment activity (each as defined in the column titled “Real Estate Debt Investment”) for the nine months ended September 30, 2025:</w:t>
      </w:r>
    </w:p>
    <w:p>
      <w:pPr>
        <w:sectPr>
          <w:pgSz w:w="11900" w:h="16838" w:orient="portrait"/>
          <w:cols w:equalWidth="0" w:num="1">
            <w:col w:w="11240"/>
          </w:cols>
          <w:pgMar w:left="320" w:top="364" w:right="339" w:bottom="1440" w:gutter="0" w:footer="0" w:header="0"/>
        </w:sectPr>
      </w:pP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millions)</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62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Real Estate Debt Investment</w:t>
            </w:r>
          </w:p>
        </w:tc>
        <w:tc>
          <w:tcPr>
            <w:tcW w:w="17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Investment Type</w:t>
            </w:r>
          </w:p>
        </w:tc>
        <w:tc>
          <w:tcPr>
            <w:tcW w:w="120" w:type="dxa"/>
            <w:vAlign w:val="bottom"/>
          </w:tcPr>
          <w:p>
            <w:pPr>
              <w:spacing w:after="0"/>
              <w:rPr>
                <w:sz w:val="14"/>
                <w:szCs w:val="14"/>
                <w:color w:val="auto"/>
              </w:rPr>
            </w:pPr>
          </w:p>
        </w:tc>
        <w:tc>
          <w:tcPr>
            <w:tcW w:w="1540" w:type="dxa"/>
            <w:vAlign w:val="bottom"/>
          </w:tcPr>
          <w:p>
            <w:pPr>
              <w:jc w:val="right"/>
              <w:ind w:right="34"/>
              <w:spacing w:after="0" w:line="168" w:lineRule="exact"/>
              <w:rPr>
                <w:sz w:val="20"/>
                <w:szCs w:val="20"/>
                <w:color w:val="auto"/>
              </w:rPr>
            </w:pPr>
            <w:r>
              <w:rPr>
                <w:rFonts w:ascii="Times New Roman" w:cs="Times New Roman" w:eastAsia="Times New Roman" w:hAnsi="Times New Roman"/>
                <w:sz w:val="16"/>
                <w:szCs w:val="16"/>
                <w:b w:val="1"/>
                <w:bCs w:val="1"/>
                <w:color w:val="auto"/>
              </w:rPr>
              <w:t>Maximum Principal</w:t>
            </w:r>
          </w:p>
        </w:tc>
        <w:tc>
          <w:tcPr>
            <w:tcW w:w="0" w:type="dxa"/>
            <w:vAlign w:val="bottom"/>
          </w:tcPr>
          <w:p>
            <w:pPr>
              <w:spacing w:after="0"/>
              <w:rPr>
                <w:sz w:val="1"/>
                <w:szCs w:val="1"/>
                <w:color w:val="auto"/>
              </w:rPr>
            </w:pPr>
          </w:p>
        </w:tc>
      </w:tr>
      <w:tr>
        <w:trPr>
          <w:trHeight w:val="214"/>
        </w:trPr>
        <w:tc>
          <w:tcPr>
            <w:tcW w:w="2620" w:type="dxa"/>
            <w:vAlign w:val="bottom"/>
            <w:gridSpan w:val="2"/>
            <w:vMerge w:val="continue"/>
          </w:tcPr>
          <w:p>
            <w:pPr>
              <w:spacing w:after="0"/>
              <w:rPr>
                <w:sz w:val="18"/>
                <w:szCs w:val="18"/>
                <w:color w:val="auto"/>
              </w:rPr>
            </w:pPr>
          </w:p>
        </w:tc>
        <w:tc>
          <w:tcPr>
            <w:tcW w:w="17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230"/>
        </w:trPr>
        <w:tc>
          <w:tcPr>
            <w:tcW w:w="2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One Beverly Hills Loan</w:t>
            </w:r>
          </w:p>
        </w:tc>
        <w:tc>
          <w:tcPr>
            <w:tcW w:w="100" w:type="dxa"/>
            <w:vAlign w:val="bottom"/>
          </w:tcPr>
          <w:p>
            <w:pPr>
              <w:spacing w:after="0"/>
              <w:rPr>
                <w:sz w:val="19"/>
                <w:szCs w:val="19"/>
                <w:color w:val="auto"/>
              </w:rPr>
            </w:pPr>
          </w:p>
        </w:tc>
        <w:tc>
          <w:tcPr>
            <w:tcW w:w="1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Mezzanine</w:t>
            </w:r>
          </w:p>
        </w:tc>
        <w:tc>
          <w:tcPr>
            <w:tcW w:w="8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0" w:type="dxa"/>
            <w:vAlign w:val="bottom"/>
          </w:tcPr>
          <w:p>
            <w:pPr>
              <w:spacing w:after="0"/>
              <w:rPr>
                <w:sz w:val="1"/>
                <w:szCs w:val="1"/>
                <w:color w:val="auto"/>
              </w:rPr>
            </w:pPr>
          </w:p>
        </w:tc>
      </w:tr>
      <w:tr>
        <w:trPr>
          <w:trHeight w:val="319"/>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North Fork Casino Loan</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Senior Secured Loan</w:t>
            </w:r>
          </w:p>
        </w:tc>
        <w:tc>
          <w:tcPr>
            <w:tcW w:w="1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3"/>
        </w:trPr>
        <w:tc>
          <w:tcPr>
            <w:tcW w:w="262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960.0</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-187960</wp:posOffset>
            </wp:positionV>
            <wp:extent cx="7132320" cy="1714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-607695</wp:posOffset>
            </wp:positionV>
            <wp:extent cx="713232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Collateral</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Luxury experiential lifestyle hub in Beverly Hills, California</w:t>
      </w:r>
    </w:p>
    <w:p>
      <w:pPr>
        <w:spacing w:after="0" w:line="27" w:lineRule="exact"/>
        <w:rPr>
          <w:sz w:val="20"/>
          <w:szCs w:val="20"/>
          <w:color w:val="auto"/>
        </w:rPr>
      </w:pPr>
    </w:p>
    <w:p>
      <w:pPr>
        <w:ind w:right="160"/>
        <w:spacing w:after="0" w:line="245" w:lineRule="auto"/>
        <w:rPr>
          <w:sz w:val="20"/>
          <w:szCs w:val="20"/>
          <w:color w:val="auto"/>
        </w:rPr>
      </w:pPr>
      <w:r>
        <w:rPr>
          <w:rFonts w:ascii="Times New Roman" w:cs="Times New Roman" w:eastAsia="Times New Roman" w:hAnsi="Times New Roman"/>
          <w:sz w:val="18"/>
          <w:szCs w:val="18"/>
          <w:color w:val="auto"/>
        </w:rPr>
        <w:t>The personal property and revenues of the North Fork Mono Casino &amp; Resort located near Madera, California</w:t>
      </w:r>
    </w:p>
    <w:p>
      <w:pPr>
        <w:spacing w:after="0" w:line="492" w:lineRule="exact"/>
        <w:rPr>
          <w:sz w:val="20"/>
          <w:szCs w:val="20"/>
          <w:color w:val="auto"/>
        </w:rPr>
      </w:pPr>
    </w:p>
    <w:p>
      <w:pPr>
        <w:sectPr>
          <w:pgSz w:w="11900" w:h="16838" w:orient="portrait"/>
          <w:cols w:equalWidth="0" w:num="2">
            <w:col w:w="6060" w:space="120"/>
            <w:col w:w="5060"/>
          </w:cols>
          <w:pgMar w:left="320" w:top="364" w:right="339" w:bottom="1440" w:gutter="0" w:footer="0" w:header="0"/>
          <w:type w:val="continuous"/>
        </w:sectPr>
      </w:pPr>
    </w:p>
    <w:p>
      <w:pPr>
        <w:spacing w:after="0" w:line="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Financing and Capital Markets Activity</w:t>
      </w:r>
    </w:p>
    <w:p>
      <w:pPr>
        <w:spacing w:after="0" w:line="117" w:lineRule="exact"/>
        <w:rPr>
          <w:sz w:val="20"/>
          <w:szCs w:val="20"/>
          <w:color w:val="auto"/>
        </w:rPr>
      </w:pPr>
    </w:p>
    <w:p>
      <w:pPr>
        <w:jc w:val="both"/>
        <w:ind w:left="660" w:hanging="328"/>
        <w:spacing w:after="0" w:line="253"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New Revolving Credit Facility. </w:t>
      </w:r>
      <w:r>
        <w:rPr>
          <w:rFonts w:ascii="Times New Roman" w:cs="Times New Roman" w:eastAsia="Times New Roman" w:hAnsi="Times New Roman"/>
          <w:sz w:val="18"/>
          <w:szCs w:val="18"/>
          <w:color w:val="auto"/>
        </w:rPr>
        <w:t>On February 3, 2025, we entered into the Credit Agreement providing for the Revolving Credit Facility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amount of $2.5 billion scheduled to mature on February 3, 2029. Concurrently, we terminated our 2022 Revolving Credit Facility and 2022 Credit Agreement</w:t>
      </w:r>
      <w:r>
        <w:rPr>
          <w:rFonts w:ascii="Times New Roman" w:cs="Times New Roman" w:eastAsia="Times New Roman" w:hAnsi="Times New Roman"/>
          <w:sz w:val="18"/>
          <w:szCs w:val="18"/>
          <w:color w:val="231F20"/>
        </w:rPr>
        <w:t>.</w:t>
      </w:r>
      <w:r>
        <w:rPr>
          <w:rFonts w:ascii="Times New Roman" w:cs="Times New Roman" w:eastAsia="Times New Roman" w:hAnsi="Times New Roman"/>
          <w:sz w:val="18"/>
          <w:szCs w:val="18"/>
          <w:color w:val="auto"/>
        </w:rPr>
        <w:t xml:space="preserve"> The Revolving Credit Facility includes two six-month maturity extension options (or one twelve-month extension option), the exercise of which in each case is subject to customary conditions and the payment of an extension fee. The Revolving Credit Facility includes the option to increase the revolving loan commitments by up to $1.0 billion in the aggregate to the extent that any one or more lenders (from the syndicate or otherwise) agree to provide such additional credit extension. Borrowings under the Revolving Credit Facility will bear interest, at VICI LP’s option, for U.S. Dollar borrowings at either (i) a rate based on SOFR plus a margin ranging from 0.70% to 1.40%, or (ii) a base rate plus a margin ranging from 0.00% to 0.40%, in each case, with the actual margin determined according to VICI LP’s debt ratings (as the borrower under the Credit Agreement) and total leverage ratio. In addition to U.S. Dollar borrowings, borrowings under the Revolving Credit Facility are also available in certain specific foreign currencies, bearing interest based on rates customary for such foreign currencies and subject to the same applicable margins for U.S. Dollar borrowings. In addition, the Credit Agreement includes the option to add one or more tranches of term loans of up to $2.0 billion in the aggregate, in each case, to the extent that any one or more lenders (from the syndicate or otherwise) agree to provide such additional credit extensions.</w:t>
      </w:r>
    </w:p>
    <w:p>
      <w:pPr>
        <w:spacing w:after="0" w:line="79"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At-The-Market Offering Program. </w:t>
      </w:r>
      <w:r>
        <w:rPr>
          <w:rFonts w:ascii="Times New Roman" w:cs="Times New Roman" w:eastAsia="Times New Roman" w:hAnsi="Times New Roman"/>
          <w:sz w:val="18"/>
          <w:szCs w:val="18"/>
          <w:color w:val="auto"/>
        </w:rPr>
        <w:t>During the nine months ended September 30, 2025, we sold an aggregate of 7,835,973 shares under the ATM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Program, all of which were subject to ATM forward sale agreements, for estimated aggregate total proceeds of $252.8 million based on the weighted average initial forward sale price of $32.27 per share. We did not initially receive any proceeds from the sale of the shares of common stock under the ATM forward sale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agreements, which were sold to the underwriters by the forward purchasers or their respective affiliates. On July 1, 2025 and August 11, 2025, we physically settled 9,662,116 and 2,439,256 forward shares, respectively, under the ATM Program in exchange for total net settlement proceeds of approximately $296.0 million and $79.8 million, respectively.</w:t>
      </w:r>
    </w:p>
    <w:p>
      <w:pPr>
        <w:spacing w:after="0" w:line="64" w:lineRule="exact"/>
        <w:rPr>
          <w:sz w:val="20"/>
          <w:szCs w:val="20"/>
          <w:color w:val="auto"/>
        </w:rPr>
      </w:pPr>
    </w:p>
    <w:p>
      <w:pPr>
        <w:ind w:left="660" w:hanging="328"/>
        <w:spacing w:after="0"/>
        <w:tabs>
          <w:tab w:leader="none" w:pos="66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Senior Unsecured Notes Offering. </w:t>
      </w:r>
      <w:r>
        <w:rPr>
          <w:rFonts w:ascii="Times New Roman" w:cs="Times New Roman" w:eastAsia="Times New Roman" w:hAnsi="Times New Roman"/>
          <w:sz w:val="18"/>
          <w:szCs w:val="18"/>
          <w:color w:val="auto"/>
        </w:rPr>
        <w:t>On April 7, 2025, VICI LP issued $1.3 billion aggregate principal amount of April 2025 Notes comprised of</w:t>
      </w:r>
    </w:p>
    <w:p>
      <w:pPr>
        <w:spacing w:after="0" w:line="31" w:lineRule="exact"/>
        <w:rPr>
          <w:rFonts w:ascii="Times New Roman" w:cs="Times New Roman" w:eastAsia="Times New Roman" w:hAnsi="Times New Roman"/>
          <w:sz w:val="18"/>
          <w:szCs w:val="18"/>
          <w:color w:val="auto"/>
        </w:rPr>
      </w:pPr>
    </w:p>
    <w:p>
      <w:pPr>
        <w:jc w:val="both"/>
        <w:ind w:left="660" w:hanging="4"/>
        <w:spacing w:after="0" w:line="250" w:lineRule="auto"/>
        <w:tabs>
          <w:tab w:leader="none" w:pos="89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$400.0 million in aggregate principal amount of 4.750% Senior Notes due 2028, which mature on April 1, 2028 and (ii) $900.0 million in aggregate principal amount of 5.625% Senior Notes due 2035, which mature on April 1, 2035, in each case under a supplemental indenture dated as of April, 7, 2025, between VICI LP and the trustee. We used the net proceeds of the offering to redeem (i) $799.4 million in aggregate principal amount of the 4.625% Exchange Notes due 2025, (ii) $500.0 million in aggregate principal amount of the 4.375% April 2022 Notes due 2025 and</w:t>
      </w:r>
    </w:p>
    <w:p>
      <w:pPr>
        <w:spacing w:after="0" w:line="1"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$0.6 million in aggregate principal amount of the 4.625% MGP OP Notes due 2025.</w:t>
      </w:r>
    </w:p>
    <w:p>
      <w:pPr>
        <w:spacing w:after="0" w:line="94" w:lineRule="exact"/>
        <w:rPr>
          <w:rFonts w:ascii="Times New Roman" w:cs="Times New Roman" w:eastAsia="Times New Roman" w:hAnsi="Times New Roman"/>
          <w:sz w:val="18"/>
          <w:szCs w:val="18"/>
          <w:color w:val="auto"/>
        </w:rPr>
      </w:pPr>
    </w:p>
    <w:p>
      <w:pPr>
        <w:jc w:val="both"/>
        <w:ind w:left="660" w:hanging="328"/>
        <w:spacing w:after="0" w:line="254" w:lineRule="auto"/>
        <w:tabs>
          <w:tab w:leader="none" w:pos="65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Forward-Starting Interest Rate Swaps. </w:t>
      </w:r>
      <w:r>
        <w:rPr>
          <w:rFonts w:ascii="Times New Roman" w:cs="Times New Roman" w:eastAsia="Times New Roman" w:hAnsi="Times New Roman"/>
          <w:sz w:val="18"/>
          <w:szCs w:val="18"/>
          <w:color w:val="auto"/>
        </w:rPr>
        <w:t>During the nine months ended September 30, 2025, we entered into eight forward-starting interest 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swap agreements for an aggregate notional amount of $400.0 million and three U.S. Treasury Rate Lock agreements for an aggregate a notional amount of $150.0 million to hedge against changes in future cash flows resulting from changes in interest rates from the trade date through the forecasted issuance of senior unsecured notes expected to be issued in connection with the refinancing of our senior unsecured notes maturing in May 2025 and June 2025, which April 2025 Notes were issued on April 7, 2025. On March 28, 2025, we settled twelve outstanding forward-starting interest rate swap agreements with an aggregate notional amount of $600.0 million and the three U.S. Treasury Rate Lock agreements with an aggregate notional amount of $150.0 million, resulting in net proceeds of $1.8 million. Since the forward-starting swaps are hedging the interest rate risk on the April 2025 Notes, the unrealized gain in Accumulated other comprehensive income will be amortized over the term of the respective derivative instruments, which matches that of the underlying note, as a decrease in interest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RESULTS OF OPERATIONS</w:t>
      </w:r>
    </w:p>
    <w:p>
      <w:pPr>
        <w:spacing w:after="0" w:line="18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results of operations discussion of VICI and VICI LP are presented combined as there are no material differences between the two reporting entities. Further, Golf revenues and Golf expenses, which are wholly attributable to VICI and not VICI LP, are shown as separate line items in the Statement of Operations of VICI.</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73"/>
        </w:trPr>
        <w:tc>
          <w:tcPr>
            <w:tcW w:w="20" w:type="dxa"/>
            <w:vAlign w:val="bottom"/>
          </w:tcPr>
          <w:p>
            <w:pPr>
              <w:spacing w:after="0"/>
              <w:rPr>
                <w:sz w:val="15"/>
                <w:szCs w:val="15"/>
                <w:color w:val="auto"/>
              </w:rPr>
            </w:pPr>
          </w:p>
        </w:tc>
        <w:tc>
          <w:tcPr>
            <w:tcW w:w="4060" w:type="dxa"/>
            <w:vAlign w:val="bottom"/>
            <w:gridSpan w:val="2"/>
          </w:tcPr>
          <w:p>
            <w:pPr>
              <w:spacing w:after="0" w:line="173" w:lineRule="exact"/>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jc w:val="right"/>
              <w:ind w:right="31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ind w:right="31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gridSpan w:val="2"/>
          </w:tcPr>
          <w:p>
            <w:pPr>
              <w:ind w:left="80"/>
              <w:spacing w:after="0" w:line="173"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291"/>
              <w:spacing w:after="0" w:line="173"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ind w:right="310"/>
              <w:spacing w:after="0" w:line="173"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0"/>
              <w:spacing w:after="0" w:line="173"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30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09"/>
        </w:trPr>
        <w:tc>
          <w:tcPr>
            <w:tcW w:w="20" w:type="dxa"/>
            <w:vAlign w:val="bottom"/>
            <w:shd w:val="clear" w:color="auto" w:fill="CCEEFF"/>
          </w:tcPr>
          <w:p>
            <w:pPr>
              <w:spacing w:after="0"/>
              <w:rPr>
                <w:sz w:val="18"/>
                <w:szCs w:val="18"/>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531,765</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518,691</w:t>
            </w:r>
          </w:p>
        </w:tc>
        <w:tc>
          <w:tcPr>
            <w:tcW w:w="8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8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1,590,717</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1,543,752</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46,965</w:t>
            </w:r>
          </w:p>
        </w:tc>
      </w:tr>
      <w:tr>
        <w:trPr>
          <w:trHeight w:val="175"/>
        </w:trPr>
        <w:tc>
          <w:tcPr>
            <w:tcW w:w="20" w:type="dxa"/>
            <w:vAlign w:val="bottom"/>
            <w:shd w:val="clear" w:color="auto" w:fill="CCEEFF"/>
          </w:tcPr>
          <w:p>
            <w:pPr>
              <w:spacing w:after="0"/>
              <w:rPr>
                <w:sz w:val="15"/>
                <w:szCs w:val="15"/>
                <w:color w:val="auto"/>
              </w:rPr>
            </w:pPr>
          </w:p>
        </w:tc>
        <w:tc>
          <w:tcPr>
            <w:tcW w:w="406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Income from lease financing receivables, loans and</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securities</w:t>
            </w: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447,986</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419,115</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28,871</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1,314,726</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1,242,151</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72,575</w:t>
            </w:r>
          </w:p>
        </w:tc>
      </w:tr>
      <w:tr>
        <w:trPr>
          <w:trHeight w:val="229"/>
        </w:trPr>
        <w:tc>
          <w:tcPr>
            <w:tcW w:w="20" w:type="dxa"/>
            <w:vAlign w:val="bottom"/>
          </w:tcPr>
          <w:p>
            <w:pPr>
              <w:spacing w:after="0"/>
              <w:rPr>
                <w:sz w:val="19"/>
                <w:szCs w:val="19"/>
                <w:color w:val="auto"/>
              </w:rPr>
            </w:pPr>
          </w:p>
        </w:tc>
        <w:tc>
          <w:tcPr>
            <w:tcW w:w="406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57,950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Golf revenues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28,987</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23"/>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50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1,007,488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964,669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2,993,026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2,873,153</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119,873</w:t>
            </w:r>
          </w:p>
        </w:tc>
      </w:tr>
      <w:tr>
        <w:trPr>
          <w:trHeight w:val="250"/>
        </w:trPr>
        <w:tc>
          <w:tcPr>
            <w:tcW w:w="2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306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Depreciation</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expenses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Golf expenses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29"/>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ind w:left="200"/>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w:t>
            </w: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163,669</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50"/>
        </w:trPr>
        <w:tc>
          <w:tcPr>
            <w:tcW w:w="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30"/>
        </w:trPr>
        <w:tc>
          <w:tcPr>
            <w:tcW w:w="20" w:type="dxa"/>
            <w:vAlign w:val="bottom"/>
          </w:tcPr>
          <w:p>
            <w:pPr>
              <w:spacing w:after="0"/>
              <w:rPr>
                <w:sz w:val="19"/>
                <w:szCs w:val="19"/>
                <w:color w:val="auto"/>
              </w:rPr>
            </w:pPr>
          </w:p>
        </w:tc>
        <w:tc>
          <w:tcPr>
            <w:tcW w:w="406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Other (losses) gains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777,505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746,942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30,563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2,211,246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2,104,294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106,952</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(3,885)</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(7,257)</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w:t>
            </w: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773,620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744,481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29,139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2,204,253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2,097,037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107,216</w:t>
            </w:r>
          </w:p>
        </w:tc>
      </w:tr>
      <w:tr>
        <w:trPr>
          <w:trHeight w:val="175"/>
        </w:trPr>
        <w:tc>
          <w:tcPr>
            <w:tcW w:w="20" w:type="dxa"/>
            <w:vAlign w:val="bottom"/>
            <w:shd w:val="clear" w:color="auto" w:fill="CCEEFF"/>
          </w:tcPr>
          <w:p>
            <w:pPr>
              <w:spacing w:after="0"/>
              <w:rPr>
                <w:sz w:val="15"/>
                <w:szCs w:val="15"/>
                <w:color w:val="auto"/>
              </w:rPr>
            </w:pPr>
          </w:p>
        </w:tc>
        <w:tc>
          <w:tcPr>
            <w:tcW w:w="4060" w:type="dxa"/>
            <w:vAlign w:val="bottom"/>
            <w:gridSpan w:val="2"/>
            <w:shd w:val="clear" w:color="auto" w:fill="CCEEFF"/>
          </w:tcPr>
          <w:p>
            <w:pPr>
              <w:ind w:left="200"/>
              <w:spacing w:after="0" w:line="176" w:lineRule="exact"/>
              <w:rPr>
                <w:sz w:val="20"/>
                <w:szCs w:val="20"/>
                <w:color w:val="auto"/>
              </w:rPr>
            </w:pPr>
            <w:r>
              <w:rPr>
                <w:rFonts w:ascii="Times New Roman" w:cs="Times New Roman" w:eastAsia="Times New Roman" w:hAnsi="Times New Roman"/>
                <w:sz w:val="18"/>
                <w:szCs w:val="18"/>
                <w:color w:val="auto"/>
              </w:rPr>
              <w:t>Less: Net income attributable to non-controlling</w:t>
            </w:r>
          </w:p>
        </w:tc>
        <w:tc>
          <w:tcPr>
            <w:tcW w:w="2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243"/>
        </w:trPr>
        <w:tc>
          <w:tcPr>
            <w:tcW w:w="20" w:type="dxa"/>
            <w:vAlign w:val="bottom"/>
            <w:shd w:val="clear" w:color="auto" w:fill="CCEEFF"/>
          </w:tcPr>
          <w:p>
            <w:pPr>
              <w:spacing w:after="0"/>
              <w:rPr>
                <w:sz w:val="21"/>
                <w:szCs w:val="21"/>
                <w:color w:val="auto"/>
              </w:rPr>
            </w:pPr>
          </w:p>
        </w:tc>
        <w:tc>
          <w:tcPr>
            <w:tcW w:w="40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interests</w:t>
            </w: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(11,580)</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(11,583)</w:t>
            </w:r>
          </w:p>
        </w:tc>
        <w:tc>
          <w:tcPr>
            <w:tcW w:w="8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(33,527)</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(32,821)</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(706)</w:t>
            </w:r>
          </w:p>
        </w:tc>
      </w:tr>
      <w:tr>
        <w:trPr>
          <w:trHeight w:val="223"/>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732,898</w:t>
            </w: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29,142</w:t>
            </w:r>
          </w:p>
        </w:tc>
        <w:tc>
          <w:tcPr>
            <w:tcW w:w="8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2,170,726</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2,064,216</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106,510</w:t>
            </w:r>
          </w:p>
        </w:tc>
      </w:tr>
      <w:tr>
        <w:trPr>
          <w:trHeight w:val="20"/>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885"/>
        </w:trPr>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jc w:val="right"/>
              <w:ind w:right="59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30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Revenue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our revenue was comprised of the following items: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0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72"/>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Leasing revenue</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918,775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901,559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58,246</w:t>
            </w:r>
          </w:p>
        </w:tc>
      </w:tr>
      <w:tr>
        <w:trPr>
          <w:trHeight w:val="229"/>
        </w:trPr>
        <w:tc>
          <w:tcPr>
            <w:tcW w:w="20" w:type="dxa"/>
            <w:vAlign w:val="bottom"/>
          </w:tcPr>
          <w:p>
            <w:pPr>
              <w:spacing w:after="0"/>
              <w:rPr>
                <w:sz w:val="19"/>
                <w:szCs w:val="19"/>
                <w:color w:val="auto"/>
              </w:rPr>
            </w:pPr>
          </w:p>
        </w:tc>
        <w:tc>
          <w:tcPr>
            <w:tcW w:w="4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Income from loans and securities</w:t>
            </w: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60,976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36,247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24,729</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158,168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96,874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61,294</w:t>
            </w:r>
          </w:p>
        </w:tc>
      </w:tr>
      <w:tr>
        <w:trPr>
          <w:trHeight w:val="230"/>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Golf revenues</w:t>
            </w: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8,190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7,548</w:t>
            </w:r>
          </w:p>
        </w:tc>
        <w:tc>
          <w:tcPr>
            <w:tcW w:w="8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642</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28,987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29,300</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revenues</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1,007,488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964,669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42,819</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2,993,026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2,873,153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119,873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Leasing Revenue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components of our income from sales-type and financing receivables leases: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2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2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40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52"/>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from sales-type leases</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531,765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518,691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13,074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1,590,717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1,543,752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46,965</w:t>
            </w:r>
          </w:p>
        </w:tc>
      </w:tr>
      <w:tr>
        <w:trPr>
          <w:trHeight w:val="229"/>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Income from lease financing receivables </w:t>
            </w:r>
            <w:r>
              <w:rPr>
                <w:rFonts w:ascii="Times New Roman" w:cs="Times New Roman" w:eastAsia="Times New Roman" w:hAnsi="Times New Roman"/>
                <w:sz w:val="23"/>
                <w:szCs w:val="23"/>
                <w:i w:val="1"/>
                <w:iCs w:val="1"/>
                <w:color w:val="auto"/>
                <w:vertAlign w:val="superscript"/>
              </w:rPr>
              <w:t>(1)</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8"/>
                <w:szCs w:val="18"/>
                <w:color w:val="auto"/>
                <w:w w:val="99"/>
              </w:rPr>
              <w:t>387,010</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w w:val="99"/>
              </w:rPr>
              <w:t>382,868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4,142</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1,156,558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1,145,277</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11,281</w:t>
            </w:r>
          </w:p>
        </w:tc>
      </w:tr>
      <w:tr>
        <w:trPr>
          <w:trHeight w:val="223"/>
        </w:trPr>
        <w:tc>
          <w:tcPr>
            <w:tcW w:w="20" w:type="dxa"/>
            <w:vAlign w:val="bottom"/>
            <w:shd w:val="clear" w:color="auto" w:fill="CCEEFF"/>
          </w:tcPr>
          <w:p>
            <w:pPr>
              <w:spacing w:after="0"/>
              <w:rPr>
                <w:sz w:val="19"/>
                <w:szCs w:val="19"/>
                <w:color w:val="auto"/>
              </w:rPr>
            </w:pPr>
          </w:p>
        </w:tc>
        <w:tc>
          <w:tcPr>
            <w:tcW w:w="406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leasing revenue</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918,775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901,559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2,747,275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2,689,029</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58,246</w:t>
            </w:r>
          </w:p>
        </w:tc>
      </w:tr>
      <w:tr>
        <w:trPr>
          <w:trHeight w:val="230"/>
        </w:trPr>
        <w:tc>
          <w:tcPr>
            <w:tcW w:w="20" w:type="dxa"/>
            <w:vAlign w:val="bottom"/>
            <w:tcBorders>
              <w:bottom w:val="single" w:sz="8" w:color="CCEEFF"/>
            </w:tcBorders>
          </w:tcPr>
          <w:p>
            <w:pPr>
              <w:spacing w:after="0"/>
              <w:rPr>
                <w:sz w:val="19"/>
                <w:szCs w:val="19"/>
                <w:color w:val="auto"/>
              </w:rPr>
            </w:pPr>
          </w:p>
        </w:tc>
        <w:tc>
          <w:tcPr>
            <w:tcW w:w="4060" w:type="dxa"/>
            <w:vAlign w:val="bottom"/>
            <w:tcBorders>
              <w:bottom w:val="single" w:sz="8" w:color="CCEEFF"/>
            </w:tcBorders>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Non-cash adjustment </w:t>
            </w:r>
            <w:r>
              <w:rPr>
                <w:rFonts w:ascii="Times New Roman" w:cs="Times New Roman" w:eastAsia="Times New Roman" w:hAnsi="Times New Roman"/>
                <w:sz w:val="23"/>
                <w:szCs w:val="23"/>
                <w:i w:val="1"/>
                <w:iCs w:val="1"/>
                <w:color w:val="auto"/>
                <w:vertAlign w:val="superscript"/>
              </w:rPr>
              <w:t>(2)</w:t>
            </w: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center"/>
              <w:ind w:left="13"/>
              <w:spacing w:after="0"/>
              <w:rPr>
                <w:sz w:val="20"/>
                <w:szCs w:val="20"/>
                <w:color w:val="auto"/>
              </w:rPr>
            </w:pPr>
            <w:r>
              <w:rPr>
                <w:rFonts w:ascii="Times New Roman" w:cs="Times New Roman" w:eastAsia="Times New Roman" w:hAnsi="Times New Roman"/>
                <w:sz w:val="18"/>
                <w:szCs w:val="18"/>
                <w:color w:val="auto"/>
                <w:w w:val="99"/>
              </w:rPr>
              <w:t>(131,247)</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32"/>
              <w:spacing w:after="0"/>
              <w:rPr>
                <w:sz w:val="20"/>
                <w:szCs w:val="20"/>
                <w:color w:val="auto"/>
              </w:rPr>
            </w:pPr>
            <w:r>
              <w:rPr>
                <w:rFonts w:ascii="Times New Roman" w:cs="Times New Roman" w:eastAsia="Times New Roman" w:hAnsi="Times New Roman"/>
                <w:sz w:val="18"/>
                <w:szCs w:val="18"/>
                <w:color w:val="auto"/>
                <w:w w:val="99"/>
              </w:rPr>
              <w:t>(135,944)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4,697</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(393,370)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(402,989)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9,619</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6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contractual leasing revenue</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center"/>
              <w:ind w:left="53"/>
              <w:spacing w:after="0"/>
              <w:rPr>
                <w:sz w:val="20"/>
                <w:szCs w:val="20"/>
                <w:color w:val="auto"/>
              </w:rPr>
            </w:pPr>
            <w:r>
              <w:rPr>
                <w:rFonts w:ascii="Times New Roman" w:cs="Times New Roman" w:eastAsia="Times New Roman" w:hAnsi="Times New Roman"/>
                <w:sz w:val="18"/>
                <w:szCs w:val="18"/>
                <w:color w:val="auto"/>
                <w:w w:val="99"/>
              </w:rPr>
              <w:t>787,528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w w:val="99"/>
              </w:rPr>
              <w:t>765,615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2,353,905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2,286,040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67,865</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w:t>
      </w:r>
    </w:p>
    <w:p>
      <w:pPr>
        <w:spacing w:after="0" w:line="21" w:lineRule="exact"/>
        <w:rPr>
          <w:sz w:val="20"/>
          <w:szCs w:val="20"/>
          <w:color w:val="auto"/>
        </w:rPr>
      </w:pPr>
    </w:p>
    <w:p>
      <w:pPr>
        <w:ind w:right="20" w:firstLine="8"/>
        <w:spacing w:after="0" w:line="241" w:lineRule="auto"/>
        <w:tabs>
          <w:tab w:leader="none" w:pos="213"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our asset acquisitions structured as sale leaseback transactions. In accordance with ASC 842, since the lease agreements were determined to meet the definition of a sales-type lease and control of the asset is not considered to have transferred to us, such lease agreements are accounted for as financings under ASC 310.</w:t>
      </w:r>
    </w:p>
    <w:p>
      <w:pPr>
        <w:ind w:right="20" w:firstLine="8"/>
        <w:spacing w:after="0" w:line="278" w:lineRule="auto"/>
        <w:tabs>
          <w:tab w:leader="none" w:pos="211" w:val="left"/>
        </w:tabs>
        <w:numPr>
          <w:ilvl w:val="0"/>
          <w:numId w:val="32"/>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Amounts represent the non-cash adjustment to income from sales-type leases and lease financing receivables in order to recognize income on an effective interest basis at a constant rate of return over the term of the leases.</w:t>
      </w:r>
    </w:p>
    <w:p>
      <w:pPr>
        <w:spacing w:after="0" w:line="18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Leasing revenue is generated from rent from our lease agreements. Total leasing revenue increased $17.2 million and $58.2 million during the three and nine months ended September 30, 2025, respectively, compared to the three and nine months ended September 30, 2024, respectively. Total contractual leasing revenue increased $21.9 million and $67.9 million during the three and nine months ended September 30, 2025, respectively, compared to the three and nine months ended September 30, 2024, respectively. The increases were primarily driven by the incremental rent increases from our agreement through our Partner Property Growth Fund strategy to fund capital investments into the Venetian Resort for several reinvestment projects (the “Venetian Capital Investment”) (which occurred in July 2024, October 2024 and January 2025), as well as the annual rent escalators from certain of our other lease agreements.</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Loans and Securities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Income from loans and securities increased $24.7 million and $61.3 million during the three and nine months ended September 30, 2025, respectively, compared to the three and nine months ended September 30, 2024, respectively. The increase was primarily driven by the origination and subsequent funding, as applicable, of our debt investments and the related interest income from the increased principal balances outstanding under such debt investments.</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Operating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our operating expenses were comprised of the following items: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408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60"/>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3"/>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tcPr>
          <w:p>
            <w:pPr>
              <w:jc w:val="right"/>
              <w:ind w:right="151"/>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2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16,344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45,765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48,418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(2,653)</w:t>
            </w:r>
          </w:p>
        </w:tc>
      </w:tr>
      <w:tr>
        <w:trPr>
          <w:trHeight w:val="230"/>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Depreciation</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w:t>
            </w:r>
          </w:p>
        </w:tc>
      </w:tr>
      <w:tr>
        <w:trPr>
          <w:trHeight w:val="229"/>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19,547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19,315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58,596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57,950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w:t>
            </w:r>
          </w:p>
        </w:tc>
      </w:tr>
      <w:tr>
        <w:trPr>
          <w:trHeight w:val="229"/>
        </w:trPr>
        <w:tc>
          <w:tcPr>
            <w:tcW w:w="20" w:type="dxa"/>
            <w:vAlign w:val="bottom"/>
          </w:tcPr>
          <w:p>
            <w:pPr>
              <w:spacing w:after="0"/>
              <w:rPr>
                <w:sz w:val="19"/>
                <w:szCs w:val="19"/>
                <w:color w:val="auto"/>
              </w:rPr>
            </w:pPr>
          </w:p>
        </w:tc>
        <w:tc>
          <w:tcPr>
            <w:tcW w:w="4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Golf expenses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20,148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w:t>
            </w:r>
          </w:p>
        </w:tc>
      </w:tr>
      <w:tr>
        <w:trPr>
          <w:trHeight w:val="230"/>
        </w:trPr>
        <w:tc>
          <w:tcPr>
            <w:tcW w:w="20" w:type="dxa"/>
            <w:vAlign w:val="bottom"/>
            <w:shd w:val="clear" w:color="auto" w:fill="CCEEFF"/>
          </w:tcPr>
          <w:p>
            <w:pPr>
              <w:spacing w:after="0"/>
              <w:rPr>
                <w:sz w:val="19"/>
                <w:szCs w:val="19"/>
                <w:color w:val="auto"/>
              </w:rPr>
            </w:pPr>
          </w:p>
        </w:tc>
        <w:tc>
          <w:tcPr>
            <w:tcW w:w="40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allowance for credit losses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(7,489)</w:t>
            </w:r>
          </w:p>
        </w:tc>
      </w:tr>
      <w:tr>
        <w:trPr>
          <w:trHeight w:val="229"/>
        </w:trPr>
        <w:tc>
          <w:tcPr>
            <w:tcW w:w="20" w:type="dxa"/>
            <w:vAlign w:val="bottom"/>
            <w:tcBorders>
              <w:bottom w:val="single" w:sz="8" w:color="CCEEFF"/>
            </w:tcBorders>
          </w:tcPr>
          <w:p>
            <w:pPr>
              <w:spacing w:after="0"/>
              <w:rPr>
                <w:sz w:val="19"/>
                <w:szCs w:val="19"/>
                <w:color w:val="auto"/>
              </w:rPr>
            </w:pPr>
          </w:p>
        </w:tc>
        <w:tc>
          <w:tcPr>
            <w:tcW w:w="408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1,728</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5,760</w:t>
            </w: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4080" w:type="dxa"/>
            <w:vAlign w:val="bottom"/>
            <w:tcBorders>
              <w:bottom w:val="single" w:sz="8" w:color="CCEEFF"/>
            </w:tcBorders>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10,306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159,062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decreased $0.1 million and $2.7 million for the three and nine months ended September 30, 2025, respectively, compared to the three and nine months ended September 30, 2024, respectively. The decrease was primarily driven by a decrease in compensation, including stock-based compensation.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 in Allowance for Credit Losses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Change in allowance for credit losses increased $11.5 million during the three months ended September 30, 2025, compared to the three months ended September 30, 2024, primarily as a result of negative changes in the macroeconomic forecast during the period partially offset by changes to the reasonable and supportable period, or R&amp;S Period, probability of default, or PD, and loss given default, or LGD, of our existing tenants and their parent guarantors (as applicable) due to market performance. Refer to </w:t>
      </w:r>
      <w:r>
        <w:rPr>
          <w:rFonts w:ascii="Times New Roman" w:cs="Times New Roman" w:eastAsia="Times New Roman" w:hAnsi="Times New Roman"/>
          <w:sz w:val="18"/>
          <w:szCs w:val="18"/>
          <w:u w:val="single" w:color="auto"/>
          <w:color w:val="0000FF"/>
        </w:rPr>
        <w:t>Note 5 - Allowance for Credit Losses</w:t>
      </w:r>
      <w:r>
        <w:rPr>
          <w:rFonts w:ascii="Times New Roman" w:cs="Times New Roman" w:eastAsia="Times New Roman" w:hAnsi="Times New Roman"/>
          <w:sz w:val="18"/>
          <w:szCs w:val="18"/>
          <w:color w:val="auto"/>
        </w:rPr>
        <w:t xml:space="preserve"> for further details.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Change in allowance for credit losses decreased $7.5 million during the nine months ended September 30, 2025, compared to the nine months ended September 30, 2024, primarily driven by a decrease in the volatility of the equity market performance of our tenants partially offset by negative changes in the macroeconomic forecast during the period.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Acquisition Expenses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Transaction and acquisition expenses decreased $1.2 million and increased $5.8 million during the three and nine months ended September 30, 2025, respectively, compared to the three and nine months ended September 30, 2024, respectively. Changes in transaction and acquisition expenses are related to fluctuations in (i) costs incurred for investments during the period that are not capitalizable under GAAP, and (ii) costs incurred for investments that we are no longer pursuing.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Non-Operating Income and Expenses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three and nine months ended September 30, 2025 and 2024, our non-operating income and expenses were comprised of the following items: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8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1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80" w:type="dxa"/>
            <w:vAlign w:val="bottom"/>
            <w:gridSpan w:val="5"/>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18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r>
      <w:tr>
        <w:trPr>
          <w:trHeight w:val="159"/>
        </w:trPr>
        <w:tc>
          <w:tcPr>
            <w:tcW w:w="20" w:type="dxa"/>
            <w:vAlign w:val="bottom"/>
          </w:tcPr>
          <w:p>
            <w:pPr>
              <w:spacing w:after="0"/>
              <w:rPr>
                <w:sz w:val="13"/>
                <w:szCs w:val="13"/>
                <w:color w:val="auto"/>
              </w:rPr>
            </w:pPr>
          </w:p>
        </w:tc>
        <w:tc>
          <w:tcPr>
            <w:tcW w:w="404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5"/>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20" w:type="dxa"/>
            <w:vAlign w:val="bottom"/>
            <w:gridSpan w:val="2"/>
          </w:tcPr>
          <w:p>
            <w:pPr>
              <w:ind w:left="80"/>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295"/>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ind w:right="312"/>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jc w:val="right"/>
              <w:ind w:right="172"/>
              <w:spacing w:after="0" w:line="139"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(210,333)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(207,317)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(633,381)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(617,976)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(15,405)</w:t>
            </w:r>
          </w:p>
        </w:tc>
      </w:tr>
      <w:tr>
        <w:trPr>
          <w:trHeight w:val="230"/>
        </w:trPr>
        <w:tc>
          <w:tcPr>
            <w:tcW w:w="20" w:type="dxa"/>
            <w:vAlign w:val="bottom"/>
          </w:tcPr>
          <w:p>
            <w:pPr>
              <w:spacing w:after="0"/>
              <w:rPr>
                <w:sz w:val="19"/>
                <w:szCs w:val="19"/>
                <w:color w:val="auto"/>
              </w:rPr>
            </w:pPr>
          </w:p>
        </w:tc>
        <w:tc>
          <w:tcPr>
            <w:tcW w:w="40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2,797</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12,016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r>
      <w:tr>
        <w:trPr>
          <w:trHeight w:val="229"/>
        </w:trPr>
        <w:tc>
          <w:tcPr>
            <w:tcW w:w="20" w:type="dxa"/>
            <w:vAlign w:val="bottom"/>
            <w:shd w:val="clear" w:color="auto" w:fill="CCEEFF"/>
          </w:tcPr>
          <w:p>
            <w:pPr>
              <w:spacing w:after="0"/>
              <w:rPr>
                <w:sz w:val="19"/>
                <w:szCs w:val="19"/>
                <w:color w:val="auto"/>
              </w:rPr>
            </w:pPr>
          </w:p>
        </w:tc>
        <w:tc>
          <w:tcPr>
            <w:tcW w:w="40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(losses) gains</w:t>
            </w: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Interest expense increased $3.0 million and $15.4 million during the three and nine months ended September 30, 2025, respectively, compared to the three and nine months ended September 30, 2024, respectively. The increase during the three and nine months ended September 30, 2025 was primarily related to the increase in debt from the $175.0 million, £5.5 million and £2.0 million draws on the Revolving Credit Facility to partially finance the One Beverly Hills mezzanine loan investment in February 2025 and the upsizes of the Cabot Highlands loan in June 2024 and September 2025, respectively, partially offset by principal repayments under the Revolving Credit Facility of C$27.0 million in 2024 and C$13.0 million and $175.0 million in the nine months ended September 30, 2025.</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the weighted average annualized interest rate of our debt, net of the impact of the forward-starting interest rate swaps and treasury locks, increased to 4.45% from 4.34% for the three months ended September 30, 2025 compared to the three months ended September 30, 2024, and increased to 4.47% from 4.34% for the nine months ended September 30, 2025 compared to the nine months ended September 30, 2024, as a result of a higher effective interest rate on the March 2024 Notes, the December 2024 Notes and the April 2025 Notes as compared to the debt that was refinanced by such notes.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Income</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Interest income, representing interest earned on our excess cash, increased $1.1 million and decreased $2.1 million during the three and nine months ended September 30, 2025, respectively, compared to the three and nine months ended September 30, 2024, respectively. The changes were primarily driven by fluctuations in our cash on hand throughout the current periods as compared to the prior periods.</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RECONCILIATION OF NON-GAAP MEASURES</w:t>
      </w:r>
    </w:p>
    <w:p>
      <w:pPr>
        <w:spacing w:after="0" w:line="18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present VICI’s Funds From Operations (“FFO”), FFO per share, Adjusted Funds From Operations (“AFFO”), AFFO per share, and Adjusted EBITDA, which are not required by, or presented in accordance with, generally accepted accounting principles in the United States (“GAAP”). These are non-GAAP financial measures and should not be construed as alternatives to net income or as an indicator of operating performance (as determined in accordance with GAAP). We believe FFO, FFO per share, AFFO, AFFO per share and Adjusted EBITDA provide a meaningful perspective of the underlying operating performance of VICI’s business.</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FFO is a non-GAAP financial measure that is considered a supplemental measure for the real estate industry and a supplement to GAAP measures. Consistent with the definition used by the National Association of Real Estate Investment Trusts (NAREIT), we define FFO as VICI’s net income (or loss) attributable to common stockholders (computed in accordance with GAAP) excluding (i) gains (or losses) from sales of certain real estate assets, (ii) depreciation and amortization related to real estate, (iii) gains and losses from change in control and (iv) impairment write-downs of certain real estate assets and investments in entities when the impairment is directly attributable to decreases in the value of depreciable real estate held by the entity.</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AFFO is a non-GAAP financial measure that we use as a supplemental operating measure to evaluate VICI’s performance. We calculate VICI’s AFFO by adding or subtracting from FFO non-cash leasing and financing adjustments, non-cash change in allowance for credit losses, non-cash stock-based compensation expense, transaction costs incurred in connection with the acquisition of real estate investments, amortization of debt issuance costs and original issue discount, other non-cash interest expense, non-real estate depreciation (which is comprised of the depreciation related to our golf course operations), capital expenditures (which are comprised of additions to property, plant and equipment related to our golf course operations), impairment charges related to non-depreciable real estate, gains (or losses) on debt extinguishment and interest rate swap settlements, other gains (or losses), deferred income tax expenses and benefits, other non-recurring non-cash transactions and non-cash adjustments attributable to non-controlling interest with respect to certain of the foregoing.</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VICI’s Adjusted EBITDA by adding or subtracting from AFFO contractual interest expense (including the impact of the forward-starting interest rate swaps and treasury locks) and interest income (collectively, interest expense, net), current income tax expense and adjustments attributable to non-controlling interests.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These non-GAAP financial measures: (i) do not represent VICI’s cash flow from operations as defined by GAAP; (ii) should not be considered as an alternative to VICI’s net income as a measure of operating performance or to cash flows from operating, investing and financing activities; and (iii) are not alternatives to VICI’s cash flow as a measure of liquidity. In addition, these measures should not be viewed as measures of liquidity, nor do they measure our ability to fund all of our cash needs, including our ability to make cash distributions to our stockholders, to fund capital improvements, or to make interest payments on our indebtedness. Investors are also cautioned that FFO, FFO per share, AFFO, AFFO per share and Adjusted EBITDA, as presented, may not be comparable to similarly titled measures reported by other real estate companies, including REITs, due to the fact that not all real estate companies use the same definitions. Our presentation of these measures does not replace the presentation of VICI’s financial results in accordance with GAAP.</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Reconciliation of VICI’s Net Income to FFO, FFO per Share, AFFO, AFFO per Share and Adjusted EBITDA</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00" w:type="dxa"/>
            <w:vAlign w:val="bottom"/>
          </w:tcPr>
          <w:p>
            <w:pPr>
              <w:spacing w:after="0"/>
              <w:rPr>
                <w:sz w:val="16"/>
                <w:szCs w:val="16"/>
                <w:color w:val="auto"/>
              </w:rPr>
            </w:pPr>
          </w:p>
        </w:tc>
        <w:tc>
          <w:tcPr>
            <w:tcW w:w="2700" w:type="dxa"/>
            <w:vAlign w:val="bottom"/>
            <w:gridSpan w:val="4"/>
          </w:tcPr>
          <w:p>
            <w:pPr>
              <w:jc w:val="right"/>
              <w:ind w:right="670"/>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4"/>
        </w:trPr>
        <w:tc>
          <w:tcPr>
            <w:tcW w:w="20" w:type="dxa"/>
            <w:vAlign w:val="bottom"/>
          </w:tcPr>
          <w:p>
            <w:pPr>
              <w:spacing w:after="0"/>
              <w:rPr>
                <w:sz w:val="18"/>
                <w:szCs w:val="18"/>
                <w:color w:val="auto"/>
              </w:rPr>
            </w:pPr>
          </w:p>
        </w:tc>
        <w:tc>
          <w:tcPr>
            <w:tcW w:w="312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0" w:type="dxa"/>
            <w:vAlign w:val="bottom"/>
            <w:gridSpan w:val="5"/>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200" w:type="dxa"/>
            <w:vAlign w:val="bottom"/>
          </w:tcPr>
          <w:p>
            <w:pPr>
              <w:spacing w:after="0"/>
              <w:rPr>
                <w:sz w:val="18"/>
                <w:szCs w:val="18"/>
                <w:color w:val="auto"/>
              </w:rPr>
            </w:pPr>
          </w:p>
        </w:tc>
        <w:tc>
          <w:tcPr>
            <w:tcW w:w="2700" w:type="dxa"/>
            <w:vAlign w:val="bottom"/>
            <w:gridSpan w:val="4"/>
          </w:tcPr>
          <w:p>
            <w:pPr>
              <w:jc w:val="right"/>
              <w:ind w:right="87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157"/>
        </w:trPr>
        <w:tc>
          <w:tcPr>
            <w:tcW w:w="20" w:type="dxa"/>
            <w:vAlign w:val="bottom"/>
          </w:tcPr>
          <w:p>
            <w:pPr>
              <w:spacing w:after="0"/>
              <w:rPr>
                <w:sz w:val="13"/>
                <w:szCs w:val="13"/>
                <w:color w:val="auto"/>
              </w:rPr>
            </w:pPr>
          </w:p>
        </w:tc>
        <w:tc>
          <w:tcPr>
            <w:tcW w:w="532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 except share data and per share data)</w:t>
            </w: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51"/>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right"/>
              <w:ind w:right="450"/>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r>
      <w:tr>
        <w:trPr>
          <w:trHeight w:val="34"/>
        </w:trPr>
        <w:tc>
          <w:tcPr>
            <w:tcW w:w="20" w:type="dxa"/>
            <w:vAlign w:val="bottom"/>
            <w:tcBorders>
              <w:bottom w:val="single" w:sz="8" w:color="CCEEFF"/>
            </w:tcBorders>
          </w:tcPr>
          <w:p>
            <w:pPr>
              <w:spacing w:after="0"/>
              <w:rPr>
                <w:sz w:val="2"/>
                <w:szCs w:val="2"/>
                <w:color w:val="auto"/>
              </w:rPr>
            </w:pPr>
          </w:p>
        </w:tc>
        <w:tc>
          <w:tcPr>
            <w:tcW w:w="3120" w:type="dxa"/>
            <w:vAlign w:val="bottom"/>
            <w:tcBorders>
              <w:top w:val="single" w:sz="8" w:color="auto"/>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23"/>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income attributable to common stockholders</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762,040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732,898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2,170,726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2,064,216</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depreciation</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FFO attributable to common stockholders</w:t>
            </w: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762,040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732,898</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2,170,726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2,064,216</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leasing and financing adjustments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(131,171)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(135,890)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(393,240)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(402,839)</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change in allowance for credit losses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(20,153)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(31,626)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32,292</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Non-cash stock-based compensation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12,973</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Transaction and acquisition expenses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1,728</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debt issuance costs and original issue discount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17,395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18,747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52,900</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depreciation</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2,564</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(1,943)</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line="230" w:lineRule="exact"/>
              <w:rPr>
                <w:sz w:val="20"/>
                <w:szCs w:val="20"/>
                <w:color w:val="auto"/>
              </w:rPr>
            </w:pPr>
            <w:r>
              <w:rPr>
                <w:rFonts w:ascii="Times New Roman" w:cs="Times New Roman" w:eastAsia="Times New Roman" w:hAnsi="Times New Roman"/>
                <w:sz w:val="18"/>
                <w:szCs w:val="18"/>
                <w:color w:val="auto"/>
              </w:rPr>
              <w:t xml:space="preserve">Other losses (gains) </w:t>
            </w:r>
            <w:r>
              <w:rPr>
                <w:rFonts w:ascii="Times New Roman" w:cs="Times New Roman" w:eastAsia="Times New Roman" w:hAnsi="Times New Roman"/>
                <w:sz w:val="23"/>
                <w:szCs w:val="23"/>
                <w:i w:val="1"/>
                <w:iCs w:val="1"/>
                <w:color w:val="auto"/>
                <w:vertAlign w:val="superscript"/>
              </w:rPr>
              <w:t>(1)</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income tax provision</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2,848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4,233</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adjustments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1,950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4,100</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AFFO attributable to common stockholders</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637,569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593,858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1,883,729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1,769,454</w:t>
            </w:r>
          </w:p>
        </w:tc>
      </w:tr>
      <w:tr>
        <w:trPr>
          <w:trHeight w:val="229"/>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185,773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568,601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553,060</w:t>
            </w: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income tax expense</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3,024</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Adjustments attributable to non-controlling interests</w:t>
            </w: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(6,518)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r>
      <w:tr>
        <w:trPr>
          <w:trHeight w:val="223"/>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Adjusted EBITDA attributable to common stockholders</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825,582</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777,995</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2,449,957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2,319,118</w:t>
            </w: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2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37"/>
        </w:trPr>
        <w:tc>
          <w:tcPr>
            <w:tcW w:w="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22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per common share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FFO per common share</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532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w:t>
            </w:r>
          </w:p>
        </w:tc>
      </w:tr>
      <w:tr>
        <w:trPr>
          <w:trHeight w:val="230"/>
        </w:trPr>
        <w:tc>
          <w:tcPr>
            <w:tcW w:w="20" w:type="dxa"/>
            <w:vAlign w:val="bottom"/>
          </w:tcPr>
          <w:p>
            <w:pPr>
              <w:spacing w:after="0"/>
              <w:rPr>
                <w:sz w:val="19"/>
                <w:szCs w:val="19"/>
                <w:color w:val="auto"/>
              </w:rPr>
            </w:pPr>
          </w:p>
        </w:tc>
        <w:tc>
          <w:tcPr>
            <w:tcW w:w="53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AFFO per common share</w:t>
            </w: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w:t>
            </w:r>
          </w:p>
        </w:tc>
      </w:tr>
      <w:tr>
        <w:trPr>
          <w:trHeight w:val="229"/>
        </w:trPr>
        <w:tc>
          <w:tcPr>
            <w:tcW w:w="20" w:type="dxa"/>
            <w:vAlign w:val="bottom"/>
          </w:tcPr>
          <w:p>
            <w:pPr>
              <w:spacing w:after="0"/>
              <w:rPr>
                <w:sz w:val="19"/>
                <w:szCs w:val="19"/>
                <w:color w:val="auto"/>
              </w:rPr>
            </w:pPr>
          </w:p>
        </w:tc>
        <w:tc>
          <w:tcPr>
            <w:tcW w:w="5320" w:type="dxa"/>
            <w:vAlign w:val="bottom"/>
            <w:gridSpan w:val="2"/>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0.57</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Weighted average number of shares of common stock outstanding</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1,067,253,644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1,046,626,838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1,059,870,808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1,043,921,660</w:t>
            </w:r>
          </w:p>
        </w:tc>
      </w:tr>
      <w:tr>
        <w:trPr>
          <w:trHeight w:val="230"/>
        </w:trPr>
        <w:tc>
          <w:tcPr>
            <w:tcW w:w="20" w:type="dxa"/>
            <w:vAlign w:val="bottom"/>
            <w:shd w:val="clear" w:color="auto" w:fill="CCEEFF"/>
          </w:tcPr>
          <w:p>
            <w:pPr>
              <w:spacing w:after="0"/>
              <w:rPr>
                <w:sz w:val="19"/>
                <w:szCs w:val="19"/>
                <w:color w:val="auto"/>
              </w:rPr>
            </w:pPr>
          </w:p>
        </w:tc>
        <w:tc>
          <w:tcPr>
            <w:tcW w:w="532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1,068,369,218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1,048,338,348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1,060,732,039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1,044,897,468</w:t>
            </w: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____________________</w:t>
      </w:r>
    </w:p>
    <w:p>
      <w:pPr>
        <w:spacing w:after="0" w:line="17" w:lineRule="exact"/>
        <w:rPr>
          <w:sz w:val="20"/>
          <w:szCs w:val="20"/>
          <w:color w:val="auto"/>
        </w:rPr>
      </w:pPr>
    </w:p>
    <w:p>
      <w:pPr>
        <w:ind w:left="320" w:hanging="312"/>
        <w:spacing w:after="0"/>
        <w:tabs>
          <w:tab w:leader="none" w:pos="320" w:val="left"/>
        </w:tabs>
        <w:numPr>
          <w:ilvl w:val="0"/>
          <w:numId w:val="33"/>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Represents non-cash foreign currency remeasurement adjustment and gain on sale of certain land parcels.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LIQUIDITY AND CAPITAL RESOURCES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September 30, 2025, our available cash and cash-equivalents balance, short-term investments, capacity under our Revolving Credit Facility and proceeds available from outstanding forward sale agreements were as follows: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480" w:type="dxa"/>
            <w:vAlign w:val="bottom"/>
          </w:tcPr>
          <w:p>
            <w:pPr>
              <w:spacing w:after="0"/>
              <w:rPr>
                <w:sz w:val="16"/>
                <w:szCs w:val="16"/>
                <w:color w:val="auto"/>
              </w:rPr>
            </w:pPr>
          </w:p>
        </w:tc>
        <w:tc>
          <w:tcPr>
            <w:tcW w:w="2540" w:type="dxa"/>
            <w:vAlign w:val="bottom"/>
          </w:tcPr>
          <w:p>
            <w:pPr>
              <w:jc w:val="right"/>
              <w:ind w:right="732"/>
              <w:spacing w:after="0"/>
              <w:rPr>
                <w:sz w:val="20"/>
                <w:szCs w:val="20"/>
                <w:color w:val="auto"/>
              </w:rPr>
            </w:pPr>
            <w:r>
              <w:rPr>
                <w:rFonts w:ascii="Times New Roman" w:cs="Times New Roman" w:eastAsia="Times New Roman" w:hAnsi="Times New Roman"/>
                <w:sz w:val="16"/>
                <w:szCs w:val="16"/>
                <w:b w:val="1"/>
                <w:bCs w:val="1"/>
                <w:color w:val="auto"/>
              </w:rPr>
              <w:t>September 30, 2025</w:t>
            </w:r>
          </w:p>
        </w:tc>
      </w:tr>
      <w:tr>
        <w:trPr>
          <w:trHeight w:val="21"/>
        </w:trPr>
        <w:tc>
          <w:tcPr>
            <w:tcW w:w="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CCEEFF"/>
            </w:tcBorders>
          </w:tcPr>
          <w:p>
            <w:pPr>
              <w:spacing w:after="0" w:line="20" w:lineRule="exact"/>
              <w:rPr>
                <w:sz w:val="1"/>
                <w:szCs w:val="1"/>
                <w:color w:val="auto"/>
              </w:rPr>
            </w:pPr>
          </w:p>
        </w:tc>
        <w:tc>
          <w:tcPr>
            <w:tcW w:w="72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507,503</w:t>
            </w:r>
          </w:p>
        </w:tc>
      </w:tr>
      <w:tr>
        <w:trPr>
          <w:trHeight w:val="230"/>
        </w:trPr>
        <w:tc>
          <w:tcPr>
            <w:tcW w:w="20" w:type="dxa"/>
            <w:vAlign w:val="bottom"/>
          </w:tcPr>
          <w:p>
            <w:pPr>
              <w:spacing w:after="0"/>
              <w:rPr>
                <w:sz w:val="19"/>
                <w:szCs w:val="19"/>
                <w:color w:val="auto"/>
              </w:rPr>
            </w:pPr>
          </w:p>
        </w:tc>
        <w:tc>
          <w:tcPr>
            <w:tcW w:w="8200" w:type="dxa"/>
            <w:vAlign w:val="bottom"/>
            <w:gridSpan w:val="2"/>
          </w:tcPr>
          <w:p>
            <w:pPr>
              <w:spacing w:after="0" w:line="230" w:lineRule="exact"/>
              <w:rPr>
                <w:sz w:val="20"/>
                <w:szCs w:val="20"/>
                <w:color w:val="auto"/>
              </w:rPr>
            </w:pPr>
            <w:r>
              <w:rPr>
                <w:rFonts w:ascii="Times New Roman" w:cs="Times New Roman" w:eastAsia="Times New Roman" w:hAnsi="Times New Roman"/>
                <w:sz w:val="18"/>
                <w:szCs w:val="18"/>
                <w:color w:val="auto"/>
              </w:rPr>
              <w:t xml:space="preserve">Capacity under Revolving Credit Facility </w:t>
            </w:r>
            <w:r>
              <w:rPr>
                <w:rFonts w:ascii="Times New Roman" w:cs="Times New Roman" w:eastAsia="Times New Roman" w:hAnsi="Times New Roman"/>
                <w:sz w:val="23"/>
                <w:szCs w:val="23"/>
                <w:i w:val="1"/>
                <w:iCs w:val="1"/>
                <w:color w:val="auto"/>
                <w:vertAlign w:val="superscript"/>
              </w:rPr>
              <w:t>(1)</w:t>
            </w:r>
          </w:p>
        </w:tc>
        <w:tc>
          <w:tcPr>
            <w:tcW w:w="480" w:type="dxa"/>
            <w:vAlign w:val="bottom"/>
          </w:tcPr>
          <w:p>
            <w:pPr>
              <w:spacing w:after="0"/>
              <w:rPr>
                <w:sz w:val="19"/>
                <w:szCs w:val="19"/>
                <w:color w:val="auto"/>
              </w:rPr>
            </w:pPr>
          </w:p>
        </w:tc>
        <w:tc>
          <w:tcPr>
            <w:tcW w:w="2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2,352,094</w:t>
            </w:r>
          </w:p>
        </w:tc>
      </w:tr>
      <w:tr>
        <w:trPr>
          <w:trHeight w:val="256"/>
        </w:trPr>
        <w:tc>
          <w:tcPr>
            <w:tcW w:w="20" w:type="dxa"/>
            <w:vAlign w:val="bottom"/>
            <w:shd w:val="clear" w:color="auto" w:fill="CCEEFF"/>
          </w:tcPr>
          <w:p>
            <w:pPr>
              <w:spacing w:after="0"/>
              <w:rPr>
                <w:sz w:val="22"/>
                <w:szCs w:val="22"/>
                <w:color w:val="auto"/>
              </w:rPr>
            </w:pPr>
          </w:p>
        </w:tc>
        <w:tc>
          <w:tcPr>
            <w:tcW w:w="82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Net proceeds available from settlement of Forward Sale Agreements </w:t>
            </w:r>
            <w:r>
              <w:rPr>
                <w:rFonts w:ascii="Times New Roman" w:cs="Times New Roman" w:eastAsia="Times New Roman" w:hAnsi="Times New Roman"/>
                <w:sz w:val="23"/>
                <w:szCs w:val="23"/>
                <w:i w:val="1"/>
                <w:iCs w:val="1"/>
                <w:color w:val="auto"/>
                <w:vertAlign w:val="superscript"/>
              </w:rPr>
              <w:t>(2)</w:t>
            </w:r>
          </w:p>
        </w:tc>
        <w:tc>
          <w:tcPr>
            <w:tcW w:w="480" w:type="dxa"/>
            <w:vAlign w:val="bottom"/>
            <w:tcBorders>
              <w:bottom w:val="single" w:sz="8" w:color="auto"/>
            </w:tcBorders>
            <w:shd w:val="clear" w:color="auto" w:fill="CCEEFF"/>
          </w:tcPr>
          <w:p>
            <w:pPr>
              <w:spacing w:after="0"/>
              <w:rPr>
                <w:sz w:val="22"/>
                <w:szCs w:val="22"/>
                <w:color w:val="auto"/>
              </w:rPr>
            </w:pPr>
          </w:p>
        </w:tc>
        <w:tc>
          <w:tcPr>
            <w:tcW w:w="2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244,886</w:t>
            </w:r>
          </w:p>
        </w:tc>
      </w:tr>
      <w:tr>
        <w:trPr>
          <w:trHeight w:val="223"/>
        </w:trPr>
        <w:tc>
          <w:tcPr>
            <w:tcW w:w="20" w:type="dxa"/>
            <w:vAlign w:val="bottom"/>
          </w:tcPr>
          <w:p>
            <w:pPr>
              <w:spacing w:after="0"/>
              <w:rPr>
                <w:sz w:val="19"/>
                <w:szCs w:val="19"/>
                <w:color w:val="auto"/>
              </w:rPr>
            </w:pPr>
          </w:p>
        </w:tc>
        <w:tc>
          <w:tcPr>
            <w:tcW w:w="8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2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3,104,483</w:t>
            </w:r>
          </w:p>
        </w:tc>
      </w:tr>
      <w:tr>
        <w:trPr>
          <w:trHeight w:val="21"/>
        </w:trPr>
        <w:tc>
          <w:tcPr>
            <w:tcW w:w="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2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w:t>
      </w:r>
    </w:p>
    <w:p>
      <w:pPr>
        <w:spacing w:after="0" w:line="52" w:lineRule="exact"/>
        <w:rPr>
          <w:sz w:val="20"/>
          <w:szCs w:val="20"/>
          <w:color w:val="auto"/>
        </w:rPr>
      </w:pPr>
    </w:p>
    <w:p>
      <w:pPr>
        <w:ind w:left="340" w:right="20" w:hanging="332"/>
        <w:spacing w:after="0" w:line="264" w:lineRule="auto"/>
        <w:tabs>
          <w:tab w:leader="none" w:pos="332" w:val="left"/>
        </w:tabs>
        <w:numPr>
          <w:ilvl w:val="0"/>
          <w:numId w:val="34"/>
        </w:numPr>
        <w:rPr>
          <w:rFonts w:ascii="Times New Roman" w:cs="Times New Roman" w:eastAsia="Times New Roman" w:hAnsi="Times New Roman"/>
          <w:sz w:val="14"/>
          <w:szCs w:val="14"/>
          <w:i w:val="1"/>
          <w:iCs w:val="1"/>
          <w:color w:val="231F20"/>
        </w:rPr>
      </w:pPr>
      <w:r>
        <w:rPr>
          <w:rFonts w:ascii="Times New Roman" w:cs="Times New Roman" w:eastAsia="Times New Roman" w:hAnsi="Times New Roman"/>
          <w:sz w:val="14"/>
          <w:szCs w:val="14"/>
          <w:i w:val="1"/>
          <w:iCs w:val="1"/>
          <w:color w:val="auto"/>
        </w:rPr>
        <w:t>In addition, the Credit Agreement includes the option (i) to increase the revolving loan commitments by up to $1.0 billion and (ii) to add one or more tranches of term loans of up to $2.0 billion in the aggregate, in each case, to the extent that any one or more lenders (from the syndicate or otherwise) agree to provide such additional credit extensions.</w:t>
      </w:r>
    </w:p>
    <w:p>
      <w:pPr>
        <w:spacing w:after="0" w:line="1" w:lineRule="exact"/>
        <w:rPr>
          <w:rFonts w:ascii="Times New Roman" w:cs="Times New Roman" w:eastAsia="Times New Roman" w:hAnsi="Times New Roman"/>
          <w:sz w:val="14"/>
          <w:szCs w:val="14"/>
          <w:i w:val="1"/>
          <w:iCs w:val="1"/>
          <w:color w:val="231F20"/>
        </w:rPr>
      </w:pPr>
    </w:p>
    <w:p>
      <w:pPr>
        <w:ind w:left="340" w:hanging="332"/>
        <w:spacing w:after="0" w:line="278" w:lineRule="auto"/>
        <w:tabs>
          <w:tab w:leader="none" w:pos="332" w:val="left"/>
        </w:tabs>
        <w:numPr>
          <w:ilvl w:val="0"/>
          <w:numId w:val="34"/>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Assumes the physical settlement of the 7,750,000 shares remaining to be settled as of September 30, 2025 under our ATM forward sale agreements at a forward sales price of $31.60, calculated as of September 30, 2025.</w:t>
      </w:r>
    </w:p>
    <w:p>
      <w:pPr>
        <w:spacing w:after="0" w:line="12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believe that we have sufficient liquidity to meet our material cash requirements, including our contractual obligations, debt maturities and commitments as well as our additional funding requirements, primarily through currently available cash and cash equivalents, cash received under our lease agreements, existing borrowings from banks, including our undrawn capacity under our Revolving Credit Facility, net proceeds available under our outstanding forward sale agreements, and proceeds from any future issuances of debt and equity securities (including issuances under the ATM Program or any future “at-the-market” program) for the next 12 months and in future periods.</w:t>
      </w:r>
    </w:p>
    <w:p>
      <w:pPr>
        <w:spacing w:after="0" w:line="129" w:lineRule="exact"/>
        <w:rPr>
          <w:sz w:val="20"/>
          <w:szCs w:val="20"/>
          <w:color w:val="auto"/>
        </w:rPr>
      </w:pPr>
    </w:p>
    <w:p>
      <w:pPr>
        <w:jc w:val="both"/>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of our lease agreements call for an initial term of between fifteen and thirty-two years with additional tenant renewal options and, along with our loans, are designed to provide us with a reliable and predictable long-term revenue stream. Our cash flows from operations and our ability to access capital resources could be adversely affected due to uncertain economic factors and volatility in the financial and credit markets, including as a result of the current interest rate environment, inflationary pressures, equity market volatility, and changes in consumer behavior and spending. In particular, we can provide no assurances that our tenants will not default on their leases or fail to make full rental payments if their businesses become challenged due to, among other things, current or future adverse economic conditions. See “Overview — Impact of Material Trends on our Business” above for additional detail. In the event our tenants are unable to make all of their contractual rent payments as provided by our lease agreements, we believe we have sufficient liquidity from the other sources discussed above to meet all of our contractual obligations for a significant period of time. For more information, refer to the risk factors incorporated by reference into </w:t>
      </w:r>
      <w:r>
        <w:rPr>
          <w:rFonts w:ascii="Times New Roman" w:cs="Times New Roman" w:eastAsia="Times New Roman" w:hAnsi="Times New Roman"/>
          <w:sz w:val="18"/>
          <w:szCs w:val="18"/>
          <w:u w:val="single" w:color="auto"/>
          <w:color w:val="0000FF"/>
        </w:rPr>
        <w:t>Part II. Item 1A. Risk Factors</w:t>
      </w:r>
      <w:r>
        <w:rPr>
          <w:rFonts w:ascii="Times New Roman" w:cs="Times New Roman" w:eastAsia="Times New Roman" w:hAnsi="Times New Roman"/>
          <w:sz w:val="18"/>
          <w:szCs w:val="18"/>
          <w:color w:val="auto"/>
        </w:rPr>
        <w:t xml:space="preserve"> herein from our </w:t>
      </w:r>
      <w:hyperlink r:id="rId28">
        <w:r>
          <w:rPr>
            <w:rFonts w:ascii="Times New Roman" w:cs="Times New Roman" w:eastAsia="Times New Roman" w:hAnsi="Times New Roman"/>
            <w:sz w:val="18"/>
            <w:szCs w:val="18"/>
            <w:u w:val="single" w:color="auto"/>
            <w:color w:val="0000FF"/>
          </w:rPr>
          <w:t>Annual Report on Form 10-K for the year ended December 31, 2024</w:t>
        </w:r>
      </w:hyperlink>
      <w:r>
        <w:rPr>
          <w:rFonts w:ascii="Times New Roman" w:cs="Times New Roman" w:eastAsia="Times New Roman" w:hAnsi="Times New Roman"/>
          <w:sz w:val="18"/>
          <w:szCs w:val="18"/>
          <w:color w:val="auto"/>
        </w:rPr>
        <w:t>.</w:t>
      </w:r>
    </w:p>
    <w:p>
      <w:pPr>
        <w:spacing w:after="0" w:line="13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ability to raise funds through the issuance of debt and equity securities and access to other third-party sources of capital in the future will be dependent on, among other things, general economic conditions, general market conditions for REITs and investment grade issuers, market perceptions, the trading price of our stock, the trading value of our unsecured debt and uncertainties related to the macroeconomic environment. We will continue to analyze which sources of capital are most advantageous to us at any particular point in time and with respect to any specific funding requirements, but financing through the capital markets may not be consistently available on terms we deem attractive, or at all.</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Material Cash Requirements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 xml:space="preserve">Our short-term obligations consist primarily of regular interest payments on our debt obligations, dividends to our common stockholders, distributions to the VICI OP Unit holders, Lucky Strike OP Units holders and to the 20% third-party owners of Harrah’s Joliet LandCo LLC, normal recurring operating expenses, recurring expenditures for corporate and administrative needs, certain lease and other contractual commitments related to our golf operations and certain non-recurring expenditures. For more information on our material contractual commitments, refer to </w:t>
      </w:r>
      <w:r>
        <w:rPr>
          <w:rFonts w:ascii="Times New Roman" w:cs="Times New Roman" w:eastAsia="Times New Roman" w:hAnsi="Times New Roman"/>
          <w:sz w:val="18"/>
          <w:szCs w:val="18"/>
          <w:u w:val="single" w:color="auto"/>
          <w:color w:val="0000FF"/>
        </w:rPr>
        <w:t>Note 10 - Commitments and Contingent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Liabilities</w:t>
      </w:r>
      <w:r>
        <w:rPr>
          <w:rFonts w:ascii="Times New Roman" w:cs="Times New Roman" w:eastAsia="Times New Roman" w:hAnsi="Times New Roman"/>
          <w:sz w:val="18"/>
          <w:szCs w:val="18"/>
          <w:color w:val="000000"/>
        </w:rPr>
        <w:t>.</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long-term obligations consist primarily of principal payments on our outstanding debt obligations and future funding commitments under our lease and loan agreements. As of September 30, 2025, we had $17.1 billion of debt obligations outstanding, of which $500.0 million matures on September 1, 2026. For a summary of principal debt balances and their</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 xml:space="preserve">maturity dates and principal terms,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 xml:space="preserve">. For a summary of our future funding commitments under our loan portfolio, refer to </w:t>
      </w:r>
      <w:r>
        <w:rPr>
          <w:rFonts w:ascii="Times New Roman" w:cs="Times New Roman" w:eastAsia="Times New Roman" w:hAnsi="Times New Roman"/>
          <w:sz w:val="18"/>
          <w:szCs w:val="18"/>
          <w:u w:val="single" w:color="auto"/>
          <w:color w:val="0000FF"/>
        </w:rPr>
        <w:t>Note 4 -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Real Estate Portfolio</w:t>
      </w:r>
      <w:r>
        <w:rPr>
          <w:rFonts w:ascii="Times New Roman" w:cs="Times New Roman" w:eastAsia="Times New Roman" w:hAnsi="Times New Roman"/>
          <w:sz w:val="18"/>
          <w:szCs w:val="18"/>
          <w:color w:val="000000"/>
        </w:rPr>
        <w: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Pursuant to our lease agreements, capital expenditures, insurance and taxes for our properties are the responsibility of the tenants. Minimum capital expenditure spending requirements of the tenants pursuant to our gaming lease agreements are described in </w:t>
      </w:r>
      <w:r>
        <w:rPr>
          <w:rFonts w:ascii="Times New Roman" w:cs="Times New Roman" w:eastAsia="Times New Roman" w:hAnsi="Times New Roman"/>
          <w:sz w:val="18"/>
          <w:szCs w:val="18"/>
          <w:u w:val="single" w:color="auto"/>
          <w:color w:val="0000FF"/>
        </w:rPr>
        <w:t>Note 4 - Real Estate Portfolio</w:t>
      </w:r>
      <w:r>
        <w:rPr>
          <w:rFonts w:ascii="Times New Roman" w:cs="Times New Roman" w:eastAsia="Times New Roman" w:hAnsi="Times New Roman"/>
          <w:sz w:val="18"/>
          <w:szCs w:val="18"/>
          <w:color w:val="auto"/>
        </w:rPr>
        <w: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Information concerning our material contractual obligations and commitments to make future payments under contracts such as our indebtedness, future funding commitments under our loans and Partner Property Growth Fund strategy and future contractual operating commitments (such as future lease payments under our corporate lease) are included in the following table as of September 30, 2025. Amounts in this table omit, among other things, non-contractual commitments and items such as dividends and recurring or non-recurring operating expenses and other expenditures, including acquisitions and other investments: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6"/>
                <w:szCs w:val="16"/>
                <w:b w:val="1"/>
                <w:bCs w:val="1"/>
                <w:color w:val="auto"/>
              </w:rPr>
              <w:t>Payments Due By Period</w:t>
            </w:r>
          </w:p>
        </w:tc>
        <w:tc>
          <w:tcPr>
            <w:tcW w:w="2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32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 w:type="dxa"/>
            <w:vAlign w:val="bottom"/>
          </w:tcPr>
          <w:p>
            <w:pPr>
              <w:spacing w:after="0"/>
              <w:rPr>
                <w:sz w:val="13"/>
                <w:szCs w:val="13"/>
                <w:color w:val="auto"/>
              </w:rPr>
            </w:pPr>
          </w:p>
        </w:tc>
        <w:tc>
          <w:tcPr>
            <w:tcW w:w="110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36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2025 (remaining)</w:t>
            </w:r>
          </w:p>
        </w:tc>
        <w:tc>
          <w:tcPr>
            <w:tcW w:w="260" w:type="dxa"/>
            <w:vAlign w:val="bottom"/>
          </w:tcPr>
          <w:p>
            <w:pPr>
              <w:spacing w:after="0"/>
              <w:rPr>
                <w:sz w:val="13"/>
                <w:szCs w:val="13"/>
                <w:color w:val="auto"/>
              </w:rPr>
            </w:pPr>
          </w:p>
        </w:tc>
        <w:tc>
          <w:tcPr>
            <w:tcW w:w="980" w:type="dxa"/>
            <w:vAlign w:val="bottom"/>
            <w:vMerge w:val="restart"/>
          </w:tcPr>
          <w:p>
            <w:pPr>
              <w:jc w:val="right"/>
              <w:ind w:right="372"/>
              <w:spacing w:after="0"/>
              <w:rPr>
                <w:sz w:val="20"/>
                <w:szCs w:val="20"/>
                <w:color w:val="auto"/>
              </w:rPr>
            </w:pPr>
            <w:r>
              <w:rPr>
                <w:rFonts w:ascii="Times New Roman" w:cs="Times New Roman" w:eastAsia="Times New Roman" w:hAnsi="Times New Roman"/>
                <w:sz w:val="16"/>
                <w:szCs w:val="16"/>
                <w:b w:val="1"/>
                <w:bCs w:val="1"/>
                <w:color w:val="auto"/>
              </w:rPr>
              <w:t>2026</w:t>
            </w: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2027</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vMerge w:val="restart"/>
          </w:tcPr>
          <w:p>
            <w:pPr>
              <w:jc w:val="right"/>
              <w:ind w:right="371"/>
              <w:spacing w:after="0"/>
              <w:rPr>
                <w:sz w:val="20"/>
                <w:szCs w:val="20"/>
                <w:color w:val="auto"/>
              </w:rPr>
            </w:pPr>
            <w:r>
              <w:rPr>
                <w:rFonts w:ascii="Times New Roman" w:cs="Times New Roman" w:eastAsia="Times New Roman" w:hAnsi="Times New Roman"/>
                <w:sz w:val="16"/>
                <w:szCs w:val="16"/>
                <w:b w:val="1"/>
                <w:bCs w:val="1"/>
                <w:color w:val="auto"/>
              </w:rPr>
              <w:t>2028</w:t>
            </w: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80" w:type="dxa"/>
            <w:vAlign w:val="bottom"/>
          </w:tcPr>
          <w:p>
            <w:pPr>
              <w:jc w:val="right"/>
              <w:ind w:right="232"/>
              <w:spacing w:after="0" w:line="158" w:lineRule="exact"/>
              <w:rPr>
                <w:sz w:val="20"/>
                <w:szCs w:val="20"/>
                <w:color w:val="auto"/>
              </w:rPr>
            </w:pPr>
            <w:r>
              <w:rPr>
                <w:rFonts w:ascii="Times New Roman" w:cs="Times New Roman" w:eastAsia="Times New Roman" w:hAnsi="Times New Roman"/>
                <w:sz w:val="16"/>
                <w:szCs w:val="16"/>
                <w:b w:val="1"/>
                <w:bCs w:val="1"/>
                <w:color w:val="auto"/>
              </w:rPr>
              <w:t>2029 and</w:t>
            </w:r>
          </w:p>
        </w:tc>
        <w:tc>
          <w:tcPr>
            <w:tcW w:w="0" w:type="dxa"/>
            <w:vAlign w:val="bottom"/>
          </w:tcPr>
          <w:p>
            <w:pPr>
              <w:spacing w:after="0"/>
              <w:rPr>
                <w:sz w:val="1"/>
                <w:szCs w:val="1"/>
                <w:color w:val="auto"/>
              </w:rPr>
            </w:pPr>
          </w:p>
        </w:tc>
      </w:tr>
      <w:tr>
        <w:trPr>
          <w:trHeight w:val="214"/>
        </w:trPr>
        <w:tc>
          <w:tcPr>
            <w:tcW w:w="3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Thereafter</w:t>
            </w:r>
          </w:p>
        </w:tc>
        <w:tc>
          <w:tcPr>
            <w:tcW w:w="0" w:type="dxa"/>
            <w:vAlign w:val="bottom"/>
          </w:tcPr>
          <w:p>
            <w:pPr>
              <w:spacing w:after="0"/>
              <w:rPr>
                <w:sz w:val="1"/>
                <w:szCs w:val="1"/>
                <w:color w:val="auto"/>
              </w:rPr>
            </w:pPr>
          </w:p>
        </w:tc>
      </w:tr>
      <w:tr>
        <w:trPr>
          <w:trHeight w:val="211"/>
        </w:trPr>
        <w:tc>
          <w:tcPr>
            <w:tcW w:w="3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debt, principal</w:t>
            </w:r>
          </w:p>
        </w:tc>
        <w:tc>
          <w:tcPr>
            <w:tcW w:w="2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Senior Unsecured Notes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13,950,000</w:t>
            </w:r>
          </w:p>
        </w:tc>
        <w:tc>
          <w:tcPr>
            <w:tcW w:w="100" w:type="dxa"/>
            <w:vAlign w:val="bottom"/>
          </w:tcPr>
          <w:p>
            <w:pPr>
              <w:spacing w:after="0"/>
              <w:rPr>
                <w:sz w:val="19"/>
                <w:szCs w:val="19"/>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1,750,000</w:t>
            </w:r>
          </w:p>
        </w:tc>
        <w:tc>
          <w:tcPr>
            <w:tcW w:w="10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1,500,000</w:t>
            </w:r>
          </w:p>
        </w:tc>
        <w:tc>
          <w:tcPr>
            <w:tcW w:w="10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8,700,000</w:t>
            </w:r>
          </w:p>
        </w:tc>
        <w:tc>
          <w:tcPr>
            <w:tcW w:w="0" w:type="dxa"/>
            <w:vAlign w:val="bottom"/>
          </w:tcPr>
          <w:p>
            <w:pPr>
              <w:spacing w:after="0"/>
              <w:rPr>
                <w:sz w:val="1"/>
                <w:szCs w:val="1"/>
                <w:color w:val="auto"/>
              </w:rPr>
            </w:pPr>
          </w:p>
        </w:tc>
      </w:tr>
      <w:tr>
        <w:trPr>
          <w:trHeight w:val="229"/>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MGM Grand/Mandalay Bay CMBS Debt</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3,000,000</w:t>
            </w:r>
          </w:p>
        </w:tc>
        <w:tc>
          <w:tcPr>
            <w:tcW w:w="0" w:type="dxa"/>
            <w:vAlign w:val="bottom"/>
          </w:tcPr>
          <w:p>
            <w:pPr>
              <w:spacing w:after="0"/>
              <w:rPr>
                <w:sz w:val="1"/>
                <w:szCs w:val="1"/>
                <w:color w:val="auto"/>
              </w:rPr>
            </w:pPr>
          </w:p>
        </w:tc>
      </w:tr>
      <w:tr>
        <w:trPr>
          <w:trHeight w:val="229"/>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147,906</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147,906</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Scheduled interest payments </w:t>
            </w:r>
            <w:r>
              <w:rPr>
                <w:rFonts w:ascii="Times New Roman" w:cs="Times New Roman" w:eastAsia="Times New Roman" w:hAnsi="Times New Roman"/>
                <w:sz w:val="23"/>
                <w:szCs w:val="23"/>
                <w:i w:val="1"/>
                <w:iCs w:val="1"/>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5,503,498</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189,094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796,056</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684,806</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602,496</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3,231,046</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debt contractual obligations</w:t>
            </w: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22,601,404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189,094</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2,546,056</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2,184,806</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2,602,496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15,078,952</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3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Leases and contracts </w:t>
            </w:r>
            <w:r>
              <w:rPr>
                <w:rFonts w:ascii="Times New Roman" w:cs="Times New Roman" w:eastAsia="Times New Roman" w:hAnsi="Times New Roman"/>
                <w:sz w:val="23"/>
                <w:szCs w:val="23"/>
                <w:i w:val="1"/>
                <w:iCs w:val="1"/>
                <w:color w:val="auto"/>
                <w:vertAlign w:val="superscript"/>
              </w:rPr>
              <w:t>(2)</w:t>
            </w:r>
          </w:p>
        </w:tc>
        <w:tc>
          <w:tcPr>
            <w:tcW w:w="2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3240" w:type="dxa"/>
            <w:vAlign w:val="bottom"/>
            <w:shd w:val="clear" w:color="auto" w:fill="CCEEFF"/>
          </w:tcPr>
          <w:p>
            <w:pPr>
              <w:ind w:left="100"/>
              <w:spacing w:after="0" w:line="176" w:lineRule="exact"/>
              <w:rPr>
                <w:sz w:val="20"/>
                <w:szCs w:val="20"/>
                <w:color w:val="auto"/>
              </w:rPr>
            </w:pPr>
            <w:r>
              <w:rPr>
                <w:rFonts w:ascii="Times New Roman" w:cs="Times New Roman" w:eastAsia="Times New Roman" w:hAnsi="Times New Roman"/>
                <w:sz w:val="18"/>
                <w:szCs w:val="18"/>
                <w:color w:val="auto"/>
              </w:rPr>
              <w:t>Future funding commitments – loan</w:t>
            </w: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shd w:val="clear" w:color="auto" w:fill="CCEEFF"/>
          </w:tcPr>
          <w:p>
            <w:pPr>
              <w:ind w:left="100"/>
              <w:spacing w:after="0" w:line="243" w:lineRule="exact"/>
              <w:rPr>
                <w:sz w:val="20"/>
                <w:szCs w:val="20"/>
                <w:color w:val="auto"/>
              </w:rPr>
            </w:pPr>
            <w:r>
              <w:rPr>
                <w:rFonts w:ascii="Times New Roman" w:cs="Times New Roman" w:eastAsia="Times New Roman" w:hAnsi="Times New Roman"/>
                <w:sz w:val="18"/>
                <w:szCs w:val="18"/>
                <w:color w:val="auto"/>
              </w:rPr>
              <w:t xml:space="preserve">investments </w:t>
            </w:r>
            <w:r>
              <w:rPr>
                <w:rFonts w:ascii="Times New Roman" w:cs="Times New Roman" w:eastAsia="Times New Roman" w:hAnsi="Times New Roman"/>
                <w:sz w:val="23"/>
                <w:szCs w:val="23"/>
                <w:i w:val="1"/>
                <w:iCs w:val="1"/>
                <w:color w:val="auto"/>
                <w:vertAlign w:val="superscript"/>
              </w:rPr>
              <w:t>(3)</w:t>
            </w:r>
          </w:p>
        </w:tc>
        <w:tc>
          <w:tcPr>
            <w:tcW w:w="24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730,553</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86,845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610,938</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22,191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3,526</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7,053</w:t>
            </w:r>
          </w:p>
        </w:tc>
        <w:tc>
          <w:tcPr>
            <w:tcW w:w="0" w:type="dxa"/>
            <w:vAlign w:val="bottom"/>
          </w:tcPr>
          <w:p>
            <w:pPr>
              <w:spacing w:after="0"/>
              <w:rPr>
                <w:sz w:val="1"/>
                <w:szCs w:val="1"/>
                <w:color w:val="auto"/>
              </w:rPr>
            </w:pPr>
          </w:p>
        </w:tc>
      </w:tr>
      <w:tr>
        <w:trPr>
          <w:trHeight w:val="175"/>
        </w:trPr>
        <w:tc>
          <w:tcPr>
            <w:tcW w:w="3240" w:type="dxa"/>
            <w:vAlign w:val="bottom"/>
          </w:tcPr>
          <w:p>
            <w:pPr>
              <w:ind w:left="100"/>
              <w:spacing w:after="0" w:line="176" w:lineRule="exact"/>
              <w:rPr>
                <w:sz w:val="20"/>
                <w:szCs w:val="20"/>
                <w:color w:val="auto"/>
              </w:rPr>
            </w:pPr>
            <w:r>
              <w:rPr>
                <w:rFonts w:ascii="Times New Roman" w:cs="Times New Roman" w:eastAsia="Times New Roman" w:hAnsi="Times New Roman"/>
                <w:sz w:val="18"/>
                <w:szCs w:val="18"/>
                <w:color w:val="auto"/>
              </w:rPr>
              <w:t>Golf course operating lease and</w:t>
            </w: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24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contractual commitments</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38,396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31,132</w:t>
            </w:r>
          </w:p>
        </w:tc>
        <w:tc>
          <w:tcPr>
            <w:tcW w:w="0" w:type="dxa"/>
            <w:vAlign w:val="bottom"/>
          </w:tcPr>
          <w:p>
            <w:pPr>
              <w:spacing w:after="0"/>
              <w:rPr>
                <w:sz w:val="1"/>
                <w:szCs w:val="1"/>
                <w:color w:val="auto"/>
              </w:rPr>
            </w:pPr>
          </w:p>
        </w:tc>
      </w:tr>
      <w:tr>
        <w:trPr>
          <w:trHeight w:val="230"/>
        </w:trPr>
        <w:tc>
          <w:tcPr>
            <w:tcW w:w="324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Corporate office leases</w:t>
            </w:r>
          </w:p>
        </w:tc>
        <w:tc>
          <w:tcPr>
            <w:tcW w:w="2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15,356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11,001</w:t>
            </w:r>
          </w:p>
        </w:tc>
        <w:tc>
          <w:tcPr>
            <w:tcW w:w="0" w:type="dxa"/>
            <w:vAlign w:val="bottom"/>
          </w:tcPr>
          <w:p>
            <w:pPr>
              <w:spacing w:after="0"/>
              <w:rPr>
                <w:sz w:val="1"/>
                <w:szCs w:val="1"/>
                <w:color w:val="auto"/>
              </w:rPr>
            </w:pPr>
          </w:p>
        </w:tc>
      </w:tr>
      <w:tr>
        <w:trPr>
          <w:trHeight w:val="223"/>
        </w:trPr>
        <w:tc>
          <w:tcPr>
            <w:tcW w:w="3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leases and contractual obligations</w:t>
            </w: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784,305</w:t>
            </w:r>
          </w:p>
        </w:tc>
        <w:tc>
          <w:tcPr>
            <w:tcW w:w="100" w:type="dxa"/>
            <w:vAlign w:val="bottom"/>
            <w:tcBorders>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87,385</w:t>
            </w:r>
          </w:p>
        </w:tc>
        <w:tc>
          <w:tcPr>
            <w:tcW w:w="10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614,877</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25,303</w:t>
            </w: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7,554</w:t>
            </w:r>
          </w:p>
        </w:tc>
        <w:tc>
          <w:tcPr>
            <w:tcW w:w="10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49,186</w:t>
            </w:r>
          </w:p>
        </w:tc>
        <w:tc>
          <w:tcPr>
            <w:tcW w:w="0" w:type="dxa"/>
            <w:vAlign w:val="bottom"/>
          </w:tcPr>
          <w:p>
            <w:pPr>
              <w:spacing w:after="0"/>
              <w:rPr>
                <w:sz w:val="1"/>
                <w:szCs w:val="1"/>
                <w:color w:val="auto"/>
              </w:rPr>
            </w:pPr>
          </w:p>
        </w:tc>
      </w:tr>
      <w:tr>
        <w:trPr>
          <w:trHeight w:val="250"/>
        </w:trPr>
        <w:tc>
          <w:tcPr>
            <w:tcW w:w="324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3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contractual commitments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23,385,709</w:t>
            </w:r>
          </w:p>
        </w:tc>
        <w:tc>
          <w:tcPr>
            <w:tcW w:w="100" w:type="dxa"/>
            <w:vAlign w:val="bottom"/>
          </w:tcPr>
          <w:p>
            <w:pPr>
              <w:spacing w:after="0"/>
              <w:rPr>
                <w:sz w:val="19"/>
                <w:szCs w:val="19"/>
                <w:color w:val="auto"/>
              </w:rPr>
            </w:pPr>
          </w:p>
        </w:tc>
        <w:tc>
          <w:tcPr>
            <w:tcW w:w="3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276,479</w:t>
            </w:r>
          </w:p>
        </w:tc>
        <w:tc>
          <w:tcPr>
            <w:tcW w:w="10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3,160,933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2,210,109</w:t>
            </w:r>
          </w:p>
        </w:tc>
        <w:tc>
          <w:tcPr>
            <w:tcW w:w="10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2,610,050</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15,128,138</w:t>
            </w:r>
          </w:p>
        </w:tc>
        <w:tc>
          <w:tcPr>
            <w:tcW w:w="0" w:type="dxa"/>
            <w:vAlign w:val="bottom"/>
          </w:tcPr>
          <w:p>
            <w:pPr>
              <w:spacing w:after="0"/>
              <w:rPr>
                <w:sz w:val="1"/>
                <w:szCs w:val="1"/>
                <w:color w:val="auto"/>
              </w:rPr>
            </w:pPr>
          </w:p>
        </w:tc>
      </w:tr>
      <w:tr>
        <w:trPr>
          <w:trHeight w:val="20"/>
        </w:trPr>
        <w:tc>
          <w:tcPr>
            <w:tcW w:w="324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____________________</w:t>
            </w: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5"/>
        </w:trPr>
        <w:tc>
          <w:tcPr>
            <w:tcW w:w="324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20" w:hanging="212"/>
        <w:spacing w:after="0"/>
        <w:tabs>
          <w:tab w:leader="none" w:pos="2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Estimated interest payments on variable interest debt under our Revolving Credit Facility are based on the applicable SOFR, CORRA and SONIA rates as of September 30, 2025.</w:t>
      </w:r>
    </w:p>
    <w:p>
      <w:pPr>
        <w:spacing w:after="0" w:line="29" w:lineRule="exact"/>
        <w:rPr>
          <w:rFonts w:ascii="Times New Roman" w:cs="Times New Roman" w:eastAsia="Times New Roman" w:hAnsi="Times New Roman"/>
          <w:sz w:val="14"/>
          <w:szCs w:val="14"/>
          <w:i w:val="1"/>
          <w:iCs w:val="1"/>
          <w:color w:val="auto"/>
        </w:rPr>
      </w:pPr>
    </w:p>
    <w:p>
      <w:pPr>
        <w:ind w:left="220" w:hanging="212"/>
        <w:spacing w:after="0"/>
        <w:tabs>
          <w:tab w:leader="none" w:pos="220"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Excludes ground and use leases which are paid directly by our tenants to the primary lease holder.</w:t>
      </w:r>
    </w:p>
    <w:p>
      <w:pPr>
        <w:spacing w:after="0" w:line="14" w:lineRule="exact"/>
        <w:rPr>
          <w:rFonts w:ascii="Times New Roman" w:cs="Times New Roman" w:eastAsia="Times New Roman" w:hAnsi="Times New Roman"/>
          <w:sz w:val="14"/>
          <w:szCs w:val="14"/>
          <w:i w:val="1"/>
          <w:iCs w:val="1"/>
          <w:color w:val="auto"/>
        </w:rPr>
      </w:pPr>
    </w:p>
    <w:p>
      <w:pPr>
        <w:ind w:firstLine="8"/>
        <w:spacing w:after="0" w:line="283" w:lineRule="auto"/>
        <w:tabs>
          <w:tab w:leader="none" w:pos="207" w:val="left"/>
        </w:tabs>
        <w:numPr>
          <w:ilvl w:val="0"/>
          <w:numId w:val="35"/>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The allocation of our future funding commitments is based on construction draw schedules, commitment funding dates, expiration dates or other information, as applicable; however, we may be obligated to fund these commitments earlier than such applicable date.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Additional Funding Requirements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to the contractual obligations and commitments set forth in the table above, we have and may enter into additional agreements that commit us to potentially acquire properties in the future, fund future property improvements or otherwise provide capital to our tenants, borrowers and other counterparties, including through our Partner Property Growth Fund strategy. As of September 30, 2025, we had $300.0 million of additional potential future funding commitments in connection with the Venetian Capital Investment entered into on May 1, 2024, pursuant to which the tenant has the option, but not the obligation, to draw our future funds, prior to November 1, 2026. The utilization of funding commitments under the Partner Property Growth Fund strategy, as well as the total funding ultimately provided under such arrangements, is at the discretion of the respective tenant and will be dependent upon independent decisions made by such tenant with respect to any capital improvement projects and the source of funds for such projects.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Cash Flow Analysis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summarizes our cash flows for the nine months ended September 30, 2025 and 2024:</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380" w:type="dxa"/>
            <w:vAlign w:val="bottom"/>
            <w:gridSpan w:val="5"/>
          </w:tcPr>
          <w:p>
            <w:pPr>
              <w:ind w:lef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320" w:type="dxa"/>
            <w:vAlign w:val="bottom"/>
          </w:tcPr>
          <w:p>
            <w:pPr>
              <w:spacing w:after="0"/>
              <w:rPr>
                <w:sz w:val="18"/>
                <w:szCs w:val="18"/>
                <w:color w:val="auto"/>
              </w:rPr>
            </w:pPr>
          </w:p>
        </w:tc>
        <w:tc>
          <w:tcPr>
            <w:tcW w:w="1400" w:type="dxa"/>
            <w:vAlign w:val="bottom"/>
          </w:tcPr>
          <w:p>
            <w:pPr>
              <w:spacing w:after="0"/>
              <w:rPr>
                <w:sz w:val="18"/>
                <w:szCs w:val="18"/>
                <w:color w:val="auto"/>
              </w:rPr>
            </w:pPr>
          </w:p>
        </w:tc>
      </w:tr>
      <w:tr>
        <w:trPr>
          <w:trHeight w:val="162"/>
        </w:trPr>
        <w:tc>
          <w:tcPr>
            <w:tcW w:w="20" w:type="dxa"/>
            <w:vAlign w:val="bottom"/>
          </w:tcPr>
          <w:p>
            <w:pPr>
              <w:spacing w:after="0"/>
              <w:rPr>
                <w:sz w:val="14"/>
                <w:szCs w:val="14"/>
                <w:color w:val="auto"/>
              </w:rPr>
            </w:pPr>
          </w:p>
        </w:tc>
        <w:tc>
          <w:tcPr>
            <w:tcW w:w="5760" w:type="dxa"/>
            <w:vAlign w:val="bottom"/>
            <w:gridSpan w:val="2"/>
          </w:tcPr>
          <w:p>
            <w:pPr>
              <w:spacing w:after="0" w:line="142" w:lineRule="exact"/>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36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ind w:right="632"/>
              <w:spacing w:after="0" w:line="142" w:lineRule="exact"/>
              <w:rPr>
                <w:sz w:val="20"/>
                <w:szCs w:val="20"/>
                <w:color w:val="auto"/>
              </w:rPr>
            </w:pPr>
            <w:r>
              <w:rPr>
                <w:rFonts w:ascii="Times New Roman" w:cs="Times New Roman" w:eastAsia="Times New Roman" w:hAnsi="Times New Roman"/>
                <w:sz w:val="16"/>
                <w:szCs w:val="16"/>
                <w:b w:val="1"/>
                <w:bCs w:val="1"/>
                <w:color w:val="auto"/>
              </w:rPr>
              <w:t>2025</w:t>
            </w:r>
          </w:p>
        </w:tc>
        <w:tc>
          <w:tcPr>
            <w:tcW w:w="100" w:type="dxa"/>
            <w:vAlign w:val="bottom"/>
            <w:tcBorders>
              <w:top w:val="single" w:sz="8" w:color="auto"/>
            </w:tcBorders>
          </w:tcPr>
          <w:p>
            <w:pPr>
              <w:spacing w:after="0"/>
              <w:rPr>
                <w:sz w:val="14"/>
                <w:szCs w:val="14"/>
                <w:color w:val="auto"/>
              </w:rPr>
            </w:pPr>
          </w:p>
        </w:tc>
        <w:tc>
          <w:tcPr>
            <w:tcW w:w="420" w:type="dxa"/>
            <w:vAlign w:val="bottom"/>
            <w:tcBorders>
              <w:top w:val="single" w:sz="8" w:color="auto"/>
            </w:tcBorders>
          </w:tcPr>
          <w:p>
            <w:pPr>
              <w:spacing w:after="0"/>
              <w:rPr>
                <w:sz w:val="14"/>
                <w:szCs w:val="14"/>
                <w:color w:val="auto"/>
              </w:rPr>
            </w:pPr>
          </w:p>
        </w:tc>
        <w:tc>
          <w:tcPr>
            <w:tcW w:w="1340" w:type="dxa"/>
            <w:vAlign w:val="bottom"/>
            <w:tcBorders>
              <w:top w:val="single" w:sz="8" w:color="auto"/>
            </w:tcBorders>
          </w:tcPr>
          <w:p>
            <w:pPr>
              <w:jc w:val="right"/>
              <w:ind w:right="631"/>
              <w:spacing w:after="0" w:line="142" w:lineRule="exact"/>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0" w:type="dxa"/>
            <w:vAlign w:val="bottom"/>
          </w:tcPr>
          <w:p>
            <w:pPr>
              <w:jc w:val="right"/>
              <w:ind w:right="471"/>
              <w:spacing w:after="0" w:line="142" w:lineRule="exact"/>
              <w:rPr>
                <w:sz w:val="20"/>
                <w:szCs w:val="20"/>
                <w:color w:val="auto"/>
              </w:rPr>
            </w:pPr>
            <w:r>
              <w:rPr>
                <w:rFonts w:ascii="Times New Roman" w:cs="Times New Roman" w:eastAsia="Times New Roman" w:hAnsi="Times New Roman"/>
                <w:sz w:val="16"/>
                <w:szCs w:val="16"/>
                <w:b w:val="1"/>
                <w:bCs w:val="1"/>
                <w:color w:val="auto"/>
              </w:rPr>
              <w:t>Variance</w:t>
            </w:r>
          </w:p>
        </w:tc>
      </w:tr>
      <w:tr>
        <w:trPr>
          <w:trHeight w:val="34"/>
        </w:trPr>
        <w:tc>
          <w:tcPr>
            <w:tcW w:w="20" w:type="dxa"/>
            <w:vAlign w:val="bottom"/>
            <w:tcBorders>
              <w:bottom w:val="single" w:sz="8" w:color="CCEEFF"/>
            </w:tcBorders>
          </w:tcPr>
          <w:p>
            <w:pPr>
              <w:spacing w:after="0"/>
              <w:rPr>
                <w:sz w:val="2"/>
                <w:szCs w:val="2"/>
                <w:color w:val="auto"/>
              </w:rPr>
            </w:pPr>
          </w:p>
        </w:tc>
        <w:tc>
          <w:tcPr>
            <w:tcW w:w="880" w:type="dxa"/>
            <w:vAlign w:val="bottom"/>
            <w:tcBorders>
              <w:top w:val="single" w:sz="8" w:color="auto"/>
              <w:bottom w:val="single" w:sz="8" w:color="CCEEFF"/>
            </w:tcBorders>
          </w:tcPr>
          <w:p>
            <w:pPr>
              <w:spacing w:after="0"/>
              <w:rPr>
                <w:sz w:val="2"/>
                <w:szCs w:val="2"/>
                <w:color w:val="auto"/>
              </w:rPr>
            </w:pPr>
          </w:p>
        </w:tc>
        <w:tc>
          <w:tcPr>
            <w:tcW w:w="48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10"/>
        </w:trPr>
        <w:tc>
          <w:tcPr>
            <w:tcW w:w="20" w:type="dxa"/>
            <w:vAlign w:val="bottom"/>
            <w:shd w:val="clear" w:color="auto" w:fill="CCEEFF"/>
          </w:tcPr>
          <w:p>
            <w:pPr>
              <w:spacing w:after="0"/>
              <w:rPr>
                <w:sz w:val="18"/>
                <w:szCs w:val="18"/>
                <w:color w:val="auto"/>
              </w:rPr>
            </w:pPr>
          </w:p>
        </w:tc>
        <w:tc>
          <w:tcPr>
            <w:tcW w:w="57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w:t>
            </w:r>
          </w:p>
        </w:tc>
        <w:tc>
          <w:tcPr>
            <w:tcW w:w="36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r>
      <w:tr>
        <w:trPr>
          <w:trHeight w:val="229"/>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Provided by operating activities</w:t>
            </w:r>
          </w:p>
        </w:tc>
        <w:tc>
          <w:tcPr>
            <w:tcW w:w="3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1,818,047</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1,737,401</w:t>
            </w:r>
          </w:p>
        </w:tc>
        <w:tc>
          <w:tcPr>
            <w:tcW w:w="120" w:type="dxa"/>
            <w:vAlign w:val="bottom"/>
          </w:tcPr>
          <w:p>
            <w:pPr>
              <w:spacing w:after="0"/>
              <w:rPr>
                <w:sz w:val="19"/>
                <w:szCs w:val="19"/>
                <w:color w:val="auto"/>
              </w:rPr>
            </w:pP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80,646</w:t>
            </w: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Used in investing activities</w:t>
            </w:r>
          </w:p>
        </w:tc>
        <w:tc>
          <w:tcPr>
            <w:tcW w:w="3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(765,460)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(662,606)</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(102,854)</w:t>
            </w:r>
          </w:p>
        </w:tc>
      </w:tr>
      <w:tr>
        <w:trPr>
          <w:trHeight w:val="230"/>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Used in financing activities</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(1,070,208)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(1,242,227)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172,019</w:t>
            </w: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23"/>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(17,112)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(166,907)</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149,795</w:t>
            </w:r>
          </w:p>
        </w:tc>
      </w:tr>
      <w:tr>
        <w:trPr>
          <w:trHeight w:val="229"/>
        </w:trPr>
        <w:tc>
          <w:tcPr>
            <w:tcW w:w="20" w:type="dxa"/>
            <w:vAlign w:val="bottom"/>
            <w:shd w:val="clear" w:color="auto" w:fill="CCEEFF"/>
          </w:tcPr>
          <w:p>
            <w:pPr>
              <w:spacing w:after="0"/>
              <w:rPr>
                <w:sz w:val="19"/>
                <w:szCs w:val="19"/>
                <w:color w:val="auto"/>
              </w:rPr>
            </w:pPr>
          </w:p>
        </w:tc>
        <w:tc>
          <w:tcPr>
            <w:tcW w:w="57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524,615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522,574</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2,041</w:t>
            </w:r>
          </w:p>
        </w:tc>
      </w:tr>
      <w:tr>
        <w:trPr>
          <w:trHeight w:val="223"/>
        </w:trPr>
        <w:tc>
          <w:tcPr>
            <w:tcW w:w="20" w:type="dxa"/>
            <w:vAlign w:val="bottom"/>
          </w:tcPr>
          <w:p>
            <w:pPr>
              <w:spacing w:after="0"/>
              <w:rPr>
                <w:sz w:val="19"/>
                <w:szCs w:val="19"/>
                <w:color w:val="auto"/>
              </w:rPr>
            </w:pPr>
          </w:p>
        </w:tc>
        <w:tc>
          <w:tcPr>
            <w:tcW w:w="57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507,503</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355,667</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151,836</w:t>
            </w:r>
          </w:p>
        </w:tc>
      </w:tr>
      <w:tr>
        <w:trPr>
          <w:trHeight w:val="20"/>
        </w:trPr>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Net cash provided by operating activities increased $80.6 million for the nine months ended September 30, 2025 compared with the nine months ended September 30, 2024. The increase was primarily driven by the annual rent escalators on certain of our lease agreements and the incremental rent increases from the Venetian Capital Investment (which occurred in July 2024, October 2024 and January 2025), as well as the incremental interest income associated with additional loan fundings and originations.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Net cash used in investing activities increased $102.9 million for the nine months ended September 30, 2025 compared with the nine months ended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to fund investments in our loan and securities portfolio in the amount of $786.4 million; and</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partial repayment of the Cabot Saint Lucia and Homefield loans and the Hard Rock Ottawa Notes and deferred fees in the amount of $20.3 million.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primary sources and uses of cash from investing activities included:</w:t>
      </w:r>
    </w:p>
    <w:p>
      <w:pPr>
        <w:spacing w:after="0" w:line="117"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Disbursements to fund investments in our loan and securities portfolio in the amount of $473.7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fund the Venetian Capital Investment and Property Growth Fund investment at Caruthersville in the amount of $261.8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Proceeds from the repayment of the Great Wolf Lodge Maryland mezzanine loan in the amount of $79.5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and maturities of short-term investments of $29.6 million;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for property and equipment costs of $6.4 million.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17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decreased $172.0 million for the nine months ended September 30, 2025, compared with the nine months ended September 30, 2024.</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2025, the primary sources and uses of cash in financing activities included:</w:t>
      </w:r>
    </w:p>
    <w:p>
      <w:pPr>
        <w:spacing w:after="0" w:line="117"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issuance of the April 2025 Notes in the amount of $1,284.4 million;</w:t>
      </w:r>
    </w:p>
    <w:p>
      <w:pPr>
        <w:spacing w:after="0" w:line="11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outstanding (i) $799.4 million in aggregate principal amount of the 4.625% Exchange Notes due 2025, (ii) $500.0 million in aggregate principal amount of the 4.375% April 2022 Notes due 2025, and (iii) $0.6 million in aggregate principal amount of the 4.625% MGP OP Notes due 2025;</w:t>
      </w:r>
    </w:p>
    <w:p>
      <w:pPr>
        <w:sectPr>
          <w:pgSz w:w="11900" w:h="16838" w:orient="portrait"/>
          <w:cols w:equalWidth="0" w:num="1">
            <w:col w:w="11240"/>
          </w:cols>
          <w:pgMar w:left="320" w:top="364" w:right="339" w:bottom="1440" w:gutter="0" w:footer="0" w:header="0"/>
        </w:sect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$1,372.7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$375.4 million from the physical settlement of 12,101,372 forward shares under our ATM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Draws of $426.0 million and repayments of $432.7 million on our Revolving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$24.0 million to non-controlling interests;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debt issuance costs of $19.4 million;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of common stock for tax withholding in connection with the vesting of employee stock compensation of $7.2 million.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the nine months ended September 30, 2024, the primary sources and uses of cash from financing activities included:</w:t>
      </w:r>
    </w:p>
    <w:p>
      <w:pPr>
        <w:spacing w:after="0" w:line="117" w:lineRule="exact"/>
        <w:rPr>
          <w:sz w:val="20"/>
          <w:szCs w:val="20"/>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from the issuance of the March 2024 Notes in the amount of $1,028.5 million;</w:t>
      </w:r>
    </w:p>
    <w:p>
      <w:pPr>
        <w:spacing w:after="0" w:line="11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of the outstanding (i) $1,024.2 million in aggregate principal amount of the 5.625% Senior Notes due 2024 and (ii) $25.8 million in aggregate principal amount of the 5.625% MGP OP Notes due 2024;</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 payments of $1,300.3 million;</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proceeds of $115.1 million from the physical settlement of 4,000,000 forward shares under our ATM Program;</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Repayment of $85.9 million on our Revolving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 of $82.2 million on our Revolving Credit Facility;</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of $23.2 million to non-controlling interests;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of shares of common stock for tax withholding in connection with the vesting of employee stock compensation of $5.3 million; and</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debt issuance costs of $3.3 million.</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Debt</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a summary of our debt obligations as of September 30, 2025, refer to </w:t>
      </w:r>
      <w:r>
        <w:rPr>
          <w:rFonts w:ascii="Times New Roman" w:cs="Times New Roman" w:eastAsia="Times New Roman" w:hAnsi="Times New Roman"/>
          <w:sz w:val="18"/>
          <w:szCs w:val="18"/>
          <w:u w:val="single" w:color="auto"/>
          <w:color w:val="0000FF"/>
        </w:rPr>
        <w:t>Note 7 - Debt</w:t>
      </w:r>
      <w:r>
        <w:rPr>
          <w:rFonts w:ascii="Times New Roman" w:cs="Times New Roman" w:eastAsia="Times New Roman" w:hAnsi="Times New Roman"/>
          <w:sz w:val="18"/>
          <w:szCs w:val="18"/>
          <w:color w:val="auto"/>
        </w:rPr>
        <w: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debt obligations are subject to certain customary financial and protective covenants that restrict our ability to incur additional debt, sell certain assets and restrict certain payments, among other things. In addition, these covenants are subject to a number of important exceptions and qualifications, including, with respect to the restricted payments covenant, the ability to make unlimited restricted payments to maintain our REIT status. At September 30, 2025, we were in compliance with all debt-related covenants.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Distribution Policy</w:t>
      </w:r>
    </w:p>
    <w:p>
      <w:pPr>
        <w:spacing w:after="0" w:line="11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We intend to make regular quarterly distributions to holders of shares of our common stock. Dividends declared (on a per share basis) during the nine months ended September 30, 2025 and 2024 were as follows:</w:t>
      </w:r>
    </w:p>
    <w:p>
      <w:pPr>
        <w:spacing w:after="0" w:line="4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Nine Months Ended September 30, 2025</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0" w:type="dxa"/>
            <w:vAlign w:val="bottom"/>
            <w:tcBorders>
              <w:top w:val="single" w:sz="8" w:color="auto"/>
            </w:tcBorders>
          </w:tcPr>
          <w:p>
            <w:pPr>
              <w:spacing w:after="0"/>
              <w:rPr>
                <w:sz w:val="18"/>
                <w:szCs w:val="18"/>
                <w:color w:val="auto"/>
              </w:rPr>
            </w:pPr>
          </w:p>
        </w:tc>
        <w:tc>
          <w:tcPr>
            <w:tcW w:w="198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 w:type="dxa"/>
            <w:vAlign w:val="bottom"/>
            <w:tcBorders>
              <w:top w:val="single" w:sz="8" w:color="auto"/>
            </w:tcBorders>
          </w:tcPr>
          <w:p>
            <w:pPr>
              <w:spacing w:after="0"/>
              <w:rPr>
                <w:sz w:val="18"/>
                <w:szCs w:val="18"/>
                <w:color w:val="auto"/>
              </w:rPr>
            </w:pPr>
          </w:p>
        </w:tc>
        <w:tc>
          <w:tcPr>
            <w:tcW w:w="2000" w:type="dxa"/>
            <w:vAlign w:val="bottom"/>
            <w:tcBorders>
              <w:top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 w:type="dxa"/>
            <w:vAlign w:val="bottom"/>
            <w:tcBorders>
              <w:top w:val="single" w:sz="8" w:color="auto"/>
            </w:tcBorders>
          </w:tcPr>
          <w:p>
            <w:pPr>
              <w:spacing w:after="0"/>
              <w:rPr>
                <w:sz w:val="18"/>
                <w:szCs w:val="18"/>
                <w:color w:val="auto"/>
              </w:rPr>
            </w:pPr>
          </w:p>
        </w:tc>
        <w:tc>
          <w:tcPr>
            <w:tcW w:w="1480" w:type="dxa"/>
            <w:vAlign w:val="bottom"/>
            <w:tcBorders>
              <w:top w:val="single" w:sz="8" w:color="auto"/>
            </w:tcBorders>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jc w:val="right"/>
              <w:ind w:right="512"/>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0" w:type="dxa"/>
            <w:vAlign w:val="bottom"/>
          </w:tcPr>
          <w:p>
            <w:pPr>
              <w:spacing w:after="0"/>
              <w:rPr>
                <w:sz w:val="18"/>
                <w:szCs w:val="18"/>
                <w:color w:val="auto"/>
              </w:rPr>
            </w:pPr>
          </w:p>
        </w:tc>
      </w:tr>
      <w:tr>
        <w:trPr>
          <w:trHeight w:val="225"/>
        </w:trPr>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6, 2025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20, 2025</w:t>
            </w: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April 3, 2025</w:t>
            </w: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33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January 1, 2025 – March 31, 2025</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0.4325</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June 5, 2025</w:t>
            </w:r>
          </w:p>
        </w:tc>
        <w:tc>
          <w:tcPr>
            <w:tcW w:w="20" w:type="dxa"/>
            <w:vAlign w:val="bottom"/>
          </w:tcPr>
          <w:p>
            <w:pPr>
              <w:spacing w:after="0"/>
              <w:rPr>
                <w:sz w:val="19"/>
                <w:szCs w:val="19"/>
                <w:color w:val="auto"/>
              </w:rPr>
            </w:pPr>
          </w:p>
        </w:tc>
        <w:tc>
          <w:tcPr>
            <w:tcW w:w="200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June 18, 2025</w:t>
            </w:r>
          </w:p>
        </w:tc>
        <w:tc>
          <w:tcPr>
            <w:tcW w:w="20" w:type="dxa"/>
            <w:vAlign w:val="bottom"/>
          </w:tcPr>
          <w:p>
            <w:pPr>
              <w:spacing w:after="0"/>
              <w:rPr>
                <w:sz w:val="19"/>
                <w:szCs w:val="19"/>
                <w:color w:val="auto"/>
              </w:rPr>
            </w:pPr>
          </w:p>
        </w:tc>
        <w:tc>
          <w:tcPr>
            <w:tcW w:w="1480" w:type="dxa"/>
            <w:vAlign w:val="bottom"/>
          </w:tcPr>
          <w:p>
            <w:pPr>
              <w:jc w:val="center"/>
              <w:ind w:left="193"/>
              <w:spacing w:after="0"/>
              <w:rPr>
                <w:sz w:val="20"/>
                <w:szCs w:val="20"/>
                <w:color w:val="auto"/>
              </w:rPr>
            </w:pPr>
            <w:r>
              <w:rPr>
                <w:rFonts w:ascii="Times New Roman" w:cs="Times New Roman" w:eastAsia="Times New Roman" w:hAnsi="Times New Roman"/>
                <w:sz w:val="18"/>
                <w:szCs w:val="18"/>
                <w:color w:val="auto"/>
                <w:w w:val="98"/>
              </w:rPr>
              <w:t>July 10, 2025</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3"/>
          </w:tcPr>
          <w:p>
            <w:pPr>
              <w:jc w:val="center"/>
              <w:ind w:right="140"/>
              <w:spacing w:after="0"/>
              <w:rPr>
                <w:sz w:val="20"/>
                <w:szCs w:val="20"/>
                <w:color w:val="auto"/>
              </w:rPr>
            </w:pPr>
            <w:r>
              <w:rPr>
                <w:rFonts w:ascii="Times New Roman" w:cs="Times New Roman" w:eastAsia="Times New Roman" w:hAnsi="Times New Roman"/>
                <w:sz w:val="18"/>
                <w:szCs w:val="18"/>
                <w:color w:val="auto"/>
                <w:w w:val="99"/>
              </w:rPr>
              <w:t>April 1, 2025 – June 30, 2025</w:t>
            </w: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0.4325</w:t>
            </w:r>
          </w:p>
        </w:tc>
        <w:tc>
          <w:tcPr>
            <w:tcW w:w="20" w:type="dxa"/>
            <w:vAlign w:val="bottom"/>
          </w:tcPr>
          <w:p>
            <w:pPr>
              <w:spacing w:after="0"/>
              <w:rPr>
                <w:sz w:val="19"/>
                <w:szCs w:val="19"/>
                <w:color w:val="auto"/>
              </w:rPr>
            </w:pPr>
          </w:p>
        </w:tc>
      </w:tr>
      <w:tr>
        <w:trPr>
          <w:trHeight w:val="230"/>
        </w:trPr>
        <w:tc>
          <w:tcPr>
            <w:tcW w:w="20" w:type="dxa"/>
            <w:vAlign w:val="bottom"/>
            <w:shd w:val="clear" w:color="auto" w:fill="CCEEFF"/>
          </w:tcPr>
          <w:p>
            <w:pPr>
              <w:spacing w:after="0"/>
              <w:rPr>
                <w:sz w:val="19"/>
                <w:szCs w:val="19"/>
                <w:color w:val="auto"/>
              </w:rPr>
            </w:pPr>
          </w:p>
        </w:tc>
        <w:tc>
          <w:tcPr>
            <w:tcW w:w="19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4, 2025</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September 18, 2025</w:t>
            </w: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193"/>
              <w:spacing w:after="0"/>
              <w:rPr>
                <w:sz w:val="20"/>
                <w:szCs w:val="20"/>
                <w:color w:val="auto"/>
              </w:rPr>
            </w:pPr>
            <w:r>
              <w:rPr>
                <w:rFonts w:ascii="Times New Roman" w:cs="Times New Roman" w:eastAsia="Times New Roman" w:hAnsi="Times New Roman"/>
                <w:sz w:val="18"/>
                <w:szCs w:val="18"/>
                <w:color w:val="auto"/>
                <w:w w:val="99"/>
              </w:rPr>
              <w:t>October 9, 2025</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2025 - September 30, 2025</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0.4500</w:t>
            </w:r>
          </w:p>
        </w:tc>
        <w:tc>
          <w:tcPr>
            <w:tcW w:w="20" w:type="dxa"/>
            <w:vAlign w:val="bottom"/>
          </w:tcPr>
          <w:p>
            <w:pPr>
              <w:spacing w:after="0"/>
              <w:rPr>
                <w:sz w:val="19"/>
                <w:szCs w:val="19"/>
                <w:color w:val="auto"/>
              </w:rPr>
            </w:pPr>
          </w:p>
        </w:tc>
      </w:tr>
      <w:tr>
        <w:trPr>
          <w:trHeight w:val="443"/>
        </w:trPr>
        <w:tc>
          <w:tcPr>
            <w:tcW w:w="20" w:type="dxa"/>
            <w:vAlign w:val="bottom"/>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360" w:type="dxa"/>
            <w:vAlign w:val="bottom"/>
            <w:tcBorders>
              <w:bottom w:val="single" w:sz="8" w:color="auto"/>
            </w:tcBorders>
            <w:gridSpan w:val="8"/>
          </w:tcPr>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Nine Months Ended September 30, 2024</w:t>
            </w: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11"/>
        </w:trPr>
        <w:tc>
          <w:tcPr>
            <w:tcW w:w="20" w:type="dxa"/>
            <w:vAlign w:val="bottom"/>
          </w:tcPr>
          <w:p>
            <w:pPr>
              <w:spacing w:after="0"/>
              <w:rPr>
                <w:sz w:val="18"/>
                <w:szCs w:val="18"/>
                <w:color w:val="auto"/>
              </w:rPr>
            </w:pPr>
          </w:p>
        </w:tc>
        <w:tc>
          <w:tcPr>
            <w:tcW w:w="198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Declaration Date</w:t>
            </w:r>
          </w:p>
        </w:tc>
        <w:tc>
          <w:tcPr>
            <w:tcW w:w="20" w:type="dxa"/>
            <w:vAlign w:val="bottom"/>
          </w:tcPr>
          <w:p>
            <w:pPr>
              <w:spacing w:after="0"/>
              <w:rPr>
                <w:sz w:val="18"/>
                <w:szCs w:val="18"/>
                <w:color w:val="auto"/>
              </w:rPr>
            </w:pP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Record Date</w:t>
            </w:r>
          </w:p>
        </w:tc>
        <w:tc>
          <w:tcPr>
            <w:tcW w:w="20" w:type="dxa"/>
            <w:vAlign w:val="bottom"/>
          </w:tcPr>
          <w:p>
            <w:pPr>
              <w:spacing w:after="0"/>
              <w:rPr>
                <w:sz w:val="18"/>
                <w:szCs w:val="18"/>
                <w:color w:val="auto"/>
              </w:rPr>
            </w:pPr>
          </w:p>
        </w:tc>
        <w:tc>
          <w:tcPr>
            <w:tcW w:w="1480" w:type="dxa"/>
            <w:vAlign w:val="bottom"/>
          </w:tcPr>
          <w:p>
            <w:pPr>
              <w:jc w:val="center"/>
              <w:ind w:left="213"/>
              <w:spacing w:after="0"/>
              <w:rPr>
                <w:sz w:val="20"/>
                <w:szCs w:val="20"/>
                <w:color w:val="auto"/>
              </w:rPr>
            </w:pPr>
            <w:r>
              <w:rPr>
                <w:rFonts w:ascii="Times New Roman" w:cs="Times New Roman" w:eastAsia="Times New Roman" w:hAnsi="Times New Roman"/>
                <w:sz w:val="16"/>
                <w:szCs w:val="16"/>
                <w:b w:val="1"/>
                <w:bCs w:val="1"/>
                <w:color w:val="auto"/>
              </w:rPr>
              <w:t>Payment Date</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4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Period</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jc w:val="right"/>
              <w:ind w:right="492"/>
              <w:spacing w:after="0"/>
              <w:rPr>
                <w:sz w:val="20"/>
                <w:szCs w:val="20"/>
                <w:color w:val="auto"/>
              </w:rPr>
            </w:pPr>
            <w:r>
              <w:rPr>
                <w:rFonts w:ascii="Times New Roman" w:cs="Times New Roman" w:eastAsia="Times New Roman" w:hAnsi="Times New Roman"/>
                <w:sz w:val="16"/>
                <w:szCs w:val="16"/>
                <w:b w:val="1"/>
                <w:bCs w:val="1"/>
                <w:color w:val="auto"/>
              </w:rPr>
              <w:t>Dividend</w:t>
            </w:r>
          </w:p>
        </w:tc>
        <w:tc>
          <w:tcPr>
            <w:tcW w:w="20" w:type="dxa"/>
            <w:vAlign w:val="bottom"/>
          </w:tcPr>
          <w:p>
            <w:pPr>
              <w:spacing w:after="0"/>
              <w:rPr>
                <w:sz w:val="18"/>
                <w:szCs w:val="18"/>
                <w:color w:val="auto"/>
              </w:rPr>
            </w:pPr>
          </w:p>
        </w:tc>
      </w:tr>
      <w:tr>
        <w:trPr>
          <w:trHeight w:val="225"/>
        </w:trPr>
        <w:tc>
          <w:tcPr>
            <w:tcW w:w="20" w:type="dxa"/>
            <w:vAlign w:val="bottom"/>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March 7, 2024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March 21, 2024</w:t>
            </w: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April 4, 2024</w:t>
            </w:r>
          </w:p>
        </w:tc>
        <w:tc>
          <w:tcPr>
            <w:tcW w:w="30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360" w:type="dxa"/>
            <w:vAlign w:val="bottom"/>
            <w:tcBorders>
              <w:top w:val="single" w:sz="8" w:color="auto"/>
            </w:tcBorders>
            <w:gridSpan w:val="2"/>
            <w:shd w:val="clear" w:color="auto" w:fill="CCEEFF"/>
          </w:tcPr>
          <w:p>
            <w:pPr>
              <w:jc w:val="center"/>
              <w:ind w:right="20"/>
              <w:spacing w:after="0"/>
              <w:rPr>
                <w:sz w:val="20"/>
                <w:szCs w:val="20"/>
                <w:color w:val="auto"/>
              </w:rPr>
            </w:pPr>
            <w:r>
              <w:rPr>
                <w:rFonts w:ascii="Times New Roman" w:cs="Times New Roman" w:eastAsia="Times New Roman" w:hAnsi="Times New Roman"/>
                <w:sz w:val="18"/>
                <w:szCs w:val="18"/>
                <w:color w:val="auto"/>
                <w:w w:val="99"/>
              </w:rPr>
              <w:t>January 1, 2024 – March 31, 2024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0.4150</w:t>
            </w:r>
          </w:p>
        </w:tc>
        <w:tc>
          <w:tcPr>
            <w:tcW w:w="20" w:type="dxa"/>
            <w:vAlign w:val="bottom"/>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198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June 7, 2024</w:t>
            </w:r>
          </w:p>
        </w:tc>
        <w:tc>
          <w:tcPr>
            <w:tcW w:w="20" w:type="dxa"/>
            <w:vAlign w:val="bottom"/>
          </w:tcPr>
          <w:p>
            <w:pPr>
              <w:spacing w:after="0"/>
              <w:rPr>
                <w:sz w:val="19"/>
                <w:szCs w:val="19"/>
                <w:color w:val="auto"/>
              </w:rPr>
            </w:pPr>
          </w:p>
        </w:tc>
        <w:tc>
          <w:tcPr>
            <w:tcW w:w="200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June 18, 2024</w:t>
            </w:r>
          </w:p>
        </w:tc>
        <w:tc>
          <w:tcPr>
            <w:tcW w:w="20" w:type="dxa"/>
            <w:vAlign w:val="bottom"/>
          </w:tcPr>
          <w:p>
            <w:pPr>
              <w:spacing w:after="0"/>
              <w:rPr>
                <w:sz w:val="19"/>
                <w:szCs w:val="19"/>
                <w:color w:val="auto"/>
              </w:rPr>
            </w:pPr>
          </w:p>
        </w:tc>
        <w:tc>
          <w:tcPr>
            <w:tcW w:w="1480" w:type="dxa"/>
            <w:vAlign w:val="bottom"/>
          </w:tcPr>
          <w:p>
            <w:pPr>
              <w:jc w:val="center"/>
              <w:ind w:left="233"/>
              <w:spacing w:after="0"/>
              <w:rPr>
                <w:sz w:val="20"/>
                <w:szCs w:val="20"/>
                <w:color w:val="auto"/>
              </w:rPr>
            </w:pPr>
            <w:r>
              <w:rPr>
                <w:rFonts w:ascii="Times New Roman" w:cs="Times New Roman" w:eastAsia="Times New Roman" w:hAnsi="Times New Roman"/>
                <w:sz w:val="18"/>
                <w:szCs w:val="18"/>
                <w:color w:val="auto"/>
                <w:w w:val="99"/>
              </w:rPr>
              <w:t>July 3, 2024</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April 1, 2024 – June 30, 2024</w:t>
            </w:r>
          </w:p>
        </w:tc>
        <w:tc>
          <w:tcPr>
            <w:tcW w:w="360" w:type="dxa"/>
            <w:vAlign w:val="bottom"/>
            <w:gridSpan w:val="2"/>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0.4150</w:t>
            </w:r>
          </w:p>
        </w:tc>
        <w:tc>
          <w:tcPr>
            <w:tcW w:w="2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198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5, 2024</w:t>
            </w:r>
          </w:p>
        </w:tc>
        <w:tc>
          <w:tcPr>
            <w:tcW w:w="20" w:type="dxa"/>
            <w:vAlign w:val="bottom"/>
            <w:shd w:val="clear" w:color="auto" w:fill="CCEEFF"/>
          </w:tcPr>
          <w:p>
            <w:pPr>
              <w:spacing w:after="0"/>
              <w:rPr>
                <w:sz w:val="19"/>
                <w:szCs w:val="19"/>
                <w:color w:val="auto"/>
              </w:rPr>
            </w:pPr>
          </w:p>
        </w:tc>
        <w:tc>
          <w:tcPr>
            <w:tcW w:w="2000" w:type="dxa"/>
            <w:vAlign w:val="bottom"/>
            <w:gridSpan w:val="3"/>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September 18, 2024</w:t>
            </w:r>
          </w:p>
        </w:tc>
        <w:tc>
          <w:tcPr>
            <w:tcW w:w="20" w:type="dxa"/>
            <w:vAlign w:val="bottom"/>
            <w:shd w:val="clear" w:color="auto" w:fill="CCEEFF"/>
          </w:tcPr>
          <w:p>
            <w:pPr>
              <w:spacing w:after="0"/>
              <w:rPr>
                <w:sz w:val="19"/>
                <w:szCs w:val="19"/>
                <w:color w:val="auto"/>
              </w:rPr>
            </w:pPr>
          </w:p>
        </w:tc>
        <w:tc>
          <w:tcPr>
            <w:tcW w:w="1480" w:type="dxa"/>
            <w:vAlign w:val="bottom"/>
            <w:shd w:val="clear" w:color="auto" w:fill="CCEEFF"/>
          </w:tcPr>
          <w:p>
            <w:pPr>
              <w:jc w:val="center"/>
              <w:ind w:left="233"/>
              <w:spacing w:after="0"/>
              <w:rPr>
                <w:sz w:val="20"/>
                <w:szCs w:val="20"/>
                <w:color w:val="auto"/>
              </w:rPr>
            </w:pPr>
            <w:r>
              <w:rPr>
                <w:rFonts w:ascii="Times New Roman" w:cs="Times New Roman" w:eastAsia="Times New Roman" w:hAnsi="Times New Roman"/>
                <w:sz w:val="18"/>
                <w:szCs w:val="18"/>
                <w:color w:val="auto"/>
                <w:w w:val="99"/>
              </w:rPr>
              <w:t>October 3, 2024</w:t>
            </w:r>
          </w:p>
        </w:tc>
        <w:tc>
          <w:tcPr>
            <w:tcW w:w="3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440" w:type="dxa"/>
            <w:vAlign w:val="bottom"/>
            <w:gridSpan w:val="3"/>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9"/>
              </w:rPr>
              <w:t>July 1, 2024 - September 30, 2024</w:t>
            </w:r>
          </w:p>
        </w:tc>
        <w:tc>
          <w:tcPr>
            <w:tcW w:w="360" w:type="dxa"/>
            <w:vAlign w:val="bottom"/>
            <w:gridSpan w:val="2"/>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0.4325</w:t>
            </w:r>
          </w:p>
        </w:tc>
        <w:tc>
          <w:tcPr>
            <w:tcW w:w="20" w:type="dxa"/>
            <w:vAlign w:val="bottom"/>
          </w:tcPr>
          <w:p>
            <w:pPr>
              <w:spacing w:after="0"/>
              <w:rPr>
                <w:sz w:val="19"/>
                <w:szCs w:val="19"/>
                <w:color w:val="auto"/>
              </w:rPr>
            </w:pPr>
          </w:p>
        </w:tc>
      </w:tr>
      <w:tr>
        <w:trPr>
          <w:trHeight w:val="904"/>
        </w:trPr>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3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99"/>
              </w:rPr>
              <w:t>59</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8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3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Federal income tax law requires that a REIT distribute annually at least 90% of its REIT taxable income (with certain adjustments), determined without regard to the dividends paid deduction and excluding any net capital gains, and that it pay tax at regular corporate rates to the extent that it annually distributes less than 100% of its REIT taxable income, determined without regard to the dividends paid deduction and including any net capital gains. In addition, a REIT will be required to pay a 4% nondeductible excise tax on the amount, if any, by which the distributions it makes in a calendar year are less than the sum of 85% of its ordinary income, 95% of its capital gain net income and 100% of its undistributed income from prior years.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intend to continue to make distributions to our stockholders to comply with the REIT requirements of the Internal Revenue Code of 1986, as amended (the “Code”), and to avoid or otherwise minimize paying entity level federal income or excise tax (other than at any TRS of ours). We may generate taxable income greater than our income for financial reporting purposes prepared in accordance with GAAP. Further, we may generate REIT taxable income greater than our cash flow from operations after operating expenses and debt service as a result of differences in timing between the recognition of REIT taxable income and the actual receipt of cash or the effect of nondeductible capital expenditures, the creation of reserves or required debt or amortization payments.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Critical Accounting Policies and Estimates</w:t>
      </w:r>
    </w:p>
    <w:p>
      <w:pPr>
        <w:spacing w:after="0" w:line="184" w:lineRule="exact"/>
        <w:rPr>
          <w:sz w:val="20"/>
          <w:szCs w:val="20"/>
          <w:color w:val="auto"/>
        </w:rPr>
      </w:pPr>
    </w:p>
    <w:p>
      <w:pPr>
        <w:jc w:val="both"/>
        <w:spacing w:after="0" w:line="282" w:lineRule="auto"/>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auto"/>
          </w:rPr>
          <w:t xml:space="preserve">A complete discussion of our critical accounting policies and estimates is included in our </w:t>
        </w:r>
        <w:r>
          <w:rPr>
            <w:rFonts w:ascii="Times New Roman" w:cs="Times New Roman" w:eastAsia="Times New Roman" w:hAnsi="Times New Roman"/>
            <w:sz w:val="18"/>
            <w:szCs w:val="18"/>
            <w:u w:val="single" w:color="auto"/>
            <w:color w:val="0000FF"/>
          </w:rPr>
          <w:t>Annual Report on Form 10-K for the year ended December 31,</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FF"/>
          </w:rPr>
          <w:t>2024</w:t>
        </w:r>
        <w:r>
          <w:rPr>
            <w:rFonts w:ascii="Times New Roman" w:cs="Times New Roman" w:eastAsia="Times New Roman" w:hAnsi="Times New Roman"/>
            <w:sz w:val="18"/>
            <w:szCs w:val="18"/>
            <w:color w:val="000000"/>
          </w:rPr>
          <w:t>. There have been no significant changes in our critical policies and estimates for the nine months ended September 30, 2025.</w:t>
        </w:r>
      </w:hyperlink>
    </w:p>
    <w:p>
      <w:pPr>
        <w:spacing w:after="0" w:line="162"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Quantitative and Qualitative Disclosures About Market Risk</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interest rate risk management objective is to limit the impact of future interest rate changes on our earnings and cash flows. To achieve this objective, our consolidated subsidiaries primarily borrow on a fixed-rate basis for longer-term debt issuances. As of September 30, 2025, we had $17.1 billion aggregate principal amount of outstanding indebtedness, of which 99.1% has fixed rate interest and 0.9% has a variable interest rate, representing the US$147.9 million outstanding balance under the Revolving Credit Facility (including amounts denominated in CAD and GBP and based on the applicable exchange rate as of September 30, 2025). As of September 30, 2025, a one percent increase or decrease in the annual interest rate on our variable rate borrowings would increase or decrease our annual cash interest expense by approximately $1.5 million using the applicable exchange rate as of September 30, 2025.</w:t>
      </w:r>
    </w:p>
    <w:p>
      <w:pPr>
        <w:spacing w:after="0" w:line="13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Additionally, we are exposed to interest rate risk in connection with the refinancing of our long-term debt as it approaches maturity and between the time we enter into a transaction and the time we finance the related transaction with long-term fixed-rate debt (to the extent we do so). In a heightened interest rate environment, we have from time to time and may in the future seek to mitigate that risk by utilizing forward-starting interest rate swap agreements, U.S. Treasury Rate locks and other derivative instruments. Market interest rates are sensitive to many factors that are beyond our control.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Markets Risks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exposed to risks related to the equity capital markets and our related ability to raise capital through the issuance of our common stock or other equity instruments. We are also exposed to risks related to the debt capital markets and our related ability to finance our business through long-term indebtedness, borrowings under credit facilities or other debt instruments. As a REIT, we are required to distribute a significant portion of our taxable income annually, which constrains our ability to accumulate operating cash flow and therefore requires us to utilize debt or equity capital to finance our business. We seek to mitigate these risks by monitoring the debt and equity capital markets to inform our decisions on the amount, timing, and terms of capital we raise.</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Exchange Rates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foreign currency exchange variability related to investments in and earnings from our foreign investments. Foreign currency market risk is the possibility that our results of operations or financial position could be better or worse than planned because of changes in foreign currency exchange rates. We primarily hedge our foreign currency risk by borrowing in the currencies in which we invest, thereby providing a natural hedge. We continuously evaluate our foreign currency risk and may in the future use derivative financial instruments, such as currency exchange swaps, foreign currency collars, and foreign currency forward contracts with financial counterparties to further mitigate such risk.</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Controls and Procedures</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Inc.</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maintains disclosure controls and procedures (as defined in Rules 13a-15(e) and 15d-15(e) of the Securities Exchange Act of 1934, as amended (the “Exchange Act”)) designed to provide reasonable assurance that information required to be disclosed in reports filed under the Exchange Act is recorded, processed, summarized and reported within the specified time periods, and is accumulated and communicated to VICI’s management, including VICI’s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VICI’s management has evaluated, under the supervision and with the participation of our principal executive officer and principal financial officer, the effectiveness of our disclosure controls and procedures pursuant to Exchange Act Rule 13a-15(e) as of the end of the period covered by this report. Based upon this evaluation, VICI’s principal executive officer and principal financial officer concluded that VICI’s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VICI’s internal control over financial reporting (as defined in Rules 13a-15(f) and 15d-15(f) under the Exchange Act) that occurred during the three months ended September 30, 2025, that have materially affected, or are reasonably likely to materially affect, VICI’s internal control over financial reporting.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VICI Properties L.P.</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 maintains disclosure controls and procedures (as defined in Rules 13a-15(e) and 15d-15(e) of the Exchange Act) designed to provide reasonable assurance that information required to be disclosed in reports filed under the Exchange Act is recorded, processed, summarized and reported within the specified time periods, and is accumulated and communicated to our management, including VICI LP’s principal executive officer and principal financial officer, as appropriate, to allow timely decisions regarding required disclosure.</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VICI LP’s management has evaluated, under the supervision and with the participation of VICI LP’s principal executive officer and principal financial officer, the effectiveness of VICI LP’s disclosure controls and procedures pursuant to Exchange Act Rule 13a-15(e) as of the end of the period covered by this report. Based upon this evaluation, VICI LP’s principal executive officer and principal financial officer concluded that VICI LP’s disclosure controls and procedures were effective as of the end of the period covered by this report.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have been no changes in VICI LP’s internal control over financial reporting (as defined in Rules 13a-15(f) and 15d-15(f) under the Exchange Act) that occurred during the three months ended September 30, 2025, that have materially affected, or are reasonably likely to materially affect, VICI LP’s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040" w:val="left"/>
        </w:tabs>
        <w:rPr>
          <w:sz w:val="20"/>
          <w:szCs w:val="20"/>
          <w:color w:val="auto"/>
        </w:rPr>
      </w:pPr>
      <w:r>
        <w:rPr>
          <w:rFonts w:ascii="Times New Roman" w:cs="Times New Roman" w:eastAsia="Times New Roman" w:hAnsi="Times New Roman"/>
          <w:sz w:val="22"/>
          <w:szCs w:val="22"/>
          <w:b w:val="1"/>
          <w:bCs w:val="1"/>
          <w:color w:val="auto"/>
        </w:rPr>
        <w:t>PART II.</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22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22"/>
          <w:szCs w:val="22"/>
          <w:b w:val="1"/>
          <w:bCs w:val="1"/>
          <w:color w:val="auto"/>
        </w:rPr>
        <w:t>Item 1.</w:t>
      </w:r>
      <w:r>
        <w:rPr>
          <w:sz w:val="20"/>
          <w:szCs w:val="20"/>
          <w:color w:val="auto"/>
        </w:rPr>
        <w:tab/>
      </w:r>
      <w:r>
        <w:rPr>
          <w:rFonts w:ascii="Times New Roman" w:cs="Times New Roman" w:eastAsia="Times New Roman" w:hAnsi="Times New Roman"/>
          <w:sz w:val="21"/>
          <w:szCs w:val="21"/>
          <w:b w:val="1"/>
          <w:bCs w:val="1"/>
          <w:color w:val="auto"/>
        </w:rPr>
        <w:t>Legal Proceedings</w:t>
      </w:r>
    </w:p>
    <w:p>
      <w:pPr>
        <w:spacing w:after="0" w:line="2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The information contained under the heading “Litigation” in </w:t>
      </w:r>
      <w:r>
        <w:rPr>
          <w:rFonts w:ascii="Times New Roman" w:cs="Times New Roman" w:eastAsia="Times New Roman" w:hAnsi="Times New Roman"/>
          <w:sz w:val="18"/>
          <w:szCs w:val="18"/>
          <w:u w:val="single" w:color="auto"/>
          <w:color w:val="0000FF"/>
        </w:rPr>
        <w:t>Note 10 - Commitments and Contingent Liabilities</w:t>
      </w:r>
      <w:r>
        <w:rPr>
          <w:rFonts w:ascii="Times New Roman" w:cs="Times New Roman" w:eastAsia="Times New Roman" w:hAnsi="Times New Roman"/>
          <w:sz w:val="18"/>
          <w:szCs w:val="18"/>
          <w:color w:val="auto"/>
        </w:rPr>
        <w:t xml:space="preserve"> to our Financial Statements included in this report is incorporated by reference into this Item 1.</w:t>
      </w:r>
    </w:p>
    <w:p>
      <w:pPr>
        <w:spacing w:after="0" w:line="176" w:lineRule="exact"/>
        <w:rPr>
          <w:sz w:val="20"/>
          <w:szCs w:val="20"/>
          <w:color w:val="auto"/>
        </w:rPr>
      </w:pPr>
    </w:p>
    <w:p>
      <w:pPr>
        <w:spacing w:after="0"/>
        <w:tabs>
          <w:tab w:leader="none" w:pos="1000" w:val="left"/>
        </w:tabs>
        <w:rPr>
          <w:sz w:val="20"/>
          <w:szCs w:val="20"/>
          <w:color w:val="auto"/>
        </w:rPr>
      </w:pPr>
      <w:r>
        <w:rPr>
          <w:rFonts w:ascii="Times New Roman" w:cs="Times New Roman" w:eastAsia="Times New Roman" w:hAnsi="Times New Roman"/>
          <w:sz w:val="22"/>
          <w:szCs w:val="22"/>
          <w:b w:val="1"/>
          <w:bCs w:val="1"/>
          <w:color w:val="auto"/>
        </w:rPr>
        <w:t>Item 1A.</w:t>
      </w:r>
      <w:r>
        <w:rPr>
          <w:sz w:val="20"/>
          <w:szCs w:val="20"/>
          <w:color w:val="auto"/>
        </w:rPr>
        <w:tab/>
      </w:r>
      <w:r>
        <w:rPr>
          <w:rFonts w:ascii="Times New Roman" w:cs="Times New Roman" w:eastAsia="Times New Roman" w:hAnsi="Times New Roman"/>
          <w:sz w:val="21"/>
          <w:szCs w:val="21"/>
          <w:b w:val="1"/>
          <w:bCs w:val="1"/>
          <w:color w:val="auto"/>
        </w:rPr>
        <w:t>Risk Factors</w:t>
      </w:r>
    </w:p>
    <w:p>
      <w:pPr>
        <w:spacing w:after="0" w:line="165" w:lineRule="exact"/>
        <w:rPr>
          <w:sz w:val="20"/>
          <w:szCs w:val="20"/>
          <w:color w:val="auto"/>
        </w:rPr>
      </w:pPr>
    </w:p>
    <w:p>
      <w:pPr>
        <w:jc w:val="both"/>
        <w:spacing w:after="0" w:line="266" w:lineRule="auto"/>
        <w:rPr>
          <w:rFonts w:ascii="Times New Roman" w:cs="Times New Roman" w:eastAsia="Times New Roman" w:hAnsi="Times New Roman"/>
          <w:sz w:val="18"/>
          <w:szCs w:val="18"/>
          <w:color w:val="0000FF"/>
        </w:rPr>
      </w:pPr>
      <w:hyperlink r:id="rId28">
        <w:r>
          <w:rPr>
            <w:rFonts w:ascii="Times New Roman" w:cs="Times New Roman" w:eastAsia="Times New Roman" w:hAnsi="Times New Roman"/>
            <w:sz w:val="18"/>
            <w:szCs w:val="18"/>
            <w:color w:val="auto"/>
          </w:rPr>
          <w:t xml:space="preserve">A description of certain factors that may affect our future results and risk factors is set forth in our </w:t>
        </w:r>
        <w:r>
          <w:rPr>
            <w:rFonts w:ascii="Times New Roman" w:cs="Times New Roman" w:eastAsia="Times New Roman" w:hAnsi="Times New Roman"/>
            <w:sz w:val="18"/>
            <w:szCs w:val="18"/>
            <w:u w:val="single" w:color="auto"/>
            <w:color w:val="0000FF"/>
          </w:rPr>
          <w:t>Annual Report on Form 10-K for the year ended</w:t>
        </w:r>
      </w:hyperlink>
      <w:r>
        <w:rPr>
          <w:rFonts w:ascii="Times New Roman" w:cs="Times New Roman" w:eastAsia="Times New Roman" w:hAnsi="Times New Roman"/>
          <w:sz w:val="18"/>
          <w:szCs w:val="18"/>
          <w:color w:val="auto"/>
        </w:rPr>
        <w:t xml:space="preserve"> </w:t>
      </w:r>
      <w:hyperlink r:id="rId28">
        <w:r>
          <w:rPr>
            <w:rFonts w:ascii="Times New Roman" w:cs="Times New Roman" w:eastAsia="Times New Roman" w:hAnsi="Times New Roman"/>
            <w:sz w:val="18"/>
            <w:szCs w:val="18"/>
            <w:u w:val="single" w:color="auto"/>
            <w:color w:val="0000FF"/>
          </w:rPr>
          <w:t>December 31, 2024</w:t>
        </w:r>
        <w:r>
          <w:rPr>
            <w:rFonts w:ascii="Times New Roman" w:cs="Times New Roman" w:eastAsia="Times New Roman" w:hAnsi="Times New Roman"/>
            <w:sz w:val="18"/>
            <w:szCs w:val="18"/>
            <w:color w:val="000000"/>
          </w:rPr>
          <w:t>, and is incorporated by reference into this Item 1A. There have been no material changes to those factors for the nine months ended</w:t>
        </w:r>
      </w:hyperlink>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September 30, 2025.</w:t>
      </w:r>
    </w:p>
    <w:p>
      <w:pPr>
        <w:spacing w:after="0" w:line="17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b w:val="1"/>
          <w:bCs w:val="1"/>
          <w:color w:val="auto"/>
        </w:rPr>
        <w:t>Item 2.</w:t>
      </w:r>
      <w:r>
        <w:rPr>
          <w:sz w:val="20"/>
          <w:szCs w:val="20"/>
          <w:color w:val="auto"/>
        </w:rPr>
        <w:tab/>
      </w:r>
      <w:r>
        <w:rPr>
          <w:rFonts w:ascii="Times New Roman" w:cs="Times New Roman" w:eastAsia="Times New Roman" w:hAnsi="Times New Roman"/>
          <w:sz w:val="21"/>
          <w:szCs w:val="21"/>
          <w:b w:val="1"/>
          <w:bCs w:val="1"/>
          <w:color w:val="auto"/>
        </w:rPr>
        <w:t>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 Unregistered Sales of Equity Securities and Use of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 Use of Proceeds from Registered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 Issuer Purchases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VICI Properties Inc.</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September 30, 2025, certain employees surrendered shares of common stock owned by them to VICI to satisfy their statutory minimum federal and state income tax obligations associated with the vesting of shares of restricted common stock issued under our stock incentive plan. The following table summarizes such common stock repurchases during the three months ended September 30, 2025:</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Total Number Of</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Maximum Number</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Shares Purchased</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Of Shares That</w:t>
            </w:r>
          </w:p>
        </w:tc>
        <w:tc>
          <w:tcPr>
            <w:tcW w:w="0" w:type="dxa"/>
            <w:vAlign w:val="bottom"/>
          </w:tcPr>
          <w:p>
            <w:pPr>
              <w:spacing w:after="0"/>
              <w:rPr>
                <w:sz w:val="1"/>
                <w:szCs w:val="1"/>
                <w:color w:val="auto"/>
              </w:rPr>
            </w:pPr>
          </w:p>
        </w:tc>
      </w:tr>
      <w:tr>
        <w:trPr>
          <w:trHeight w:val="162"/>
        </w:trPr>
        <w:tc>
          <w:tcPr>
            <w:tcW w:w="4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Total Number of</w:t>
            </w:r>
          </w:p>
        </w:tc>
        <w:tc>
          <w:tcPr>
            <w:tcW w:w="14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Average Price Paid</w:t>
            </w:r>
          </w:p>
        </w:tc>
        <w:tc>
          <w:tcPr>
            <w:tcW w:w="1860" w:type="dxa"/>
            <w:vAlign w:val="bottom"/>
            <w:gridSpan w:val="2"/>
          </w:tcPr>
          <w:p>
            <w:pPr>
              <w:jc w:val="center"/>
              <w:ind w:right="120"/>
              <w:spacing w:after="0" w:line="162" w:lineRule="exact"/>
              <w:rPr>
                <w:sz w:val="20"/>
                <w:szCs w:val="20"/>
                <w:color w:val="auto"/>
              </w:rPr>
            </w:pPr>
            <w:r>
              <w:rPr>
                <w:rFonts w:ascii="Times New Roman" w:cs="Times New Roman" w:eastAsia="Times New Roman" w:hAnsi="Times New Roman"/>
                <w:sz w:val="16"/>
                <w:szCs w:val="16"/>
                <w:b w:val="1"/>
                <w:bCs w:val="1"/>
                <w:color w:val="auto"/>
              </w:rPr>
              <w:t>As Part Of</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w w:val="99"/>
              </w:rPr>
              <w:t>May Yet Be Purchased</w:t>
            </w:r>
          </w:p>
        </w:tc>
        <w:tc>
          <w:tcPr>
            <w:tcW w:w="0" w:type="dxa"/>
            <w:vAlign w:val="bottom"/>
          </w:tcPr>
          <w:p>
            <w:pPr>
              <w:spacing w:after="0"/>
              <w:rPr>
                <w:sz w:val="1"/>
                <w:szCs w:val="1"/>
                <w:color w:val="auto"/>
              </w:rPr>
            </w:pPr>
          </w:p>
        </w:tc>
      </w:tr>
      <w:tr>
        <w:trPr>
          <w:trHeight w:val="162"/>
        </w:trPr>
        <w:tc>
          <w:tcPr>
            <w:tcW w:w="4540" w:type="dxa"/>
            <w:vAlign w:val="bottom"/>
            <w:gridSpan w:val="2"/>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Period</w:t>
            </w:r>
          </w:p>
        </w:tc>
        <w:tc>
          <w:tcPr>
            <w:tcW w:w="1460" w:type="dxa"/>
            <w:vAlign w:val="bottom"/>
            <w:gridSpan w:val="2"/>
            <w:vMerge w:val="continue"/>
          </w:tcPr>
          <w:p>
            <w:pPr>
              <w:spacing w:after="0"/>
              <w:rPr>
                <w:sz w:val="14"/>
                <w:szCs w:val="14"/>
                <w:color w:val="auto"/>
              </w:rPr>
            </w:pPr>
          </w:p>
        </w:tc>
        <w:tc>
          <w:tcPr>
            <w:tcW w:w="1480" w:type="dxa"/>
            <w:vAlign w:val="bottom"/>
            <w:gridSpan w:val="3"/>
            <w:vMerge w:val="continue"/>
          </w:tcPr>
          <w:p>
            <w:pPr>
              <w:spacing w:after="0"/>
              <w:rPr>
                <w:sz w:val="14"/>
                <w:szCs w:val="14"/>
                <w:color w:val="auto"/>
              </w:rPr>
            </w:pPr>
          </w:p>
        </w:tc>
        <w:tc>
          <w:tcPr>
            <w:tcW w:w="1860" w:type="dxa"/>
            <w:vAlign w:val="bottom"/>
            <w:gridSpan w:val="2"/>
          </w:tcPr>
          <w:p>
            <w:pPr>
              <w:jc w:val="center"/>
              <w:ind w:right="100"/>
              <w:spacing w:after="0" w:line="162" w:lineRule="exact"/>
              <w:rPr>
                <w:sz w:val="20"/>
                <w:szCs w:val="20"/>
                <w:color w:val="auto"/>
              </w:rPr>
            </w:pPr>
            <w:r>
              <w:rPr>
                <w:rFonts w:ascii="Times New Roman" w:cs="Times New Roman" w:eastAsia="Times New Roman" w:hAnsi="Times New Roman"/>
                <w:sz w:val="16"/>
                <w:szCs w:val="16"/>
                <w:b w:val="1"/>
                <w:bCs w:val="1"/>
                <w:color w:val="auto"/>
              </w:rPr>
              <w:t>Publicly Announced</w:t>
            </w:r>
          </w:p>
        </w:tc>
        <w:tc>
          <w:tcPr>
            <w:tcW w:w="1900" w:type="dxa"/>
            <w:vAlign w:val="bottom"/>
          </w:tcPr>
          <w:p>
            <w:pPr>
              <w:jc w:val="center"/>
              <w:spacing w:after="0" w:line="162" w:lineRule="exact"/>
              <w:rPr>
                <w:sz w:val="20"/>
                <w:szCs w:val="20"/>
                <w:color w:val="auto"/>
              </w:rPr>
            </w:pPr>
            <w:r>
              <w:rPr>
                <w:rFonts w:ascii="Times New Roman" w:cs="Times New Roman" w:eastAsia="Times New Roman" w:hAnsi="Times New Roman"/>
                <w:sz w:val="16"/>
                <w:szCs w:val="16"/>
                <w:b w:val="1"/>
                <w:bCs w:val="1"/>
                <w:color w:val="auto"/>
              </w:rPr>
              <w:t>Under The Plans Or</w:t>
            </w:r>
          </w:p>
        </w:tc>
        <w:tc>
          <w:tcPr>
            <w:tcW w:w="0" w:type="dxa"/>
            <w:vAlign w:val="bottom"/>
          </w:tcPr>
          <w:p>
            <w:pPr>
              <w:spacing w:after="0"/>
              <w:rPr>
                <w:sz w:val="1"/>
                <w:szCs w:val="1"/>
                <w:color w:val="auto"/>
              </w:rPr>
            </w:pPr>
          </w:p>
        </w:tc>
      </w:tr>
      <w:tr>
        <w:trPr>
          <w:trHeight w:val="216"/>
        </w:trPr>
        <w:tc>
          <w:tcPr>
            <w:tcW w:w="4540" w:type="dxa"/>
            <w:vAlign w:val="bottom"/>
            <w:gridSpan w:val="2"/>
            <w:vMerge w:val="continue"/>
          </w:tcPr>
          <w:p>
            <w:pPr>
              <w:spacing w:after="0"/>
              <w:rPr>
                <w:sz w:val="18"/>
                <w:szCs w:val="18"/>
                <w:color w:val="auto"/>
              </w:rPr>
            </w:pP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Shares Purchased</w:t>
            </w:r>
          </w:p>
        </w:tc>
        <w:tc>
          <w:tcPr>
            <w:tcW w:w="240" w:type="dxa"/>
            <w:vAlign w:val="bottom"/>
          </w:tcPr>
          <w:p>
            <w:pPr>
              <w:spacing w:after="0"/>
              <w:rPr>
                <w:sz w:val="18"/>
                <w:szCs w:val="18"/>
                <w:color w:val="auto"/>
              </w:rPr>
            </w:pPr>
          </w:p>
        </w:tc>
        <w:tc>
          <w:tcPr>
            <w:tcW w:w="1240" w:type="dxa"/>
            <w:vAlign w:val="bottom"/>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per Share</w:t>
            </w:r>
          </w:p>
        </w:tc>
        <w:tc>
          <w:tcPr>
            <w:tcW w:w="18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Plans Or Programs</w:t>
            </w:r>
          </w:p>
        </w:tc>
        <w:tc>
          <w:tcPr>
            <w:tcW w:w="19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Programs</w:t>
            </w:r>
          </w:p>
        </w:tc>
        <w:tc>
          <w:tcPr>
            <w:tcW w:w="0" w:type="dxa"/>
            <w:vAlign w:val="bottom"/>
          </w:tcPr>
          <w:p>
            <w:pPr>
              <w:spacing w:after="0"/>
              <w:rPr>
                <w:sz w:val="1"/>
                <w:szCs w:val="1"/>
                <w:color w:val="auto"/>
              </w:rPr>
            </w:pPr>
          </w:p>
        </w:tc>
      </w:tr>
      <w:tr>
        <w:trPr>
          <w:trHeight w:val="223"/>
        </w:trPr>
        <w:tc>
          <w:tcPr>
            <w:tcW w:w="44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2025 through July 31, 2025</w:t>
            </w:r>
          </w:p>
        </w:tc>
        <w:tc>
          <w:tcPr>
            <w:tcW w:w="100" w:type="dxa"/>
            <w:vAlign w:val="bottom"/>
            <w:tcBorders>
              <w:top w:val="single" w:sz="8" w:color="CCEEFF"/>
            </w:tcBorders>
            <w:shd w:val="clear" w:color="auto" w:fill="CCEEFF"/>
          </w:tcPr>
          <w:p>
            <w:pPr>
              <w:spacing w:after="0"/>
              <w:rPr>
                <w:sz w:val="19"/>
                <w:szCs w:val="19"/>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900" w:type="dxa"/>
            <w:vAlign w:val="bottom"/>
            <w:tcBorders>
              <w:top w:val="single" w:sz="8" w:color="auto"/>
            </w:tcBorders>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August 1, 2025 through August 31, 2025</w:t>
            </w: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454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September 1, 2025 through September 30, 2025 </w:t>
            </w:r>
            <w:r>
              <w:rPr>
                <w:rFonts w:ascii="Times New Roman" w:cs="Times New Roman" w:eastAsia="Times New Roman" w:hAnsi="Times New Roman"/>
                <w:sz w:val="23"/>
                <w:szCs w:val="23"/>
                <w:i w:val="1"/>
                <w:iCs w:val="1"/>
                <w:color w:val="auto"/>
                <w:vertAlign w:val="superscript"/>
              </w:rPr>
              <w:t>(1)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33.60</w:t>
            </w:r>
          </w:p>
        </w:tc>
        <w:tc>
          <w:tcPr>
            <w:tcW w:w="100" w:type="dxa"/>
            <w:vAlign w:val="bottom"/>
            <w:shd w:val="clear" w:color="auto" w:fill="CCEEFF"/>
          </w:tcPr>
          <w:p>
            <w:pPr>
              <w:spacing w:after="0"/>
              <w:rPr>
                <w:sz w:val="19"/>
                <w:szCs w:val="19"/>
                <w:color w:val="auto"/>
              </w:rPr>
            </w:pPr>
          </w:p>
        </w:tc>
        <w:tc>
          <w:tcPr>
            <w:tcW w:w="1860" w:type="dxa"/>
            <w:vAlign w:val="bottom"/>
            <w:gridSpan w:val="2"/>
            <w:shd w:val="clear" w:color="auto" w:fill="CCEEFF"/>
          </w:tcPr>
          <w:p>
            <w:pPr>
              <w:ind w:left="1520"/>
              <w:spacing w:after="0"/>
              <w:rPr>
                <w:sz w:val="20"/>
                <w:szCs w:val="20"/>
                <w:color w:val="auto"/>
              </w:rPr>
            </w:pPr>
            <w:r>
              <w:rPr>
                <w:rFonts w:ascii="Times New Roman" w:cs="Times New Roman" w:eastAsia="Times New Roman" w:hAnsi="Times New Roman"/>
                <w:sz w:val="18"/>
                <w:szCs w:val="18"/>
                <w:color w:val="auto"/>
              </w:rPr>
              <w:t>—</w:t>
            </w:r>
          </w:p>
        </w:tc>
        <w:tc>
          <w:tcPr>
            <w:tcW w:w="1900" w:type="dxa"/>
            <w:vAlign w:val="bottom"/>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2"/>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267</w:t>
            </w:r>
          </w:p>
        </w:tc>
        <w:tc>
          <w:tcPr>
            <w:tcW w:w="100" w:type="dxa"/>
            <w:vAlign w:val="bottom"/>
          </w:tcPr>
          <w:p>
            <w:pPr>
              <w:spacing w:after="0"/>
              <w:rPr>
                <w:sz w:val="20"/>
                <w:szCs w:val="20"/>
                <w:color w:val="auto"/>
              </w:rPr>
            </w:pPr>
          </w:p>
        </w:tc>
        <w:tc>
          <w:tcPr>
            <w:tcW w:w="2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33.60</w:t>
            </w:r>
          </w:p>
        </w:tc>
        <w:tc>
          <w:tcPr>
            <w:tcW w:w="100" w:type="dxa"/>
            <w:vAlign w:val="bottom"/>
          </w:tcPr>
          <w:p>
            <w:pPr>
              <w:spacing w:after="0"/>
              <w:rPr>
                <w:sz w:val="20"/>
                <w:szCs w:val="20"/>
                <w:color w:val="auto"/>
              </w:rPr>
            </w:pPr>
          </w:p>
        </w:tc>
        <w:tc>
          <w:tcPr>
            <w:tcW w:w="1780" w:type="dxa"/>
            <w:vAlign w:val="bottom"/>
            <w:tcBorders>
              <w:top w:val="single" w:sz="8" w:color="auto"/>
            </w:tcBorders>
          </w:tcPr>
          <w:p>
            <w:pPr>
              <w:ind w:left="1520"/>
              <w:spacing w:after="0"/>
              <w:rPr>
                <w:sz w:val="20"/>
                <w:szCs w:val="20"/>
                <w:color w:val="auto"/>
              </w:rPr>
            </w:pPr>
            <w:r>
              <w:rPr>
                <w:rFonts w:ascii="Times New Roman" w:cs="Times New Roman" w:eastAsia="Times New Roman" w:hAnsi="Times New Roman"/>
                <w:sz w:val="18"/>
                <w:szCs w:val="18"/>
                <w:b w:val="1"/>
                <w:bCs w:val="1"/>
                <w:color w:val="auto"/>
              </w:rPr>
              <w:t>—</w:t>
            </w:r>
          </w:p>
        </w:tc>
        <w:tc>
          <w:tcPr>
            <w:tcW w:w="80" w:type="dxa"/>
            <w:vAlign w:val="bottom"/>
          </w:tcPr>
          <w:p>
            <w:pPr>
              <w:spacing w:after="0"/>
              <w:rPr>
                <w:sz w:val="20"/>
                <w:szCs w:val="20"/>
                <w:color w:val="auto"/>
              </w:rPr>
            </w:pPr>
          </w:p>
        </w:tc>
        <w:tc>
          <w:tcPr>
            <w:tcW w:w="1900" w:type="dxa"/>
            <w:vAlign w:val="bottom"/>
            <w:tcBorders>
              <w:top w:val="single" w:sz="8" w:color="auto"/>
            </w:tcBorders>
          </w:tcPr>
          <w:p>
            <w:pPr>
              <w:ind w:left="1640"/>
              <w:spacing w:after="0"/>
              <w:rPr>
                <w:sz w:val="20"/>
                <w:szCs w:val="20"/>
                <w:color w:val="auto"/>
              </w:rPr>
            </w:pPr>
            <w:r>
              <w:rPr>
                <w:rFonts w:ascii="Times New Roman" w:cs="Times New Roman" w:eastAsia="Times New Roman" w:hAnsi="Times New Roman"/>
                <w:sz w:val="18"/>
                <w:szCs w:val="18"/>
                <w:b w:val="1"/>
                <w:bCs w:val="1"/>
                <w:color w:val="auto"/>
              </w:rPr>
              <w:t>—</w:t>
            </w:r>
          </w:p>
        </w:tc>
        <w:tc>
          <w:tcPr>
            <w:tcW w:w="0" w:type="dxa"/>
            <w:vAlign w:val="bottom"/>
          </w:tcPr>
          <w:p>
            <w:pPr>
              <w:spacing w:after="0"/>
              <w:rPr>
                <w:sz w:val="1"/>
                <w:szCs w:val="1"/>
                <w:color w:val="auto"/>
              </w:rPr>
            </w:pPr>
          </w:p>
        </w:tc>
      </w:tr>
    </w:tbl>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__________________________</w:t>
      </w:r>
    </w:p>
    <w:p>
      <w:pPr>
        <w:spacing w:after="0" w:line="14" w:lineRule="exact"/>
        <w:rPr>
          <w:sz w:val="20"/>
          <w:szCs w:val="20"/>
          <w:color w:val="auto"/>
        </w:rPr>
      </w:pPr>
    </w:p>
    <w:p>
      <w:pPr>
        <w:ind w:firstLine="8"/>
        <w:spacing w:after="0" w:line="281" w:lineRule="auto"/>
        <w:tabs>
          <w:tab w:leader="none" w:pos="226" w:val="left"/>
        </w:tabs>
        <w:numPr>
          <w:ilvl w:val="0"/>
          <w:numId w:val="41"/>
        </w:numPr>
        <w:rPr>
          <w:rFonts w:ascii="Times New Roman" w:cs="Times New Roman" w:eastAsia="Times New Roman" w:hAnsi="Times New Roman"/>
          <w:sz w:val="14"/>
          <w:szCs w:val="14"/>
          <w:i w:val="1"/>
          <w:iCs w:val="1"/>
          <w:color w:val="auto"/>
        </w:rPr>
      </w:pPr>
      <w:r>
        <w:rPr>
          <w:rFonts w:ascii="Times New Roman" w:cs="Times New Roman" w:eastAsia="Times New Roman" w:hAnsi="Times New Roman"/>
          <w:sz w:val="14"/>
          <w:szCs w:val="14"/>
          <w:i w:val="1"/>
          <w:iCs w:val="1"/>
          <w:color w:val="auto"/>
        </w:rPr>
        <w:t>All shares of common stock were surrendered by certain employees to VICI to satisfy their statutory minimum federal and state income tax obligations associated with the vesting of performance-based restricted stock units and shares of restricted common stock issued under our stock incentive plan.</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VICI Properties L.P.</w:t>
      </w:r>
    </w:p>
    <w:p>
      <w:pPr>
        <w:spacing w:after="0" w:line="229"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VICI LP did not repurchase any equity securities registered pursuant to Section 12 of the Exchange Act.</w:t>
      </w:r>
    </w:p>
    <w:p>
      <w:pPr>
        <w:spacing w:after="0" w:line="16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3.</w:t>
      </w:r>
      <w:r>
        <w:rPr>
          <w:sz w:val="20"/>
          <w:szCs w:val="20"/>
          <w:color w:val="auto"/>
        </w:rPr>
        <w:tab/>
      </w:r>
      <w:r>
        <w:rPr>
          <w:rFonts w:ascii="Times New Roman" w:cs="Times New Roman" w:eastAsia="Times New Roman" w:hAnsi="Times New Roman"/>
          <w:sz w:val="21"/>
          <w:szCs w:val="21"/>
          <w:b w:val="1"/>
          <w:bCs w:val="1"/>
          <w:color w:val="auto"/>
        </w:rPr>
        <w:t>Defaults Upon Senior Securities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4.</w:t>
      </w:r>
      <w:r>
        <w:rPr>
          <w:sz w:val="20"/>
          <w:szCs w:val="20"/>
          <w:color w:val="auto"/>
        </w:rPr>
        <w:tab/>
      </w:r>
      <w:r>
        <w:rPr>
          <w:rFonts w:ascii="Times New Roman" w:cs="Times New Roman" w:eastAsia="Times New Roman" w:hAnsi="Times New Roman"/>
          <w:sz w:val="21"/>
          <w:szCs w:val="21"/>
          <w:b w:val="1"/>
          <w:bCs w:val="1"/>
          <w:color w:val="auto"/>
        </w:rPr>
        <w:t>Mine Safety Disclosures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1240"/>
          </w:cols>
          <w:pgMar w:left="320" w:top="52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2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22"/>
          <w:szCs w:val="22"/>
          <w:b w:val="1"/>
          <w:bCs w:val="1"/>
          <w:color w:val="auto"/>
        </w:rPr>
        <w:t>Item 5.</w:t>
      </w:r>
      <w:r>
        <w:rPr>
          <w:sz w:val="20"/>
          <w:szCs w:val="20"/>
          <w:color w:val="auto"/>
        </w:rPr>
        <w:tab/>
      </w:r>
      <w:r>
        <w:rPr>
          <w:rFonts w:ascii="Times New Roman" w:cs="Times New Roman" w:eastAsia="Times New Roman" w:hAnsi="Times New Roman"/>
          <w:sz w:val="21"/>
          <w:szCs w:val="21"/>
          <w:b w:val="1"/>
          <w:bCs w:val="1"/>
          <w:color w:val="auto"/>
        </w:rPr>
        <w:t>Other Information</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Rule 10b5-1 Trading Arrangements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During the three months ended September 30, 2025, no director or officer of the Company adopted or terminated a “Rule 10b5-1 trading arrangement” or “non-Rule 10b5-1 trading arrangement,” as each term is defined in Item 408(a) of Regulation S-K.</w:t>
      </w:r>
    </w:p>
    <w:p>
      <w:pPr>
        <w:sectPr>
          <w:pgSz w:w="11900" w:h="16838" w:orient="portrait"/>
          <w:cols w:equalWidth="0" w:num="1">
            <w:col w:w="11240"/>
          </w:cols>
          <w:pgMar w:left="320" w:top="364" w:right="339" w:bottom="1440" w:gutter="0" w:footer="0" w:header="0"/>
        </w:sectPr>
      </w:pPr>
    </w:p>
    <w:p>
      <w:pPr>
        <w:spacing w:after="0" w:line="108" w:lineRule="exact"/>
        <w:rPr>
          <w:sz w:val="20"/>
          <w:szCs w:val="20"/>
          <w:color w:val="auto"/>
        </w:rPr>
      </w:pPr>
    </w:p>
    <w:tbl>
      <w:tblPr>
        <w:tblLayout w:type="fixed"/>
        <w:tblInd w:w="0" w:type="dxa"/>
        <w:tblCellMar>
          <w:top w:w="0" w:type="dxa"/>
          <w:left w:w="0" w:type="dxa"/>
          <w:bottom w:w="0" w:type="dxa"/>
          <w:right w:w="0" w:type="dxa"/>
        </w:tblCellMar>
      </w:tblPr>
      <w:tr>
        <w:trPr>
          <w:trHeight w:val="286"/>
        </w:trPr>
        <w:tc>
          <w:tcPr>
            <w:tcW w:w="1140" w:type="dxa"/>
            <w:vAlign w:val="bottom"/>
            <w:gridSpan w:val="3"/>
          </w:tcPr>
          <w:p>
            <w:pPr>
              <w:spacing w:after="0"/>
              <w:rPr>
                <w:sz w:val="20"/>
                <w:szCs w:val="20"/>
                <w:color w:val="auto"/>
              </w:rPr>
            </w:pPr>
            <w:r>
              <w:rPr>
                <w:rFonts w:ascii="Times New Roman" w:cs="Times New Roman" w:eastAsia="Times New Roman" w:hAnsi="Times New Roman"/>
                <w:sz w:val="22"/>
                <w:szCs w:val="22"/>
                <w:b w:val="1"/>
                <w:bCs w:val="1"/>
                <w:color w:val="auto"/>
              </w:rPr>
              <w:t>Item 6.</w:t>
            </w:r>
          </w:p>
        </w:tc>
        <w:tc>
          <w:tcPr>
            <w:tcW w:w="20" w:type="dxa"/>
            <w:vAlign w:val="bottom"/>
          </w:tcPr>
          <w:p>
            <w:pPr>
              <w:spacing w:after="0"/>
              <w:rPr>
                <w:sz w:val="24"/>
                <w:szCs w:val="24"/>
                <w:color w:val="auto"/>
              </w:rPr>
            </w:pPr>
          </w:p>
        </w:tc>
        <w:tc>
          <w:tcPr>
            <w:tcW w:w="5520" w:type="dxa"/>
            <w:vAlign w:val="bottom"/>
            <w:gridSpan w:val="6"/>
          </w:tcPr>
          <w:p>
            <w:pPr>
              <w:ind w:left="140"/>
              <w:spacing w:after="0"/>
              <w:rPr>
                <w:sz w:val="20"/>
                <w:szCs w:val="20"/>
                <w:color w:val="auto"/>
              </w:rPr>
            </w:pPr>
            <w:r>
              <w:rPr>
                <w:rFonts w:ascii="Times New Roman" w:cs="Times New Roman" w:eastAsia="Times New Roman" w:hAnsi="Times New Roman"/>
                <w:sz w:val="22"/>
                <w:szCs w:val="22"/>
                <w:b w:val="1"/>
                <w:bCs w:val="1"/>
                <w:color w:val="auto"/>
              </w:rPr>
              <w:t>Exhibits</w:t>
            </w:r>
          </w:p>
        </w:tc>
        <w:tc>
          <w:tcPr>
            <w:tcW w:w="0" w:type="dxa"/>
            <w:vAlign w:val="bottom"/>
          </w:tcPr>
          <w:p>
            <w:pPr>
              <w:spacing w:after="0"/>
              <w:rPr>
                <w:sz w:val="1"/>
                <w:szCs w:val="1"/>
                <w:color w:val="auto"/>
              </w:rPr>
            </w:pPr>
          </w:p>
        </w:tc>
      </w:tr>
      <w:tr>
        <w:trPr>
          <w:trHeight w:val="355"/>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24"/>
                <w:szCs w:val="24"/>
                <w:color w:val="auto"/>
              </w:rPr>
            </w:pPr>
          </w:p>
        </w:tc>
        <w:tc>
          <w:tcPr>
            <w:tcW w:w="5520" w:type="dxa"/>
            <w:vAlign w:val="bottom"/>
            <w:gridSpan w:val="6"/>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0" w:type="dxa"/>
            <w:vAlign w:val="bottom"/>
          </w:tcPr>
          <w:p>
            <w:pPr>
              <w:spacing w:after="0"/>
              <w:rPr>
                <w:sz w:val="1"/>
                <w:szCs w:val="1"/>
                <w:color w:val="auto"/>
              </w:rPr>
            </w:pPr>
          </w:p>
        </w:tc>
      </w:tr>
      <w:tr>
        <w:trPr>
          <w:trHeight w:val="190"/>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5520" w:type="dxa"/>
            <w:vAlign w:val="bottom"/>
            <w:gridSpan w:val="6"/>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1140" w:type="dxa"/>
            <w:vAlign w:val="bottom"/>
            <w:gridSpan w:val="3"/>
          </w:tcPr>
          <w:p>
            <w:pPr>
              <w:jc w:val="center"/>
              <w:ind w:right="100"/>
              <w:spacing w:after="0" w:line="199" w:lineRule="exact"/>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1</w:t>
            </w:r>
          </w:p>
        </w:tc>
        <w:tc>
          <w:tcPr>
            <w:tcW w:w="5540" w:type="dxa"/>
            <w:vAlign w:val="bottom"/>
            <w:gridSpan w:val="7"/>
          </w:tcPr>
          <w:p>
            <w:pPr>
              <w:spacing w:after="0" w:line="199" w:lineRule="exact"/>
              <w:rPr>
                <w:sz w:val="20"/>
                <w:szCs w:val="20"/>
                <w:color w:val="auto"/>
              </w:rPr>
            </w:pPr>
            <w:r>
              <w:rPr>
                <w:rFonts w:ascii="Times New Roman" w:cs="Times New Roman" w:eastAsia="Times New Roman" w:hAnsi="Times New Roman"/>
                <w:sz w:val="18"/>
                <w:szCs w:val="18"/>
                <w:color w:val="0000FF"/>
              </w:rPr>
              <w:t>VICI Properties Inc.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2</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VICI Properties Inc.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tcPr>
          <w:p>
            <w:pPr>
              <w:spacing w:after="0"/>
              <w:rPr>
                <w:sz w:val="14"/>
                <w:szCs w:val="14"/>
                <w:color w:val="auto"/>
              </w:rPr>
            </w:pPr>
          </w:p>
        </w:tc>
        <w:tc>
          <w:tcPr>
            <w:tcW w:w="60" w:type="dxa"/>
            <w:vAlign w:val="bottom"/>
            <w:gridSpan w:val="2"/>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3</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VICI Properties L.P.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0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31.</w:t>
            </w:r>
            <w:r>
              <w:rPr>
                <w:rFonts w:ascii="Times New Roman" w:cs="Times New Roman" w:eastAsia="Times New Roman" w:hAnsi="Times New Roman"/>
                <w:sz w:val="18"/>
                <w:szCs w:val="18"/>
                <w:u w:val="single" w:color="auto"/>
                <w:color w:val="0000FF"/>
              </w:rPr>
              <w:t>4</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VICI Properties L.P.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302 of the Sarbanes-Oxley Act of 2002.</w:t>
            </w: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1</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VICI Properties Inc.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8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40" w:type="dxa"/>
            <w:vAlign w:val="bottom"/>
            <w:gridSpan w:val="2"/>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2</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VICI Properties Inc.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20" w:type="dxa"/>
            <w:vAlign w:val="bottom"/>
            <w:tcBorders>
              <w:top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10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3</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w w:val="99"/>
              </w:rPr>
              <w:t>VICI Properties L.P. Certification of Principal Executive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500" w:type="dxa"/>
            <w:vAlign w:val="bottom"/>
            <w:tcBorders>
              <w:top w:val="single" w:sz="8" w:color="0000FF"/>
            </w:tcBorders>
            <w:gridSpan w:val="5"/>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0000FF"/>
              </w:rPr>
              <w:t>32.</w:t>
            </w:r>
            <w:r>
              <w:rPr>
                <w:rFonts w:ascii="Times New Roman" w:cs="Times New Roman" w:eastAsia="Times New Roman" w:hAnsi="Times New Roman"/>
                <w:sz w:val="18"/>
                <w:szCs w:val="18"/>
                <w:u w:val="single" w:color="auto"/>
                <w:color w:val="0000FF"/>
              </w:rPr>
              <w:t>4</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0000FF"/>
              </w:rPr>
              <w:t>VICI Properties L.P. Certification of Principal Financial Officer Pursuant to</w:t>
            </w:r>
          </w:p>
        </w:tc>
        <w:tc>
          <w:tcPr>
            <w:tcW w:w="0" w:type="dxa"/>
            <w:vAlign w:val="bottom"/>
          </w:tcPr>
          <w:p>
            <w:pPr>
              <w:spacing w:after="0"/>
              <w:rPr>
                <w:sz w:val="1"/>
                <w:szCs w:val="1"/>
                <w:color w:val="auto"/>
              </w:rPr>
            </w:pPr>
          </w:p>
        </w:tc>
      </w:tr>
      <w:tr>
        <w:trPr>
          <w:trHeight w:val="169"/>
        </w:trPr>
        <w:tc>
          <w:tcPr>
            <w:tcW w:w="360" w:type="dxa"/>
            <w:vAlign w:val="bottom"/>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40" w:type="dxa"/>
            <w:vAlign w:val="bottom"/>
            <w:tcBorders>
              <w:top w:val="single" w:sz="8" w:color="0000FF"/>
            </w:tcBorders>
            <w:gridSpan w:val="3"/>
          </w:tcPr>
          <w:p>
            <w:pPr>
              <w:spacing w:after="0" w:line="169" w:lineRule="exact"/>
              <w:rPr>
                <w:sz w:val="20"/>
                <w:szCs w:val="20"/>
                <w:color w:val="auto"/>
              </w:rPr>
            </w:pPr>
            <w:r>
              <w:rPr>
                <w:rFonts w:ascii="Times New Roman" w:cs="Times New Roman" w:eastAsia="Times New Roman" w:hAnsi="Times New Roman"/>
                <w:sz w:val="18"/>
                <w:szCs w:val="18"/>
                <w:color w:val="0000FF"/>
              </w:rPr>
              <w:t>Section 906 of the Sarbanes-Oxley Act of 2002.</w:t>
            </w:r>
          </w:p>
        </w:tc>
        <w:tc>
          <w:tcPr>
            <w:tcW w:w="8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140" w:type="dxa"/>
            <w:vAlign w:val="bottom"/>
            <w:gridSpan w:val="3"/>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208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9"/>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101.INS</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w:t>
            </w:r>
          </w:p>
        </w:tc>
        <w:tc>
          <w:tcPr>
            <w:tcW w:w="0" w:type="dxa"/>
            <w:vAlign w:val="bottom"/>
          </w:tcPr>
          <w:p>
            <w:pPr>
              <w:spacing w:after="0"/>
              <w:rPr>
                <w:sz w:val="1"/>
                <w:szCs w:val="1"/>
                <w:color w:val="auto"/>
              </w:rPr>
            </w:pPr>
          </w:p>
        </w:tc>
      </w:tr>
      <w:tr>
        <w:trPr>
          <w:trHeight w:val="180"/>
        </w:trPr>
        <w:tc>
          <w:tcPr>
            <w:tcW w:w="3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540" w:type="dxa"/>
            <w:vAlign w:val="bottom"/>
            <w:gridSpan w:val="7"/>
          </w:tcPr>
          <w:p>
            <w:pPr>
              <w:spacing w:after="0" w:line="181" w:lineRule="exact"/>
              <w:rPr>
                <w:sz w:val="20"/>
                <w:szCs w:val="20"/>
                <w:color w:val="auto"/>
              </w:rPr>
            </w:pPr>
            <w:r>
              <w:rPr>
                <w:rFonts w:ascii="Times New Roman" w:cs="Times New Roman" w:eastAsia="Times New Roman" w:hAnsi="Times New Roman"/>
                <w:sz w:val="18"/>
                <w:szCs w:val="18"/>
                <w:color w:val="auto"/>
              </w:rPr>
              <w:t>the Interactive Data File because its XBRL tags are embedded within the</w:t>
            </w:r>
          </w:p>
        </w:tc>
        <w:tc>
          <w:tcPr>
            <w:tcW w:w="0" w:type="dxa"/>
            <w:vAlign w:val="bottom"/>
          </w:tcPr>
          <w:p>
            <w:pPr>
              <w:spacing w:after="0"/>
              <w:rPr>
                <w:sz w:val="1"/>
                <w:szCs w:val="1"/>
                <w:color w:val="auto"/>
              </w:rPr>
            </w:pPr>
          </w:p>
        </w:tc>
      </w:tr>
      <w:tr>
        <w:trPr>
          <w:trHeight w:val="234"/>
        </w:trPr>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0" w:type="dxa"/>
            <w:vAlign w:val="bottom"/>
          </w:tcPr>
          <w:p>
            <w:pPr>
              <w:spacing w:after="0"/>
              <w:rPr>
                <w:sz w:val="1"/>
                <w:szCs w:val="1"/>
                <w:color w:val="auto"/>
              </w:rPr>
            </w:pPr>
          </w:p>
        </w:tc>
      </w:tr>
      <w:tr>
        <w:trPr>
          <w:trHeight w:val="279"/>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w w:val="99"/>
              </w:rPr>
              <w:t>101.SCH</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0" w:type="dxa"/>
            <w:vAlign w:val="bottom"/>
          </w:tcPr>
          <w:p>
            <w:pPr>
              <w:spacing w:after="0"/>
              <w:rPr>
                <w:sz w:val="1"/>
                <w:szCs w:val="1"/>
                <w:color w:val="auto"/>
              </w:rPr>
            </w:pPr>
          </w:p>
        </w:tc>
      </w:tr>
      <w:tr>
        <w:trPr>
          <w:trHeight w:val="28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101.CAL</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83"/>
        </w:trPr>
        <w:tc>
          <w:tcPr>
            <w:tcW w:w="11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color w:val="auto"/>
              </w:rPr>
              <w:t>101.DEF</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0" w:type="dxa"/>
            <w:vAlign w:val="bottom"/>
          </w:tcPr>
          <w:p>
            <w:pPr>
              <w:spacing w:after="0"/>
              <w:rPr>
                <w:sz w:val="1"/>
                <w:szCs w:val="1"/>
                <w:color w:val="auto"/>
              </w:rPr>
            </w:pPr>
          </w:p>
        </w:tc>
      </w:tr>
      <w:tr>
        <w:trPr>
          <w:trHeight w:val="283"/>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rPr>
              <w:t>101.LAB</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84"/>
        </w:trPr>
        <w:tc>
          <w:tcPr>
            <w:tcW w:w="11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color w:val="auto"/>
                <w:w w:val="99"/>
              </w:rPr>
              <w:t>101.PRE</w:t>
            </w:r>
          </w:p>
        </w:tc>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140" w:hanging="761"/>
        <w:spacing w:after="0" w:line="250" w:lineRule="auto"/>
        <w:tabs>
          <w:tab w:leader="none" w:pos="1140"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w:t>
      </w:r>
    </w:p>
    <w:p>
      <w:pPr>
        <w:spacing w:after="0" w:line="17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Furnished herewith</w:t>
      </w:r>
    </w:p>
    <w:p>
      <w:pPr>
        <w:spacing w:after="0" w:line="20" w:lineRule="exact"/>
        <w:rPr>
          <w:sz w:val="20"/>
          <w:szCs w:val="20"/>
          <w:color w:val="auto"/>
        </w:rPr>
      </w:pPr>
      <w:r>
        <w:rPr>
          <w:sz w:val="20"/>
          <w:szCs w:val="20"/>
          <w:color w:val="auto"/>
        </w:rPr>
        <w:br w:type="column"/>
      </w:r>
    </w:p>
    <w:p>
      <w:pPr>
        <w:spacing w:after="0" w:line="37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0"/>
        </w:trPr>
        <w:tc>
          <w:tcPr>
            <w:tcW w:w="8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560" w:type="dxa"/>
            <w:vAlign w:val="bottom"/>
            <w:gridSpan w:val="5"/>
          </w:tcPr>
          <w:p>
            <w:pPr>
              <w:ind w:left="8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0" w:type="dxa"/>
            <w:vAlign w:val="bottom"/>
          </w:tcPr>
          <w:p>
            <w:pPr>
              <w:spacing w:after="0"/>
              <w:rPr>
                <w:sz w:val="1"/>
                <w:szCs w:val="1"/>
                <w:color w:val="auto"/>
              </w:rPr>
            </w:pPr>
          </w:p>
        </w:tc>
      </w:tr>
      <w:tr>
        <w:trPr>
          <w:trHeight w:val="23"/>
        </w:trPr>
        <w:tc>
          <w:tcPr>
            <w:tcW w:w="840" w:type="dxa"/>
            <w:vAlign w:val="bottom"/>
            <w:vMerge w:val="restart"/>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rPr>
              <w:t>Filed</w:t>
            </w: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7"/>
        </w:trPr>
        <w:tc>
          <w:tcPr>
            <w:tcW w:w="840" w:type="dxa"/>
            <w:vAlign w:val="bottom"/>
            <w:vMerge w:val="continue"/>
          </w:tcPr>
          <w:p>
            <w:pPr>
              <w:spacing w:after="0"/>
              <w:rPr>
                <w:sz w:val="10"/>
                <w:szCs w:val="10"/>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0"/>
                <w:szCs w:val="10"/>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5"/>
        </w:trPr>
        <w:tc>
          <w:tcPr>
            <w:tcW w:w="840" w:type="dxa"/>
            <w:vAlign w:val="bottom"/>
          </w:tcPr>
          <w:p>
            <w:pPr>
              <w:jc w:val="center"/>
              <w:ind w:right="208"/>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760" w:type="dxa"/>
            <w:vAlign w:val="bottom"/>
            <w:tcBorders>
              <w:bottom w:val="single" w:sz="8" w:color="auto"/>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vMerge w:val="continue"/>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p>
    <w:p>
      <w:pPr>
        <w:spacing w:after="0" w:line="266"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w:t>
      </w:r>
    </w:p>
    <w:p>
      <w:pPr>
        <w:spacing w:after="0" w:line="34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26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7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X</w:t>
      </w:r>
    </w:p>
    <w:p>
      <w:pPr>
        <w:spacing w:after="0" w:line="1090" w:lineRule="exact"/>
        <w:rPr>
          <w:sz w:val="20"/>
          <w:szCs w:val="20"/>
          <w:color w:val="auto"/>
        </w:rPr>
      </w:pPr>
    </w:p>
    <w:p>
      <w:pPr>
        <w:sectPr>
          <w:pgSz w:w="11900" w:h="16838" w:orient="portrait"/>
          <w:cols w:equalWidth="0" w:num="2">
            <w:col w:w="6720" w:space="360"/>
            <w:col w:w="4160"/>
          </w:cols>
          <w:pgMar w:left="320" w:top="364" w:right="339" w:bottom="1440" w:gutter="0" w:footer="0" w:header="0"/>
          <w:type w:val="continuous"/>
        </w:sect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INC.</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2025</w:t>
            </w:r>
          </w:p>
        </w:tc>
      </w:tr>
      <w:tr>
        <w:trPr>
          <w:trHeight w:val="232"/>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Edward B. Pitoniak</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20"/>
                <w:szCs w:val="20"/>
                <w:color w:val="auto"/>
              </w:rPr>
            </w:pPr>
          </w:p>
        </w:tc>
      </w:tr>
      <w:tr>
        <w:trPr>
          <w:trHeight w:val="47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2025</w:t>
            </w:r>
          </w:p>
        </w:tc>
      </w:tr>
      <w:tr>
        <w:trPr>
          <w:trHeight w:val="232"/>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A. Kieske</w:t>
            </w:r>
          </w:p>
        </w:tc>
        <w:tc>
          <w:tcPr>
            <w:tcW w:w="120" w:type="dxa"/>
            <w:vAlign w:val="bottom"/>
          </w:tcPr>
          <w:p>
            <w:pPr>
              <w:spacing w:after="0"/>
              <w:rPr>
                <w:sz w:val="20"/>
                <w:szCs w:val="20"/>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00" w:type="dxa"/>
            <w:vAlign w:val="bottom"/>
          </w:tcPr>
          <w:p>
            <w:pPr>
              <w:spacing w:after="0"/>
              <w:rPr>
                <w:sz w:val="20"/>
                <w:szCs w:val="20"/>
                <w:color w:val="auto"/>
              </w:rPr>
            </w:pPr>
          </w:p>
        </w:tc>
      </w:tr>
      <w:tr>
        <w:trPr>
          <w:trHeight w:val="47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2025</w:t>
            </w:r>
          </w:p>
        </w:tc>
      </w:tr>
      <w:tr>
        <w:trPr>
          <w:trHeight w:val="232"/>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Gabriel F. Wasserman</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0" w:type="dxa"/>
            <w:vAlign w:val="bottom"/>
          </w:tcPr>
          <w:p>
            <w:pPr>
              <w:spacing w:after="0"/>
              <w:rPr>
                <w:sz w:val="20"/>
                <w:szCs w:val="20"/>
                <w:color w:val="auto"/>
              </w:rPr>
            </w:pPr>
          </w:p>
        </w:tc>
      </w:tr>
    </w:tbl>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VICI PROPERTIES L.P.</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120" w:type="dxa"/>
            <w:vAlign w:val="bottom"/>
          </w:tcPr>
          <w:p>
            <w:pPr>
              <w:spacing w:after="0"/>
              <w:rPr>
                <w:sz w:val="20"/>
                <w:szCs w:val="20"/>
                <w:color w:val="auto"/>
              </w:rPr>
            </w:pPr>
          </w:p>
        </w:tc>
        <w:tc>
          <w:tcPr>
            <w:tcW w:w="3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100" w:type="dxa"/>
            <w:vAlign w:val="bottom"/>
          </w:tcPr>
          <w:p>
            <w:pPr>
              <w:spacing w:after="0"/>
              <w:rPr>
                <w:sz w:val="20"/>
                <w:szCs w:val="20"/>
                <w:color w:val="auto"/>
              </w:rPr>
            </w:pPr>
          </w:p>
        </w:tc>
        <w:tc>
          <w:tcPr>
            <w:tcW w:w="2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466"/>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 EDWARD B. PITONIAK</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Chief Executive Officer and Director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2025</w:t>
            </w:r>
          </w:p>
        </w:tc>
      </w:tr>
      <w:tr>
        <w:trPr>
          <w:trHeight w:val="232"/>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Edward B. Pitoniak</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Executive Officer)</w:t>
            </w:r>
          </w:p>
        </w:tc>
        <w:tc>
          <w:tcPr>
            <w:tcW w:w="2200" w:type="dxa"/>
            <w:vAlign w:val="bottom"/>
          </w:tcPr>
          <w:p>
            <w:pPr>
              <w:spacing w:after="0"/>
              <w:rPr>
                <w:sz w:val="20"/>
                <w:szCs w:val="20"/>
                <w:color w:val="auto"/>
              </w:rPr>
            </w:pPr>
          </w:p>
        </w:tc>
      </w:tr>
      <w:tr>
        <w:trPr>
          <w:trHeight w:val="47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DAVID A. KIESKE</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2025</w:t>
            </w:r>
          </w:p>
        </w:tc>
      </w:tr>
      <w:tr>
        <w:trPr>
          <w:trHeight w:val="232"/>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David A. Kieske</w:t>
            </w:r>
          </w:p>
        </w:tc>
        <w:tc>
          <w:tcPr>
            <w:tcW w:w="120" w:type="dxa"/>
            <w:vAlign w:val="bottom"/>
          </w:tcPr>
          <w:p>
            <w:pPr>
              <w:spacing w:after="0"/>
              <w:rPr>
                <w:sz w:val="20"/>
                <w:szCs w:val="20"/>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(Principal Financial Officer)</w:t>
            </w:r>
          </w:p>
        </w:tc>
        <w:tc>
          <w:tcPr>
            <w:tcW w:w="2200" w:type="dxa"/>
            <w:vAlign w:val="bottom"/>
          </w:tcPr>
          <w:p>
            <w:pPr>
              <w:spacing w:after="0"/>
              <w:rPr>
                <w:sz w:val="20"/>
                <w:szCs w:val="20"/>
                <w:color w:val="auto"/>
              </w:rPr>
            </w:pPr>
          </w:p>
        </w:tc>
      </w:tr>
      <w:tr>
        <w:trPr>
          <w:trHeight w:val="477"/>
        </w:trPr>
        <w:tc>
          <w:tcPr>
            <w:tcW w:w="5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GABRIEL F. WASSERMAN</w:t>
            </w:r>
          </w:p>
        </w:tc>
        <w:tc>
          <w:tcPr>
            <w:tcW w:w="120" w:type="dxa"/>
            <w:vAlign w:val="bottom"/>
          </w:tcPr>
          <w:p>
            <w:pPr>
              <w:spacing w:after="0"/>
              <w:rPr>
                <w:sz w:val="24"/>
                <w:szCs w:val="24"/>
                <w:color w:val="auto"/>
              </w:rPr>
            </w:pPr>
          </w:p>
        </w:tc>
        <w:tc>
          <w:tcPr>
            <w:tcW w:w="35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Chief Accounting Officer</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October 30, 2025</w:t>
            </w:r>
          </w:p>
        </w:tc>
      </w:tr>
      <w:tr>
        <w:trPr>
          <w:trHeight w:val="232"/>
        </w:trPr>
        <w:tc>
          <w:tcPr>
            <w:tcW w:w="5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Gabriel F. Wasserman</w:t>
            </w:r>
          </w:p>
        </w:tc>
        <w:tc>
          <w:tcPr>
            <w:tcW w:w="120" w:type="dxa"/>
            <w:vAlign w:val="bottom"/>
          </w:tcPr>
          <w:p>
            <w:pPr>
              <w:spacing w:after="0"/>
              <w:rPr>
                <w:sz w:val="20"/>
                <w:szCs w:val="20"/>
                <w:color w:val="auto"/>
              </w:rPr>
            </w:pPr>
          </w:p>
        </w:tc>
        <w:tc>
          <w:tcPr>
            <w:tcW w:w="35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(Principal Accounting Officer)</w:t>
            </w:r>
          </w:p>
        </w:tc>
        <w:tc>
          <w:tcPr>
            <w:tcW w:w="22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ectPr>
          <w:pgSz w:w="11900" w:h="16838" w:orient="portrait"/>
          <w:cols w:equalWidth="0" w:num="1">
            <w:col w:w="11240"/>
          </w:cols>
          <w:pgMar w:left="320" w:top="526" w:right="339" w:bottom="1440" w:gutter="0" w:footer="0" w:header="0"/>
        </w:sectPr>
      </w:pPr>
    </w:p>
    <w:bookmarkStart w:id="64" w:name="page65"/>
    <w:bookmarkEnd w:id="64"/>
    <w:p>
      <w:pPr>
        <w:jc w:val="right"/>
        <w:spacing w:after="0"/>
        <w:rPr>
          <w:sz w:val="20"/>
          <w:szCs w:val="20"/>
          <w:color w:val="auto"/>
        </w:rPr>
      </w:pPr>
      <w:r>
        <w:rPr>
          <w:rFonts w:ascii="Times New Roman" w:cs="Times New Roman" w:eastAsia="Times New Roman" w:hAnsi="Times New Roman"/>
          <w:sz w:val="20"/>
          <w:szCs w:val="20"/>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65" w:name="page66"/>
    <w:bookmarkEnd w:id="65"/>
    <w:p>
      <w:pPr>
        <w:jc w:val="right"/>
        <w:spacing w:after="0"/>
        <w:rPr>
          <w:sz w:val="20"/>
          <w:szCs w:val="20"/>
          <w:color w:val="auto"/>
        </w:rPr>
      </w:pPr>
      <w:r>
        <w:rPr>
          <w:rFonts w:ascii="Times New Roman" w:cs="Times New Roman" w:eastAsia="Times New Roman" w:hAnsi="Times New Roman"/>
          <w:sz w:val="20"/>
          <w:szCs w:val="20"/>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Inc.;</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0"/>
        <w:spacing w:after="0"/>
        <w:tabs>
          <w:tab w:leader="none" w:pos="70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60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20"/>
          <w:szCs w:val="20"/>
          <w:b w:val="1"/>
          <w:bCs w:val="1"/>
          <w:color w:val="auto"/>
        </w:rPr>
        <w:t>Exhibit 31.3</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Edward B. Pitoniak, certify that:</w:t>
      </w:r>
    </w:p>
    <w:p>
      <w:pPr>
        <w:spacing w:after="0" w:line="171" w:lineRule="exact"/>
        <w:rPr>
          <w:sz w:val="20"/>
          <w:szCs w:val="20"/>
          <w:color w:val="auto"/>
        </w:rPr>
      </w:pPr>
    </w:p>
    <w:p>
      <w:pPr>
        <w:ind w:left="660" w:hanging="328"/>
        <w:spacing w:after="0"/>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ectPr>
          <w:pgSz w:w="11900" w:h="16838" w:orient="portrait"/>
          <w:cols w:equalWidth="0" w:num="1">
            <w:col w:w="11240"/>
          </w:cols>
          <w:pgMar w:left="320" w:top="114" w:right="3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0"/>
          <w:szCs w:val="20"/>
          <w:b w:val="1"/>
          <w:bCs w:val="1"/>
          <w:color w:val="auto"/>
        </w:rPr>
        <w:t>Exhibit 31.4</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David Kieske, certify that:</w:t>
      </w:r>
    </w:p>
    <w:p>
      <w:pPr>
        <w:spacing w:after="0" w:line="171" w:lineRule="exact"/>
        <w:rPr>
          <w:sz w:val="20"/>
          <w:szCs w:val="20"/>
          <w:color w:val="auto"/>
        </w:rPr>
      </w:pPr>
    </w:p>
    <w:p>
      <w:pPr>
        <w:ind w:left="660" w:hanging="328"/>
        <w:spacing w:after="0"/>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VICI Properties L.P.;</w:t>
      </w:r>
    </w:p>
    <w:p>
      <w:pPr>
        <w:spacing w:after="0" w:line="17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1"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1" w:lineRule="exact"/>
        <w:rPr>
          <w:rFonts w:ascii="Times New Roman" w:cs="Times New Roman" w:eastAsia="Times New Roman" w:hAnsi="Times New Roman"/>
          <w:sz w:val="18"/>
          <w:szCs w:val="18"/>
          <w:color w:val="auto"/>
        </w:rPr>
      </w:pPr>
    </w:p>
    <w:p>
      <w:pPr>
        <w:ind w:left="1300" w:right="2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7" w:lineRule="exact"/>
        <w:rPr>
          <w:rFonts w:ascii="Times New Roman" w:cs="Times New Roman" w:eastAsia="Times New Roman" w:hAnsi="Times New Roman"/>
          <w:sz w:val="18"/>
          <w:szCs w:val="18"/>
          <w:color w:val="auto"/>
        </w:rPr>
      </w:pPr>
    </w:p>
    <w:p>
      <w:pPr>
        <w:jc w:val="both"/>
        <w:ind w:left="1300" w:hanging="320"/>
        <w:spacing w:after="0" w:line="266"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29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7" w:lineRule="exact"/>
        <w:rPr>
          <w:rFonts w:ascii="Times New Roman" w:cs="Times New Roman" w:eastAsia="Times New Roman" w:hAnsi="Times New Roman"/>
          <w:sz w:val="18"/>
          <w:szCs w:val="18"/>
          <w:color w:val="auto"/>
        </w:rPr>
      </w:pPr>
    </w:p>
    <w:p>
      <w:pPr>
        <w:ind w:left="1300" w:hanging="320"/>
        <w:spacing w:after="0" w:line="282" w:lineRule="auto"/>
        <w:tabs>
          <w:tab w:leader="none" w:pos="130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8" w:lineRule="exact"/>
        <w:rPr>
          <w:sz w:val="20"/>
          <w:szCs w:val="20"/>
          <w:color w:val="auto"/>
        </w:rPr>
      </w:pPr>
    </w:p>
    <w:p>
      <w:pPr>
        <w:ind w:left="60"/>
        <w:spacing w:after="0"/>
        <w:tabs>
          <w:tab w:leader="none" w:pos="70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600"/>
        <w:spacing w:after="0"/>
        <w:tabs>
          <w:tab w:leader="none" w:pos="72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3202305</wp:posOffset>
            </wp:positionH>
            <wp:positionV relativeFrom="paragraph">
              <wp:posOffset>14605</wp:posOffset>
            </wp:positionV>
            <wp:extent cx="393446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502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ectPr>
          <w:pgSz w:w="11900" w:h="16838" w:orient="portrait"/>
          <w:cols w:equalWidth="0" w:num="1">
            <w:col w:w="11240"/>
          </w:cols>
          <w:pgMar w:left="320" w:top="114"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20"/>
          <w:szCs w:val="20"/>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September 30, 2025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Company.</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20"/>
          <w:szCs w:val="20"/>
          <w:b w:val="1"/>
          <w:bCs w:val="1"/>
          <w:color w:val="auto"/>
        </w:rPr>
        <w:t>Exhibit 32.2</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Inc. (the “Company”),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Company for the quarterly period ended September 30, 2025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Company.</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58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Company,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0"/>
          <w:szCs w:val="20"/>
          <w:b w:val="1"/>
          <w:bCs w:val="1"/>
          <w:color w:val="auto"/>
        </w:rPr>
        <w:t>Exhibit 32.3</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Partnership for the quarterly period ended September 30, 2025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Partnership.</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580"/>
        <w:spacing w:after="0"/>
        <w:tabs>
          <w:tab w:leader="none" w:pos="70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EDWARD B. PITONIAK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Edward B. Pitoniak</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Executive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p>
      <w:pPr>
        <w:sectPr>
          <w:pgSz w:w="11900" w:h="16838" w:orient="portrait"/>
          <w:cols w:equalWidth="0" w:num="1">
            <w:col w:w="11240"/>
          </w:cols>
          <w:pgMar w:left="320" w:top="114"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0"/>
          <w:szCs w:val="20"/>
          <w:b w:val="1"/>
          <w:bCs w:val="1"/>
          <w:color w:val="auto"/>
        </w:rPr>
        <w:t>Exhibit 32.4</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18 U.S.C. § 1350, as created by Section 906 of the Sarbanes-Oxley Act of 2002, the undersigned officer of VICI Properties L.P. (the “Partnership”), hereby certifies, to such officer's knowledge, that:</w:t>
      </w:r>
    </w:p>
    <w:p>
      <w:pPr>
        <w:spacing w:after="0" w:line="108" w:lineRule="exact"/>
        <w:rPr>
          <w:sz w:val="20"/>
          <w:szCs w:val="20"/>
          <w:color w:val="auto"/>
        </w:rPr>
      </w:pPr>
    </w:p>
    <w:p>
      <w:pPr>
        <w:ind w:firstLine="413"/>
        <w:spacing w:after="0" w:line="282" w:lineRule="auto"/>
        <w:tabs>
          <w:tab w:leader="none" w:pos="642"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accompanying Quarterly Report on Form 10-Q of the Partnership for the quarterly period ended September 30, 2025 (the “Report”) fully complies with the requirements of Section 13(a) or Section 15(d), as applicable, of the Securities Exchange Act of 1934, as amended; and</w:t>
      </w:r>
    </w:p>
    <w:p>
      <w:pPr>
        <w:spacing w:after="0" w:line="10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(ii)the information contained in the Report fairly presents, in all material respects, the financial condition and results of operations of the Partnership.</w:t>
      </w:r>
    </w:p>
    <w:p>
      <w:pPr>
        <w:spacing w:after="0" w:line="212" w:lineRule="exact"/>
        <w:rPr>
          <w:sz w:val="20"/>
          <w:szCs w:val="20"/>
          <w:color w:val="auto"/>
        </w:rPr>
      </w:pPr>
    </w:p>
    <w:p>
      <w:pPr>
        <w:ind w:left="40"/>
        <w:spacing w:after="0"/>
        <w:tabs>
          <w:tab w:leader="none" w:pos="680" w:val="left"/>
        </w:tabs>
        <w:rPr>
          <w:sz w:val="20"/>
          <w:szCs w:val="20"/>
          <w:color w:val="auto"/>
        </w:rPr>
      </w:pPr>
      <w:r>
        <w:rPr>
          <w:rFonts w:ascii="Times New Roman" w:cs="Times New Roman" w:eastAsia="Times New Roman" w:hAnsi="Times New Roman"/>
          <w:sz w:val="18"/>
          <w:szCs w:val="18"/>
          <w:color w:val="auto"/>
        </w:rPr>
        <w:t>Date:</w:t>
        <w:tab/>
        <w:t>October 30, 2025</w:t>
      </w:r>
    </w:p>
    <w:p>
      <w:pPr>
        <w:spacing w:after="0" w:line="27" w:lineRule="exact"/>
        <w:rPr>
          <w:sz w:val="20"/>
          <w:szCs w:val="20"/>
          <w:color w:val="auto"/>
        </w:rPr>
      </w:pPr>
    </w:p>
    <w:p>
      <w:pPr>
        <w:ind w:left="4580"/>
        <w:spacing w:after="0"/>
        <w:tabs>
          <w:tab w:leader="none" w:pos="72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DAVID A. KIESKE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3194050</wp:posOffset>
            </wp:positionH>
            <wp:positionV relativeFrom="paragraph">
              <wp:posOffset>14605</wp:posOffset>
            </wp:positionV>
            <wp:extent cx="393446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3934460" cy="8255"/>
                    </a:xfrm>
                    <a:prstGeom prst="rect">
                      <a:avLst/>
                    </a:prstGeom>
                    <a:noFill/>
                  </pic:spPr>
                </pic:pic>
              </a:graphicData>
            </a:graphic>
          </wp:anchor>
        </w:drawing>
      </w:r>
    </w:p>
    <w:p>
      <w:pPr>
        <w:spacing w:after="0" w:line="7"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David A. Kieske</w:t>
      </w:r>
    </w:p>
    <w:p>
      <w:pPr>
        <w:spacing w:after="0" w:line="31" w:lineRule="exact"/>
        <w:rPr>
          <w:sz w:val="20"/>
          <w:szCs w:val="20"/>
          <w:color w:val="auto"/>
        </w:rPr>
      </w:pPr>
    </w:p>
    <w:p>
      <w:pPr>
        <w:jc w:val="center"/>
        <w:ind w:left="49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6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foregoing certification is being furnished solely to accompany the Report pursuant to 18 U.S.C. § 1350, and is not being filed for purposes of Section 18 of the Securities Exchange Act of 1934, as amended, and is not to be incorporated by reference into any filing of the Partnership, whether made before or after the date hereof, regardless of any general incorporation language in such filing.</w:t>
      </w:r>
    </w:p>
    <w:sectPr>
      <w:pgSz w:w="11900" w:h="16838" w:orient="portrait"/>
      <w:cols w:equalWidth="0" w:num="1">
        <w:col w:w="11240"/>
      </w:cols>
      <w:pgMar w:left="320" w:top="1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353D0CD"/>
    <w:multiLevelType w:val="hybridMultilevel"/>
    <w:lvl w:ilvl="0">
      <w:lvlJc w:val="left"/>
      <w:lvlText w:val="☒"/>
      <w:numFmt w:val="bullet"/>
      <w:start w:val="1"/>
    </w:lvl>
  </w:abstractNum>
  <w:abstractNum w:abstractNumId="1">
    <w:nsid w:val="B03E0C6"/>
    <w:multiLevelType w:val="hybridMultilevel"/>
    <w:lvl w:ilvl="0">
      <w:lvlJc w:val="left"/>
      <w:lvlText w:val="☐"/>
      <w:numFmt w:val="bullet"/>
      <w:start w:val="1"/>
    </w:lvl>
  </w:abstractNum>
  <w:abstractNum w:abstractNumId="2">
    <w:nsid w:val="189A769B"/>
    <w:multiLevelType w:val="hybridMultilevel"/>
    <w:lvl w:ilvl="0">
      <w:lvlJc w:val="left"/>
      <w:lvlText w:val="•"/>
      <w:numFmt w:val="bullet"/>
      <w:start w:val="1"/>
    </w:lvl>
  </w:abstractNum>
  <w:abstractNum w:abstractNumId="3">
    <w:nsid w:val="54E49EB4"/>
    <w:multiLevelType w:val="hybridMultilevel"/>
    <w:lvl w:ilvl="0">
      <w:lvlJc w:val="left"/>
      <w:lvlText w:val="•"/>
      <w:numFmt w:val="bullet"/>
      <w:start w:val="1"/>
    </w:lvl>
  </w:abstractNum>
  <w:abstractNum w:abstractNumId="4">
    <w:nsid w:val="71F32454"/>
    <w:multiLevelType w:val="hybridMultilevel"/>
    <w:lvl w:ilvl="0">
      <w:lvlJc w:val="left"/>
      <w:lvlText w:val="•"/>
      <w:numFmt w:val="bullet"/>
      <w:start w:val="1"/>
    </w:lvl>
  </w:abstractNum>
  <w:abstractNum w:abstractNumId="5">
    <w:nsid w:val="2CA88611"/>
    <w:multiLevelType w:val="hybridMultilevel"/>
    <w:lvl w:ilvl="0">
      <w:lvlJc w:val="left"/>
      <w:lvlText w:val="(%1)"/>
      <w:numFmt w:val="decimal"/>
      <w:start w:val="1"/>
    </w:lvl>
  </w:abstractNum>
  <w:abstractNum w:abstractNumId="6">
    <w:nsid w:val="836C40E"/>
    <w:multiLevelType w:val="hybridMultilevel"/>
    <w:lvl w:ilvl="0">
      <w:lvlJc w:val="left"/>
      <w:lvlText w:val="(%1)"/>
      <w:numFmt w:val="decimal"/>
      <w:start w:val="1"/>
    </w:lvl>
  </w:abstractNum>
  <w:abstractNum w:abstractNumId="7">
    <w:nsid w:val="2901D82"/>
    <w:multiLevelType w:val="hybridMultilevel"/>
    <w:lvl w:ilvl="0">
      <w:lvlJc w:val="left"/>
      <w:lvlText w:val="(%1)"/>
      <w:numFmt w:val="decimal"/>
      <w:start w:val="1"/>
    </w:lvl>
  </w:abstractNum>
  <w:abstractNum w:abstractNumId="8">
    <w:nsid w:val="3A95F874"/>
    <w:multiLevelType w:val="hybridMultilevel"/>
    <w:lvl w:ilvl="0">
      <w:lvlJc w:val="left"/>
      <w:lvlText w:val="%1"/>
      <w:numFmt w:val="decimal"/>
      <w:start w:val="25"/>
    </w:lvl>
  </w:abstractNum>
  <w:abstractNum w:abstractNumId="9">
    <w:nsid w:val="8138641"/>
    <w:multiLevelType w:val="hybridMultilevel"/>
    <w:lvl w:ilvl="0">
      <w:lvlJc w:val="left"/>
      <w:lvlText w:val="-"/>
      <w:numFmt w:val="bullet"/>
      <w:start w:val="1"/>
    </w:lvl>
  </w:abstractNum>
  <w:abstractNum w:abstractNumId="10">
    <w:nsid w:val="1E7FF521"/>
    <w:multiLevelType w:val="hybridMultilevel"/>
    <w:lvl w:ilvl="0">
      <w:lvlJc w:val="left"/>
      <w:lvlText w:val="%1"/>
      <w:numFmt w:val="decimal"/>
      <w:start w:val="30"/>
    </w:lvl>
  </w:abstractNum>
  <w:abstractNum w:abstractNumId="11">
    <w:nsid w:val="7C3DBD3D"/>
    <w:multiLevelType w:val="hybridMultilevel"/>
    <w:lvl w:ilvl="0">
      <w:lvlJc w:val="left"/>
      <w:lvlText w:val="\endash "/>
      <w:numFmt w:val="bullet"/>
      <w:start w:val="1"/>
    </w:lvl>
  </w:abstractNum>
  <w:abstractNum w:abstractNumId="12">
    <w:nsid w:val="737B8DDC"/>
    <w:multiLevelType w:val="hybridMultilevel"/>
    <w:lvl w:ilvl="0">
      <w:lvlJc w:val="left"/>
      <w:lvlText w:val="(%1)"/>
      <w:numFmt w:val="decimal"/>
      <w:start w:val="1"/>
    </w:lvl>
  </w:abstractNum>
  <w:abstractNum w:abstractNumId="13">
    <w:nsid w:val="6CEAF087"/>
    <w:multiLevelType w:val="hybridMultilevel"/>
    <w:lvl w:ilvl="0">
      <w:lvlJc w:val="left"/>
      <w:lvlText w:val="(%1)"/>
      <w:numFmt w:val="decimal"/>
      <w:start w:val="1"/>
    </w:lvl>
  </w:abstractNum>
  <w:abstractNum w:abstractNumId="14">
    <w:nsid w:val="22221A70"/>
    <w:multiLevelType w:val="hybridMultilevel"/>
    <w:lvl w:ilvl="0">
      <w:lvlJc w:val="left"/>
      <w:lvlText w:val="(%1)"/>
      <w:numFmt w:val="decimal"/>
      <w:start w:val="1"/>
    </w:lvl>
  </w:abstractNum>
  <w:abstractNum w:abstractNumId="15">
    <w:nsid w:val="4516DDE9"/>
    <w:multiLevelType w:val="hybridMultilevel"/>
    <w:lvl w:ilvl="0">
      <w:lvlJc w:val="left"/>
      <w:lvlText w:val="(%1)"/>
      <w:numFmt w:val="decimal"/>
      <w:start w:val="1"/>
    </w:lvl>
  </w:abstractNum>
  <w:abstractNum w:abstractNumId="16">
    <w:nsid w:val="3006C83E"/>
    <w:multiLevelType w:val="hybridMultilevel"/>
    <w:lvl w:ilvl="0">
      <w:lvlJc w:val="left"/>
      <w:lvlText w:val="(%1)"/>
      <w:numFmt w:val="decimal"/>
      <w:start w:val="1"/>
    </w:lvl>
  </w:abstractNum>
  <w:abstractNum w:abstractNumId="17">
    <w:nsid w:val="614FD4A1"/>
    <w:multiLevelType w:val="hybridMultilevel"/>
    <w:lvl w:ilvl="0">
      <w:lvlJc w:val="left"/>
      <w:lvlText w:val="(%1)"/>
      <w:numFmt w:val="decimal"/>
      <w:start w:val="1"/>
    </w:lvl>
  </w:abstractNum>
  <w:abstractNum w:abstractNumId="18">
    <w:nsid w:val="419AC241"/>
    <w:multiLevelType w:val="hybridMultilevel"/>
    <w:lvl w:ilvl="0">
      <w:lvlJc w:val="left"/>
      <w:lvlText w:val="(%1)"/>
      <w:numFmt w:val="decimal"/>
      <w:start w:val="1"/>
    </w:lvl>
  </w:abstractNum>
  <w:abstractNum w:abstractNumId="19">
    <w:nsid w:val="5577F8E1"/>
    <w:multiLevelType w:val="hybridMultilevel"/>
    <w:lvl w:ilvl="0">
      <w:lvlJc w:val="left"/>
      <w:lvlText w:val="(%1)"/>
      <w:numFmt w:val="decimal"/>
      <w:start w:val="4"/>
    </w:lvl>
  </w:abstractNum>
  <w:abstractNum w:abstractNumId="20">
    <w:nsid w:val="440BADFC"/>
    <w:multiLevelType w:val="hybridMultilevel"/>
    <w:lvl w:ilvl="0">
      <w:lvlJc w:val="left"/>
      <w:lvlText w:val="(%1)"/>
      <w:numFmt w:val="lowerRoman"/>
      <w:start w:val="8"/>
    </w:lvl>
  </w:abstractNum>
  <w:abstractNum w:abstractNumId="21">
    <w:nsid w:val="5072367"/>
    <w:multiLevelType w:val="hybridMultilevel"/>
    <w:lvl w:ilvl="0">
      <w:lvlJc w:val="left"/>
      <w:lvlText w:val="(%1)"/>
      <w:numFmt w:val="decimal"/>
      <w:start w:val="1"/>
    </w:lvl>
  </w:abstractNum>
  <w:abstractNum w:abstractNumId="22">
    <w:nsid w:val="3804823E"/>
    <w:multiLevelType w:val="hybridMultilevel"/>
    <w:lvl w:ilvl="0">
      <w:lvlJc w:val="left"/>
      <w:lvlText w:val="(%1)"/>
      <w:numFmt w:val="decimal"/>
      <w:start w:val="1"/>
    </w:lvl>
  </w:abstractNum>
  <w:abstractNum w:abstractNumId="23">
    <w:nsid w:val="77465F01"/>
    <w:multiLevelType w:val="hybridMultilevel"/>
    <w:lvl w:ilvl="0">
      <w:lvlJc w:val="left"/>
      <w:lvlText w:val="•"/>
      <w:numFmt w:val="bullet"/>
      <w:start w:val="1"/>
    </w:lvl>
  </w:abstractNum>
  <w:abstractNum w:abstractNumId="24">
    <w:nsid w:val="7724C67E"/>
    <w:multiLevelType w:val="hybridMultilevel"/>
    <w:lvl w:ilvl="0">
      <w:lvlJc w:val="left"/>
      <w:lvlText w:val="(%1)"/>
      <w:numFmt w:val="decimal"/>
      <w:start w:val="1"/>
    </w:lvl>
  </w:abstractNum>
  <w:abstractNum w:abstractNumId="25">
    <w:nsid w:val="5C482A97"/>
    <w:multiLevelType w:val="hybridMultilevel"/>
    <w:lvl w:ilvl="0">
      <w:lvlJc w:val="left"/>
      <w:lvlText w:val="(%1)"/>
      <w:numFmt w:val="decimal"/>
      <w:start w:val="1"/>
    </w:lvl>
  </w:abstractNum>
  <w:abstractNum w:abstractNumId="26">
    <w:nsid w:val="2463B9EA"/>
    <w:multiLevelType w:val="hybridMultilevel"/>
    <w:lvl w:ilvl="0">
      <w:lvlJc w:val="left"/>
      <w:lvlText w:val="•"/>
      <w:numFmt w:val="bullet"/>
      <w:start w:val="1"/>
    </w:lvl>
  </w:abstractNum>
  <w:abstractNum w:abstractNumId="27">
    <w:nsid w:val="5E884ADC"/>
    <w:multiLevelType w:val="hybridMultilevel"/>
    <w:lvl w:ilvl="0">
      <w:lvlJc w:val="left"/>
      <w:lvlText w:val="•"/>
      <w:numFmt w:val="bullet"/>
      <w:start w:val="1"/>
    </w:lvl>
  </w:abstractNum>
  <w:abstractNum w:abstractNumId="28">
    <w:nsid w:val="51EAD36B"/>
    <w:multiLevelType w:val="hybridMultilevel"/>
    <w:lvl w:ilvl="0">
      <w:lvlJc w:val="left"/>
      <w:lvlText w:val="•"/>
      <w:numFmt w:val="bullet"/>
      <w:start w:val="1"/>
    </w:lvl>
  </w:abstractNum>
  <w:abstractNum w:abstractNumId="29">
    <w:nsid w:val="2D517796"/>
    <w:multiLevelType w:val="hybridMultilevel"/>
    <w:lvl w:ilvl="0">
      <w:lvlJc w:val="left"/>
      <w:lvlText w:val="•"/>
      <w:numFmt w:val="bullet"/>
      <w:start w:val="1"/>
    </w:lvl>
    <w:lvl w:ilvl="1">
      <w:lvlJc w:val="left"/>
      <w:lvlText w:val="(%2)"/>
      <w:numFmt w:val="lowerRoman"/>
      <w:start w:val="1"/>
    </w:lvl>
  </w:abstractNum>
  <w:abstractNum w:abstractNumId="30">
    <w:nsid w:val="580BD78F"/>
    <w:multiLevelType w:val="hybridMultilevel"/>
    <w:lvl w:ilvl="0">
      <w:lvlJc w:val="left"/>
      <w:lvlText w:val="•"/>
      <w:numFmt w:val="bullet"/>
      <w:start w:val="1"/>
    </w:lvl>
    <w:lvl w:ilvl="1">
      <w:lvlJc w:val="left"/>
      <w:lvlText w:val="(%2)"/>
      <w:numFmt w:val="lowerRoman"/>
      <w:start w:val="3"/>
    </w:lvl>
  </w:abstractNum>
  <w:abstractNum w:abstractNumId="31">
    <w:nsid w:val="153EA438"/>
    <w:multiLevelType w:val="hybridMultilevel"/>
    <w:lvl w:ilvl="0">
      <w:lvlJc w:val="left"/>
      <w:lvlText w:val="(%1)"/>
      <w:numFmt w:val="decimal"/>
      <w:start w:val="1"/>
    </w:lvl>
  </w:abstractNum>
  <w:abstractNum w:abstractNumId="32">
    <w:nsid w:val="3855585C"/>
    <w:multiLevelType w:val="hybridMultilevel"/>
    <w:lvl w:ilvl="0">
      <w:lvlJc w:val="left"/>
      <w:lvlText w:val="(%1)"/>
      <w:numFmt w:val="decimal"/>
      <w:start w:val="1"/>
    </w:lvl>
  </w:abstractNum>
  <w:abstractNum w:abstractNumId="33">
    <w:nsid w:val="70A64E2A"/>
    <w:multiLevelType w:val="hybridMultilevel"/>
    <w:lvl w:ilvl="0">
      <w:lvlJc w:val="left"/>
      <w:lvlText w:val="(%1)"/>
      <w:numFmt w:val="decimal"/>
      <w:start w:val="1"/>
    </w:lvl>
  </w:abstractNum>
  <w:abstractNum w:abstractNumId="34">
    <w:nsid w:val="6A2342EC"/>
    <w:multiLevelType w:val="hybridMultilevel"/>
    <w:lvl w:ilvl="0">
      <w:lvlJc w:val="left"/>
      <w:lvlText w:val="(%1)"/>
      <w:numFmt w:val="decimal"/>
      <w:start w:val="1"/>
    </w:lvl>
  </w:abstractNum>
  <w:abstractNum w:abstractNumId="35">
    <w:nsid w:val="2A487CB0"/>
    <w:multiLevelType w:val="hybridMultilevel"/>
    <w:lvl w:ilvl="0">
      <w:lvlJc w:val="left"/>
      <w:lvlText w:val="•"/>
      <w:numFmt w:val="bullet"/>
      <w:start w:val="1"/>
    </w:lvl>
  </w:abstractNum>
  <w:abstractNum w:abstractNumId="36">
    <w:nsid w:val="1D4ED43B"/>
    <w:multiLevelType w:val="hybridMultilevel"/>
    <w:lvl w:ilvl="0">
      <w:lvlJc w:val="left"/>
      <w:lvlText w:val="•"/>
      <w:numFmt w:val="bullet"/>
      <w:start w:val="1"/>
    </w:lvl>
  </w:abstractNum>
  <w:abstractNum w:abstractNumId="37">
    <w:nsid w:val="725A06FB"/>
    <w:multiLevelType w:val="hybridMultilevel"/>
    <w:lvl w:ilvl="0">
      <w:lvlJc w:val="left"/>
      <w:lvlText w:val="•"/>
      <w:numFmt w:val="bullet"/>
      <w:start w:val="1"/>
    </w:lvl>
  </w:abstractNum>
  <w:abstractNum w:abstractNumId="38">
    <w:nsid w:val="2CD89A32"/>
    <w:multiLevelType w:val="hybridMultilevel"/>
    <w:lvl w:ilvl="0">
      <w:lvlJc w:val="left"/>
      <w:lvlText w:val="•"/>
      <w:numFmt w:val="bullet"/>
      <w:start w:val="1"/>
    </w:lvl>
  </w:abstractNum>
  <w:abstractNum w:abstractNumId="39">
    <w:nsid w:val="57E4CCAF"/>
    <w:multiLevelType w:val="hybridMultilevel"/>
    <w:lvl w:ilvl="0">
      <w:lvlJc w:val="left"/>
      <w:lvlText w:val="•"/>
      <w:numFmt w:val="bullet"/>
      <w:start w:val="1"/>
    </w:lvl>
  </w:abstractNum>
  <w:abstractNum w:abstractNumId="40">
    <w:nsid w:val="7A6D8D3C"/>
    <w:multiLevelType w:val="hybridMultilevel"/>
    <w:lvl w:ilvl="0">
      <w:lvlJc w:val="left"/>
      <w:lvlText w:val="(%1)"/>
      <w:numFmt w:val="decimal"/>
      <w:start w:val="1"/>
    </w:lvl>
  </w:abstractNum>
  <w:abstractNum w:abstractNumId="41">
    <w:nsid w:val="4B588F54"/>
    <w:multiLevelType w:val="hybridMultilevel"/>
    <w:lvl w:ilvl="0">
      <w:lvlJc w:val="left"/>
      <w:lvlText w:val="*"/>
      <w:numFmt w:val="bullet"/>
      <w:start w:val="1"/>
    </w:lvl>
    <w:lvl w:ilvl="1">
      <w:lvlJc w:val="left"/>
      <w:lvlText w:val="%2"/>
      <w:numFmt w:val="decimal"/>
      <w:start w:val="104"/>
    </w:lvl>
  </w:abstractNum>
  <w:abstractNum w:abstractNumId="42">
    <w:nsid w:val="542289EC"/>
    <w:multiLevelType w:val="hybridMultilevel"/>
    <w:lvl w:ilvl="0">
      <w:lvlJc w:val="left"/>
      <w:lvlText w:val="%1."/>
      <w:numFmt w:val="decimal"/>
      <w:start w:val="1"/>
    </w:lvl>
    <w:lvl w:ilvl="1">
      <w:lvlJc w:val="left"/>
      <w:lvlText w:val="%2."/>
      <w:numFmt w:val="lowerLetter"/>
      <w:start w:val="1"/>
    </w:lvl>
  </w:abstractNum>
  <w:abstractNum w:abstractNumId="43">
    <w:nsid w:val="6DE91B18"/>
    <w:multiLevelType w:val="hybridMultilevel"/>
    <w:lvl w:ilvl="0">
      <w:lvlJc w:val="left"/>
      <w:lvlText w:val="%1."/>
      <w:numFmt w:val="decimal"/>
      <w:start w:val="1"/>
    </w:lvl>
    <w:lvl w:ilvl="1">
      <w:lvlJc w:val="left"/>
      <w:lvlText w:val="%2."/>
      <w:numFmt w:val="lowerLetter"/>
      <w:start w:val="1"/>
    </w:lvl>
  </w:abstractNum>
  <w:abstractNum w:abstractNumId="44">
    <w:nsid w:val="38437FDB"/>
    <w:multiLevelType w:val="hybridMultilevel"/>
    <w:lvl w:ilvl="0">
      <w:lvlJc w:val="left"/>
      <w:lvlText w:val="%1."/>
      <w:numFmt w:val="decimal"/>
      <w:start w:val="1"/>
    </w:lvl>
    <w:lvl w:ilvl="1">
      <w:lvlJc w:val="left"/>
      <w:lvlText w:val="%2."/>
      <w:numFmt w:val="lowerLetter"/>
      <w:start w:val="1"/>
    </w:lvl>
  </w:abstractNum>
  <w:abstractNum w:abstractNumId="45">
    <w:nsid w:val="7644A45C"/>
    <w:multiLevelType w:val="hybridMultilevel"/>
    <w:lvl w:ilvl="0">
      <w:lvlJc w:val="left"/>
      <w:lvlText w:val="%1."/>
      <w:numFmt w:val="decimal"/>
      <w:start w:val="1"/>
    </w:lvl>
    <w:lvl w:ilvl="1">
      <w:lvlJc w:val="left"/>
      <w:lvlText w:val="%2."/>
      <w:numFmt w:val="lowerLetter"/>
      <w:start w:val="1"/>
    </w:lvl>
  </w:abstractNum>
  <w:abstractNum w:abstractNumId="46">
    <w:nsid w:val="32FFF902"/>
    <w:multiLevelType w:val="hybridMultilevel"/>
    <w:lvl w:ilvl="0">
      <w:lvlJc w:val="left"/>
      <w:lvlText w:val="(%1)"/>
      <w:numFmt w:val="lowerRoman"/>
      <w:start w:val="1"/>
    </w:lvl>
  </w:abstractNum>
  <w:abstractNum w:abstractNumId="47">
    <w:nsid w:val="684A481A"/>
    <w:multiLevelType w:val="hybridMultilevel"/>
    <w:lvl w:ilvl="0">
      <w:lvlJc w:val="left"/>
      <w:lvlText w:val="(%1)"/>
      <w:numFmt w:val="lowerRoman"/>
      <w:start w:val="1"/>
    </w:lvl>
  </w:abstractNum>
  <w:abstractNum w:abstractNumId="48">
    <w:nsid w:val="579478FE"/>
    <w:multiLevelType w:val="hybridMultilevel"/>
    <w:lvl w:ilvl="0">
      <w:lvlJc w:val="left"/>
      <w:lvlText w:val="(%1)"/>
      <w:numFmt w:val="lowerRoman"/>
      <w:start w:val="1"/>
    </w:lvl>
  </w:abstractNum>
  <w:abstractNum w:abstractNumId="49">
    <w:nsid w:val="749ABB43"/>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28" Type="http://schemas.openxmlformats.org/officeDocument/2006/relationships/hyperlink" Target="https://www.sec.gov/ix?doc=/Archives/edgar/data/0001705696/000170569625000033/vici-2024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2025-10-30T15:45:44Z</dcterms:created>
  <dcterms:modified xsi:type="dcterms:W3CDTF">2025-10-30T15:45:44Z</dcterms:modified>
</cp:coreProperties>
</file>