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80" w:after="283"/>
        <w:jc w:val="both"/>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80" w:after="283"/>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Quarterly Period Ended March 31, 2024</w:t>
      </w:r>
    </w:p>
    <w:p>
      <w:pPr>
        <w:pStyle w:val="TextBody"/>
        <w:bidi w:val="0"/>
        <w:spacing w:lineRule="auto" w:line="288" w:before="60" w:after="283"/>
        <w:jc w:val="center"/>
        <w:rPr>
          <w:rFonts w:ascii="Times New Roman;sans-serif" w:hAnsi="Times New Roman;sans-serif"/>
          <w:b/>
          <w:color w:val="000000"/>
          <w:sz w:val="18"/>
        </w:rPr>
      </w:pPr>
      <w:r>
        <w:rPr>
          <w:rFonts w:ascii="Times New Roman;sans-serif" w:hAnsi="Times New Roman;sans-serif"/>
          <w:b/>
          <w:color w:val="000000"/>
          <w:sz w:val="18"/>
        </w:rPr>
        <w:t>or</w:t>
      </w:r>
    </w:p>
    <w:tbl>
      <w:tblPr>
        <w:tblW w:w="9930" w:type="dxa"/>
        <w:jc w:val="center"/>
        <w:tblInd w:w="0" w:type="dxa"/>
        <w:tblLayout w:type="fixed"/>
        <w:tblCellMar>
          <w:top w:w="28" w:type="dxa"/>
          <w:left w:w="28" w:type="dxa"/>
          <w:bottom w:w="28" w:type="dxa"/>
          <w:right w:w="28" w:type="dxa"/>
        </w:tblCellMar>
      </w:tblPr>
      <w:tblGrid>
        <w:gridCol w:w="124"/>
        <w:gridCol w:w="109"/>
        <w:gridCol w:w="109"/>
        <w:gridCol w:w="109"/>
        <w:gridCol w:w="2773"/>
        <w:gridCol w:w="2773"/>
        <w:gridCol w:w="393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2773" w:type="dxa"/>
            <w:tcBorders/>
            <w:vAlign w:val="center"/>
          </w:tcPr>
          <w:p>
            <w:pPr>
              <w:pStyle w:val="TableContents"/>
              <w:bidi w:val="0"/>
              <w:spacing w:before="0" w:after="283"/>
              <w:jc w:val="left"/>
              <w:rPr>
                <w:sz w:val="4"/>
                <w:szCs w:val="4"/>
              </w:rPr>
            </w:pPr>
            <w:r>
              <w:rPr>
                <w:sz w:val="4"/>
                <w:szCs w:val="4"/>
              </w:rPr>
            </w:r>
          </w:p>
        </w:tc>
        <w:tc>
          <w:tcPr>
            <w:tcW w:w="3933"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For the transition period from _________ to __________</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001-38372 (VICI Properties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Commission file number: 333-264352-01 (VICI Properties L.P.)</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 xml:space="preserve">VICI Properties Inc. </w:t>
      </w:r>
    </w:p>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VICI Properties L.P.</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(Exact name of registrant as specified in its charter)</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tbl>
      <w:tblPr>
        <w:tblW w:w="9268" w:type="dxa"/>
        <w:jc w:val="center"/>
        <w:tblInd w:w="0" w:type="dxa"/>
        <w:tblLayout w:type="fixed"/>
        <w:tblCellMar>
          <w:top w:w="28" w:type="dxa"/>
          <w:left w:w="28" w:type="dxa"/>
          <w:bottom w:w="28" w:type="dxa"/>
          <w:right w:w="28" w:type="dxa"/>
        </w:tblCellMar>
      </w:tblPr>
      <w:tblGrid>
        <w:gridCol w:w="1648"/>
        <w:gridCol w:w="1450"/>
        <w:gridCol w:w="1462"/>
        <w:gridCol w:w="654"/>
        <w:gridCol w:w="654"/>
        <w:gridCol w:w="656"/>
        <w:gridCol w:w="801"/>
        <w:gridCol w:w="801"/>
        <w:gridCol w:w="1142"/>
      </w:tblGrid>
      <w:tr>
        <w:trPr/>
        <w:tc>
          <w:tcPr>
            <w:tcW w:w="1648" w:type="dxa"/>
            <w:tcBorders/>
            <w:vAlign w:val="center"/>
          </w:tcPr>
          <w:p>
            <w:pPr>
              <w:pStyle w:val="TableContents"/>
              <w:bidi w:val="0"/>
              <w:spacing w:before="0" w:after="283"/>
              <w:jc w:val="left"/>
              <w:rPr>
                <w:sz w:val="4"/>
                <w:szCs w:val="4"/>
              </w:rPr>
            </w:pPr>
            <w:r>
              <w:rPr>
                <w:sz w:val="4"/>
                <w:szCs w:val="4"/>
              </w:rPr>
            </w:r>
          </w:p>
        </w:tc>
        <w:tc>
          <w:tcPr>
            <w:tcW w:w="1450" w:type="dxa"/>
            <w:tcBorders/>
            <w:vAlign w:val="center"/>
          </w:tcPr>
          <w:p>
            <w:pPr>
              <w:pStyle w:val="TableContents"/>
              <w:bidi w:val="0"/>
              <w:spacing w:before="0" w:after="283"/>
              <w:jc w:val="left"/>
              <w:rPr>
                <w:sz w:val="4"/>
                <w:szCs w:val="4"/>
              </w:rPr>
            </w:pPr>
            <w:r>
              <w:rPr>
                <w:sz w:val="4"/>
                <w:szCs w:val="4"/>
              </w:rPr>
            </w:r>
          </w:p>
        </w:tc>
        <w:tc>
          <w:tcPr>
            <w:tcW w:w="1462"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Maryland</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Inc.)</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81-4177147</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(VICI Properties L.P.)</w:t>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35-2576503</w:t>
            </w:r>
          </w:p>
        </w:tc>
      </w:tr>
      <w:tr>
        <w:trPr/>
        <w:tc>
          <w:tcPr>
            <w:tcW w:w="4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 incorporation or organization)</w:t>
            </w:r>
          </w:p>
        </w:tc>
        <w:tc>
          <w:tcPr>
            <w:tcW w:w="1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 Identification No.)</w:t>
            </w:r>
          </w:p>
        </w:tc>
      </w:tr>
    </w:tbl>
    <w:p>
      <w:pPr>
        <w:pStyle w:val="TextBody"/>
        <w:bidi w:val="0"/>
        <w:spacing w:lineRule="auto" w:line="288" w:before="60" w:after="283"/>
        <w:jc w:val="center"/>
        <w:rPr>
          <w:rFonts w:ascii="Times New Roman;sans-serif" w:hAnsi="Times New Roman;sans-serif"/>
          <w:b/>
          <w:color w:val="000000"/>
          <w:sz w:val="20"/>
        </w:rPr>
      </w:pPr>
      <w:r>
        <w:rPr>
          <w:rFonts w:ascii="Times New Roman;sans-serif" w:hAnsi="Times New Roman;sans-serif"/>
          <w:b/>
          <w:color w:val="000000"/>
          <w:sz w:val="20"/>
        </w:rPr>
        <w:t xml:space="preserve">535 Madison Avenue, 20th Floor New York, New York 10022 </w:t>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 (Zip Code)</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(646) 949-4631 </w:t>
      </w:r>
    </w:p>
    <w:p>
      <w:pPr>
        <w:pStyle w:val="TextBody"/>
        <w:bidi w:val="0"/>
        <w:spacing w:lineRule="auto" w:line="288" w:before="0" w:after="0"/>
        <w:jc w:val="center"/>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w:t>
      </w:r>
    </w:p>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Securities registered pursuant to Section 12(b) of the Act:</w:t>
      </w:r>
    </w:p>
    <w:tbl>
      <w:tblPr>
        <w:tblW w:w="7881" w:type="dxa"/>
        <w:jc w:val="left"/>
        <w:tblInd w:w="0" w:type="dxa"/>
        <w:tblLayout w:type="fixed"/>
        <w:tblCellMar>
          <w:top w:w="28" w:type="dxa"/>
          <w:left w:w="28" w:type="dxa"/>
          <w:bottom w:w="28" w:type="dxa"/>
          <w:right w:w="28" w:type="dxa"/>
        </w:tblCellMar>
      </w:tblPr>
      <w:tblGrid>
        <w:gridCol w:w="861"/>
        <w:gridCol w:w="757"/>
        <w:gridCol w:w="766"/>
        <w:gridCol w:w="109"/>
        <w:gridCol w:w="109"/>
        <w:gridCol w:w="109"/>
        <w:gridCol w:w="454"/>
        <w:gridCol w:w="454"/>
        <w:gridCol w:w="456"/>
        <w:gridCol w:w="109"/>
        <w:gridCol w:w="109"/>
        <w:gridCol w:w="109"/>
        <w:gridCol w:w="1019"/>
        <w:gridCol w:w="1019"/>
        <w:gridCol w:w="1441"/>
      </w:tblGrid>
      <w:tr>
        <w:trPr/>
        <w:tc>
          <w:tcPr>
            <w:tcW w:w="86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ans-serif" w:hAnsi="Times New Roman;sans-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Name of each exchange on which registered</w:t>
            </w:r>
          </w:p>
        </w:tc>
      </w:tr>
      <w:tr>
        <w:trPr/>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VICI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180"/>
              <w:jc w:val="center"/>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w:t>
      </w:r>
    </w:p>
    <w:tbl>
      <w:tblPr>
        <w:tblW w:w="7091" w:type="dxa"/>
        <w:jc w:val="left"/>
        <w:tblInd w:w="0" w:type="dxa"/>
        <w:tblLayout w:type="fixed"/>
        <w:tblCellMar>
          <w:top w:w="28" w:type="dxa"/>
          <w:left w:w="28" w:type="dxa"/>
          <w:bottom w:w="28" w:type="dxa"/>
          <w:right w:w="28" w:type="dxa"/>
        </w:tblCellMar>
      </w:tblPr>
      <w:tblGrid>
        <w:gridCol w:w="1206"/>
        <w:gridCol w:w="1060"/>
        <w:gridCol w:w="1064"/>
        <w:gridCol w:w="109"/>
        <w:gridCol w:w="109"/>
        <w:gridCol w:w="109"/>
        <w:gridCol w:w="1005"/>
        <w:gridCol w:w="1005"/>
        <w:gridCol w:w="1424"/>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005"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w:t>
            </w:r>
            <w:r>
              <w:rPr>
                <w:color w:val="000000"/>
              </w:rPr>
              <w:t>☒    </w:t>
            </w:r>
            <w:r>
              <w:rPr>
                <w:rFonts w:ascii="Times New Roman;sans-serif" w:hAnsi="Times New Roman;sans-serif"/>
                <w:b w:val="false"/>
                <w:color w:val="000000"/>
                <w:sz w:val="18"/>
              </w:rPr>
              <w:t>No  </w:t>
            </w:r>
            <w:r>
              <w:rPr>
                <w:color w:val="000000"/>
              </w:rPr>
              <w:t>☐</w:t>
            </w:r>
          </w:p>
        </w:tc>
      </w:tr>
    </w:tbl>
    <w:p>
      <w:pPr>
        <w:pStyle w:val="TextBody"/>
        <w:bidi w:val="0"/>
        <w:spacing w:lineRule="auto" w:line="288" w:before="6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tbl>
      <w:tblPr>
        <w:tblW w:w="9544" w:type="dxa"/>
        <w:jc w:val="left"/>
        <w:tblInd w:w="0" w:type="dxa"/>
        <w:tblLayout w:type="fixed"/>
        <w:tblCellMar>
          <w:top w:w="28" w:type="dxa"/>
          <w:left w:w="28" w:type="dxa"/>
          <w:bottom w:w="28" w:type="dxa"/>
          <w:right w:w="28" w:type="dxa"/>
        </w:tblCellMar>
      </w:tblPr>
      <w:tblGrid>
        <w:gridCol w:w="640"/>
        <w:gridCol w:w="563"/>
        <w:gridCol w:w="567"/>
        <w:gridCol w:w="129"/>
        <w:gridCol w:w="129"/>
        <w:gridCol w:w="129"/>
        <w:gridCol w:w="678"/>
        <w:gridCol w:w="678"/>
        <w:gridCol w:w="683"/>
        <w:gridCol w:w="129"/>
        <w:gridCol w:w="129"/>
        <w:gridCol w:w="129"/>
        <w:gridCol w:w="109"/>
        <w:gridCol w:w="109"/>
        <w:gridCol w:w="109"/>
        <w:gridCol w:w="584"/>
        <w:gridCol w:w="584"/>
        <w:gridCol w:w="586"/>
        <w:gridCol w:w="131"/>
        <w:gridCol w:w="131"/>
        <w:gridCol w:w="131"/>
        <w:gridCol w:w="678"/>
        <w:gridCol w:w="678"/>
        <w:gridCol w:w="683"/>
        <w:gridCol w:w="131"/>
        <w:gridCol w:w="131"/>
        <w:gridCol w:w="186"/>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83"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Inc.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4"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VICI Properties L.P.</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9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8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44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tbl>
      <w:tblPr>
        <w:tblW w:w="4932" w:type="dxa"/>
        <w:jc w:val="left"/>
        <w:tblInd w:w="0" w:type="dxa"/>
        <w:tblLayout w:type="fixed"/>
        <w:tblCellMar>
          <w:top w:w="28" w:type="dxa"/>
          <w:left w:w="28" w:type="dxa"/>
          <w:bottom w:w="28" w:type="dxa"/>
          <w:right w:w="28" w:type="dxa"/>
        </w:tblCellMar>
      </w:tblPr>
      <w:tblGrid>
        <w:gridCol w:w="837"/>
        <w:gridCol w:w="735"/>
        <w:gridCol w:w="738"/>
        <w:gridCol w:w="109"/>
        <w:gridCol w:w="109"/>
        <w:gridCol w:w="109"/>
        <w:gridCol w:w="671"/>
        <w:gridCol w:w="671"/>
        <w:gridCol w:w="953"/>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w:t>
            </w:r>
            <w:r>
              <w:rPr>
                <w:color w:val="000000"/>
              </w:rPr>
              <w:t xml:space="preserv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5"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rFonts w:ascii="Times New Roman;sans-serif" w:hAnsi="Times New Roman;sans-serif"/>
                <w:b w:val="false"/>
                <w:color w:val="000000"/>
                <w:sz w:val="18"/>
              </w:rPr>
            </w:pPr>
            <w:r>
              <w:rPr>
                <w:rFonts w:ascii="Times New Roman;sans-serif" w:hAnsi="Times New Roman;sans-serif"/>
                <w:b w:val="false"/>
                <w:color w:val="000000"/>
                <w:sz w:val="18"/>
              </w:rPr>
              <w:t>VICI Properties L.P.  ☐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shell company (as defined in Rule 12b-2 of the Exchange Act).    </w:t>
      </w:r>
    </w:p>
    <w:tbl>
      <w:tblPr>
        <w:tblW w:w="7045" w:type="dxa"/>
        <w:jc w:val="left"/>
        <w:tblInd w:w="0" w:type="dxa"/>
        <w:tblLayout w:type="fixed"/>
        <w:tblCellMar>
          <w:top w:w="28" w:type="dxa"/>
          <w:left w:w="28" w:type="dxa"/>
          <w:bottom w:w="28" w:type="dxa"/>
          <w:right w:w="28" w:type="dxa"/>
        </w:tblCellMar>
      </w:tblPr>
      <w:tblGrid>
        <w:gridCol w:w="1222"/>
        <w:gridCol w:w="1075"/>
        <w:gridCol w:w="1077"/>
        <w:gridCol w:w="109"/>
        <w:gridCol w:w="109"/>
        <w:gridCol w:w="109"/>
        <w:gridCol w:w="978"/>
        <w:gridCol w:w="978"/>
        <w:gridCol w:w="1388"/>
      </w:tblGrid>
      <w:tr>
        <w:trPr/>
        <w:tc>
          <w:tcPr>
            <w:tcW w:w="1222"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r>
      <w:tr>
        <w:trPr/>
        <w:tc>
          <w:tcPr>
            <w:tcW w:w="3374"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360"/>
              <w:jc w:val="left"/>
              <w:rPr/>
            </w:pPr>
            <w:r>
              <w:rPr>
                <w:rFonts w:ascii="Times New Roman;sans-serif" w:hAnsi="Times New Roman;sans-serif"/>
                <w:b w:val="false"/>
                <w:color w:val="000000"/>
                <w:sz w:val="18"/>
              </w:rPr>
              <w:t>VICI Properties Inc. Yes   </w:t>
            </w:r>
            <w:r>
              <w:rPr>
                <w:color w:val="000000"/>
              </w:rPr>
              <w:t>☐   </w:t>
            </w:r>
            <w:r>
              <w:rPr>
                <w:rFonts w:ascii="Times New Roman;sans-serif" w:hAnsi="Times New Roman;sans-serif"/>
                <w:b w:val="false"/>
                <w:color w:val="000000"/>
                <w:sz w:val="18"/>
              </w:rPr>
              <w:t>No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360"/>
              <w:jc w:val="left"/>
              <w:rPr/>
            </w:pPr>
            <w:r>
              <w:rPr>
                <w:rFonts w:ascii="Times New Roman;sans-serif" w:hAnsi="Times New Roman;sans-serif"/>
                <w:b w:val="false"/>
                <w:color w:val="000000"/>
                <w:sz w:val="18"/>
              </w:rPr>
              <w:t>VICI Properties L.P.  Yes  ☐   No  </w:t>
            </w:r>
            <w:r>
              <w:rPr>
                <w:color w:val="000000"/>
              </w:rPr>
              <w:t>☒ </w:t>
            </w:r>
          </w:p>
        </w:tc>
      </w:tr>
    </w:tbl>
    <w:p>
      <w:pPr>
        <w:pStyle w:val="TextBody"/>
        <w:bidi w:val="0"/>
        <w:spacing w:lineRule="auto" w:line="288" w:before="120" w:after="283"/>
        <w:ind w:left="0" w:right="0" w:firstLine="360"/>
        <w:jc w:val="both"/>
        <w:rPr>
          <w:rFonts w:ascii="Times New Roman;sans-serif" w:hAnsi="Times New Roman;sans-serif"/>
          <w:b w:val="false"/>
          <w:color w:val="000000"/>
          <w:sz w:val="18"/>
        </w:rPr>
      </w:pPr>
      <w:r>
        <w:rPr>
          <w:rFonts w:ascii="Times New Roman;sans-serif" w:hAnsi="Times New Roman;sans-serif"/>
          <w:b w:val="false"/>
          <w:color w:val="000000"/>
          <w:sz w:val="18"/>
        </w:rPr>
        <w:t xml:space="preserve">As of April 30, 2024, VICI Properties Inc. had 1,043,181,591 shares of common stock, $0.01 par value per share, outstanding. VICI Properties L.P. has no common stock outstanding.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89560"/>
                <wp:effectExtent l="0" t="0" r="0" b="0"/>
                <wp:wrapNone/>
                <wp:docPr id="1" name="Frame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EXPLANATORY NOTE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report combines the quarterly reports on Form 10-Q for the three months ended March 31, 2024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is appropriate because the business is one enterprise and we operate substantially all of our business and own, either directly or through subsidiaries, substantially all of our assets through VICI LP.</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is a real estate investment trust (“REIT”) that is the sole owner of VICI Properties GP LLC, the sole general partner of VICI LP. As of March 31, 2024, VICI owns 100% of the limited liability company interests of VICI Properties HoldCo LLC (“HoldCo”), which in turn owns approximately 98.8% of the limited liability company interest of VICI OP (such interests, “VICI OP Units”), our operating partnership, which in turns owns 100% of the limited partnership interest in VICI LP. The balance of the VICI OP Units not held by HoldCo are held by third-party unit holders.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diagram details VICI’s organizational structure as of March 31, 2024.</w:t>
      </w:r>
    </w:p>
    <w:p>
      <w:pPr>
        <w:pStyle w:val="TextBody"/>
        <w:bidi w:val="0"/>
        <w:spacing w:before="180" w:after="283"/>
        <w:jc w:val="center"/>
        <w:rPr/>
      </w:pPr>
      <w:r>
        <w:rPr/>
        <w:drawing>
          <wp:inline distT="0" distB="0" distL="0" distR="0">
            <wp:extent cx="4762500" cy="293370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4762500" cy="2933700"/>
                    </a:xfrm>
                    <a:prstGeom prst="rect">
                      <a:avLst/>
                    </a:prstGeom>
                  </pic:spPr>
                </pic:pic>
              </a:graphicData>
            </a:graphic>
          </wp:inline>
        </w:drawing>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combining the quarterly reports on Form 10-Q of VICI and VICI LP into this single report:</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enhances investors’ understanding of VICI and VICI LP by enabling investors to view the business as a whole in the same manner as management views and operates the business;</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eliminates duplicative disclosure and provides a more streamlined and readable presentation;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creates time and cost efficiencies through the preparation of one combined report instead of two separate reports.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84785"/>
                <wp:effectExtent l="0" t="0" r="0" b="0"/>
                <wp:wrapNone/>
                <wp:docPr id="3" name="Frame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March 31, 2024,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 help investors understand the differences between VICI and VICI LP, this report provides:</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separate consolidated financial statements for VICI and VICI LP;</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single set of notes to such consolidated financial statements that includes separate discussions of stockholders’ equity or partners’ equity and per share and per unit data, as applicable;</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a combined Management’s Discussion and Analysis of Financial Condition and Results of Operations section that also includes discrete information related to each entity, as applicable;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Part I, Item 4. Controls and Procedures sections; </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separate Part II, Item 2. Issuer Purchases of Equity Securities sections related to each entity;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 xml:space="preserve">separate Exhibits 31 and 32 certifications for each of VICI and VICI LP in order to establish that the requisite certifications have been made and that VICI and VICI LP are each compliant with Rule 13a-14(a) or Rule 15d-14(a) of the Securities Exchange Act of 1934 and 18 U.S.C. §1350.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separate discussions of VICI and VICI LP in this report should be read in conjunction with each other to understand our results on a consolidated basis and how management operates our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84785"/>
                <wp:effectExtent l="0" t="0" r="0" b="0"/>
                <wp:wrapNone/>
                <wp:docPr id="4" name="Frame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180" w:after="283"/>
        <w:jc w:val="left"/>
        <w:rPr/>
      </w:pPr>
      <w:r>
        <w:rPr/>
      </w:r>
    </w:p>
    <w:p>
      <w:pPr>
        <w:pStyle w:val="TextBody"/>
        <w:bidi w:val="0"/>
        <w:spacing w:lineRule="auto" w:line="288" w:before="0" w:after="0"/>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430"/>
        <w:gridCol w:w="283"/>
        <w:gridCol w:w="283"/>
        <w:gridCol w:w="615"/>
        <w:gridCol w:w="615"/>
        <w:gridCol w:w="593"/>
        <w:gridCol w:w="2324"/>
        <w:gridCol w:w="2041"/>
        <w:gridCol w:w="1968"/>
        <w:gridCol w:w="337"/>
        <w:gridCol w:w="283"/>
        <w:gridCol w:w="433"/>
      </w:tblGrid>
      <w:tr>
        <w:trPr/>
        <w:tc>
          <w:tcPr>
            <w:tcW w:w="430"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324"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FORM 10-Q</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FOR THE QUARTER ENDED MARCH 31, 2024</w:t>
            </w:r>
          </w:p>
        </w:tc>
      </w:tr>
      <w:tr>
        <w:trPr/>
        <w:tc>
          <w:tcPr>
            <w:tcW w:w="10205"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TABLE OF CONTENTS</w:t>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Page</w:t>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3">
              <w:r>
                <w:rPr>
                  <w:rStyle w:val="InternetLink"/>
                  <w:rFonts w:ascii="Times New Roman;sans-serif" w:hAnsi="Times New Roman;sans-serif"/>
                  <w:b/>
                  <w:color w:val="0000FF"/>
                  <w:sz w:val="20"/>
                  <w:u w:val="single"/>
                </w:rPr>
                <w:t>PART 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3">
              <w:r>
                <w:rPr>
                  <w:rStyle w:val="InternetLink"/>
                  <w:rFonts w:ascii="Times New Roman;sans-serif" w:hAnsi="Times New Roman;sans-serif"/>
                  <w:b/>
                  <w:color w:val="0000FF"/>
                  <w:sz w:val="20"/>
                  <w:u w:val="single"/>
                </w:rPr>
                <w:t>FINANCIAL INFORMATION</w:t>
              </w:r>
            </w:hyperlink>
          </w:p>
        </w:tc>
        <w:tc>
          <w:tcPr>
            <w:tcW w:w="10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3">
              <w:r>
                <w:rPr>
                  <w:rStyle w:val="InternetLink"/>
                  <w:rFonts w:ascii="Times New Roman;sans-serif" w:hAnsi="Times New Roman;sans-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3">
              <w:r>
                <w:rPr>
                  <w:rStyle w:val="InternetLink"/>
                  <w:rFonts w:ascii="Times New Roman;sans-serif" w:hAnsi="Times New Roman;sans-serif"/>
                  <w:b w:val="false"/>
                  <w:color w:val="0000FF"/>
                  <w:sz w:val="20"/>
                  <w:u w:val="single"/>
                </w:rPr>
                <w:t>Financial Statements of VICI Properties Inc.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3">
              <w:r>
                <w:rPr>
                  <w:rStyle w:val="InternetLink"/>
                  <w:rFonts w:ascii="Times New Roman;sans-serif" w:hAnsi="Times New Roman;sans-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9">
              <w:r>
                <w:rPr>
                  <w:rStyle w:val="InternetLink"/>
                  <w:rFonts w:ascii="Times New Roman;sans-serif" w:hAnsi="Times New Roman;sans-serif"/>
                  <w:b w:val="false"/>
                  <w:color w:val="0000FF"/>
                  <w:sz w:val="20"/>
                  <w:u w:val="single"/>
                </w:rPr>
                <w:t>Consolidated Balance Sheets as of March 31, 2024 and December 31,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9">
              <w:r>
                <w:rPr>
                  <w:rStyle w:val="InternetLink"/>
                  <w:rFonts w:ascii="Times New Roman;sans-serif" w:hAnsi="Times New Roman;sans-serif"/>
                  <w:b w:val="false"/>
                  <w:color w:val="0000FF"/>
                  <w:sz w:val="20"/>
                  <w:u w:val="single"/>
                </w:rPr>
                <w:t>5</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22">
              <w:r>
                <w:rPr>
                  <w:rStyle w:val="InternetLink"/>
                  <w:rFonts w:ascii="Times New Roman;sans-serif" w:hAnsi="Times New Roman;sans-serif"/>
                  <w:b w:val="false"/>
                  <w:color w:val="0000FF"/>
                  <w:sz w:val="20"/>
                  <w:u w:val="single"/>
                </w:rPr>
                <w:t>Consolidated Statements of Operations and Comprehensive Income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22">
              <w:r>
                <w:rPr>
                  <w:rStyle w:val="InternetLink"/>
                  <w:rFonts w:ascii="Times New Roman;sans-serif" w:hAnsi="Times New Roman;sans-serif"/>
                  <w:b w:val="false"/>
                  <w:color w:val="0000FF"/>
                  <w:sz w:val="20"/>
                  <w:u w:val="single"/>
                </w:rPr>
                <w:t>6</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25">
              <w:r>
                <w:rPr>
                  <w:rStyle w:val="InternetLink"/>
                  <w:rFonts w:ascii="Times New Roman;sans-serif" w:hAnsi="Times New Roman;sans-serif"/>
                  <w:b w:val="false"/>
                  <w:color w:val="0000FF"/>
                  <w:sz w:val="20"/>
                  <w:u w:val="single"/>
                </w:rPr>
                <w:t>Consolidated Statements of Stockholders’ Equity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25">
              <w:r>
                <w:rPr>
                  <w:rStyle w:val="InternetLink"/>
                  <w:rFonts w:ascii="Times New Roman;sans-serif" w:hAnsi="Times New Roman;sans-serif"/>
                  <w:b w:val="false"/>
                  <w:color w:val="0000FF"/>
                  <w:sz w:val="20"/>
                  <w:u w:val="single"/>
                </w:rPr>
                <w:t>7</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28">
              <w:r>
                <w:rPr>
                  <w:rStyle w:val="InternetLink"/>
                  <w:rFonts w:ascii="Times New Roman;sans-serif" w:hAnsi="Times New Roman;sans-serif"/>
                  <w:b w:val="false"/>
                  <w:color w:val="0000FF"/>
                  <w:sz w:val="20"/>
                  <w:u w:val="single"/>
                </w:rPr>
                <w:t>Consolidated Statements of Cash Flows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28">
              <w:r>
                <w:rPr>
                  <w:rStyle w:val="InternetLink"/>
                  <w:rFonts w:ascii="Times New Roman;sans-serif" w:hAnsi="Times New Roman;sans-serif"/>
                  <w:b w:val="false"/>
                  <w:color w:val="0000FF"/>
                  <w:sz w:val="20"/>
                  <w:u w:val="single"/>
                </w:rPr>
                <w:t>8</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31">
              <w:r>
                <w:rPr>
                  <w:rStyle w:val="InternetLink"/>
                  <w:rFonts w:ascii="Times New Roman;sans-serif" w:hAnsi="Times New Roman;sans-serif"/>
                  <w:b w:val="false"/>
                  <w:color w:val="0000FF"/>
                  <w:sz w:val="20"/>
                  <w:u w:val="single"/>
                </w:rPr>
                <w:t>Financial Statements of VICI Properties L.P. (Unaudited)</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31">
              <w:r>
                <w:rPr>
                  <w:rStyle w:val="InternetLink"/>
                  <w:rFonts w:ascii="Times New Roman;sans-serif" w:hAnsi="Times New Roman;sans-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34">
              <w:r>
                <w:rPr>
                  <w:rStyle w:val="InternetLink"/>
                  <w:rFonts w:ascii="Times New Roman;sans-serif" w:hAnsi="Times New Roman;sans-serif"/>
                  <w:b w:val="false"/>
                  <w:color w:val="0000FF"/>
                  <w:sz w:val="20"/>
                  <w:u w:val="single"/>
                </w:rPr>
                <w:t>Consolidated Balance Sheets as of March 31, 2024 and December 31,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34">
              <w:r>
                <w:rPr>
                  <w:rStyle w:val="InternetLink"/>
                  <w:rFonts w:ascii="Times New Roman;sans-serif" w:hAnsi="Times New Roman;sans-serif"/>
                  <w:b w:val="false"/>
                  <w:color w:val="0000FF"/>
                  <w:sz w:val="20"/>
                  <w:u w:val="single"/>
                </w:rPr>
                <w:t>10</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37">
              <w:r>
                <w:rPr>
                  <w:rStyle w:val="InternetLink"/>
                  <w:rFonts w:ascii="Times New Roman;sans-serif" w:hAnsi="Times New Roman;sans-serif"/>
                  <w:b w:val="false"/>
                  <w:color w:val="0000FF"/>
                  <w:sz w:val="20"/>
                  <w:u w:val="single"/>
                </w:rPr>
                <w:t>Consolidated Statements of Operations and Comprehensive Income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37">
              <w:r>
                <w:rPr>
                  <w:rStyle w:val="InternetLink"/>
                  <w:rFonts w:ascii="Times New Roman;sans-serif" w:hAnsi="Times New Roman;sans-serif"/>
                  <w:b w:val="false"/>
                  <w:color w:val="0000FF"/>
                  <w:sz w:val="20"/>
                  <w:u w:val="single"/>
                </w:rPr>
                <w:t>11</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40">
              <w:r>
                <w:rPr>
                  <w:rStyle w:val="InternetLink"/>
                  <w:rFonts w:ascii="Times New Roman;sans-serif" w:hAnsi="Times New Roman;sans-serif"/>
                  <w:b w:val="false"/>
                  <w:color w:val="0000FF"/>
                  <w:sz w:val="20"/>
                  <w:u w:val="single"/>
                </w:rPr>
                <w:t>Consolidated Statements of Partners’ Capital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40">
              <w:r>
                <w:rPr>
                  <w:rStyle w:val="InternetLink"/>
                  <w:rFonts w:ascii="Times New Roman;sans-serif" w:hAnsi="Times New Roman;sans-serif"/>
                  <w:b w:val="false"/>
                  <w:color w:val="0000FF"/>
                  <w:sz w:val="20"/>
                  <w:u w:val="single"/>
                </w:rPr>
                <w:t>12</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43">
              <w:r>
                <w:rPr>
                  <w:rStyle w:val="InternetLink"/>
                  <w:rFonts w:ascii="Times New Roman;sans-serif" w:hAnsi="Times New Roman;sans-serif"/>
                  <w:b w:val="false"/>
                  <w:color w:val="0000FF"/>
                  <w:sz w:val="20"/>
                  <w:u w:val="single"/>
                </w:rPr>
                <w:t>Consolidated Statements of Cash Flows for the Three Months Ended March 31, 2024 and 2023</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43">
              <w:r>
                <w:rPr>
                  <w:rStyle w:val="InternetLink"/>
                  <w:rFonts w:ascii="Times New Roman;sans-serif" w:hAnsi="Times New Roman;sans-serif"/>
                  <w:b w:val="false"/>
                  <w:color w:val="0000FF"/>
                  <w:sz w:val="20"/>
                  <w:u w:val="single"/>
                </w:rPr>
                <w:t>13</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46">
              <w:r>
                <w:rPr>
                  <w:rStyle w:val="InternetLink"/>
                  <w:rFonts w:ascii="Times New Roman;sans-serif" w:hAnsi="Times New Roman;sans-serif"/>
                  <w:b w:val="false"/>
                  <w:color w:val="0000FF"/>
                  <w:sz w:val="20"/>
                  <w:u w:val="single"/>
                </w:rPr>
                <w:t>Notes to Consolidated Financial Statements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46">
              <w:r>
                <w:rPr>
                  <w:rStyle w:val="InternetLink"/>
                  <w:rFonts w:ascii="Times New Roman;sans-serif" w:hAnsi="Times New Roman;sans-serif"/>
                  <w:b w:val="false"/>
                  <w:color w:val="0000FF"/>
                  <w:sz w:val="20"/>
                  <w:u w:val="single"/>
                </w:rPr>
                <w:t>15</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1">
              <w:r>
                <w:rPr>
                  <w:rStyle w:val="InternetLink"/>
                  <w:rFonts w:ascii="Times New Roman;sans-serif" w:hAnsi="Times New Roman;sans-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91">
              <w:r>
                <w:rPr>
                  <w:rStyle w:val="InternetLink"/>
                  <w:rFonts w:ascii="Times New Roman;sans-serif" w:hAnsi="Times New Roman;sans-serif"/>
                  <w:b w:val="false"/>
                  <w:color w:val="0000FF"/>
                  <w:sz w:val="20"/>
                  <w:u w:val="single"/>
                </w:rPr>
                <w:t>42</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4">
              <w:r>
                <w:rPr>
                  <w:rStyle w:val="InternetLink"/>
                  <w:rFonts w:ascii="Times New Roman;sans-serif" w:hAnsi="Times New Roman;sans-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4">
              <w:r>
                <w:rPr>
                  <w:rStyle w:val="InternetLink"/>
                  <w:rFonts w:ascii="Times New Roman;sans-serif" w:hAnsi="Times New Roman;sans-serif"/>
                  <w:b w:val="false"/>
                  <w:color w:val="0000FF"/>
                  <w:sz w:val="20"/>
                  <w:u w:val="single"/>
                </w:rPr>
                <w:t>Quantitative and Qualitative Disclosures About Market Risk</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94">
              <w:r>
                <w:rPr>
                  <w:rStyle w:val="InternetLink"/>
                  <w:rFonts w:ascii="Times New Roman;sans-serif" w:hAnsi="Times New Roman;sans-serif"/>
                  <w:b w:val="false"/>
                  <w:color w:val="0000FF"/>
                  <w:sz w:val="20"/>
                  <w:u w:val="single"/>
                </w:rPr>
                <w:t>56</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7">
              <w:r>
                <w:rPr>
                  <w:rStyle w:val="InternetLink"/>
                  <w:rFonts w:ascii="Times New Roman;sans-serif" w:hAnsi="Times New Roman;sans-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97">
              <w:r>
                <w:rPr>
                  <w:rStyle w:val="InternetLink"/>
                  <w:rFonts w:ascii="Times New Roman;sans-serif" w:hAnsi="Times New Roman;sans-serif"/>
                  <w:b w:val="false"/>
                  <w:color w:val="0000FF"/>
                  <w:sz w:val="20"/>
                  <w:u w:val="single"/>
                </w:rPr>
                <w:t>Controls and Procedures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97">
              <w:r>
                <w:rPr>
                  <w:rStyle w:val="InternetLink"/>
                  <w:rFonts w:ascii="Times New Roman;sans-serif" w:hAnsi="Times New Roman;sans-serif"/>
                  <w:b w:val="false"/>
                  <w:color w:val="0000FF"/>
                  <w:sz w:val="20"/>
                  <w:u w:val="single"/>
                </w:rPr>
                <w:t>57</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0">
              <w:r>
                <w:rPr>
                  <w:rStyle w:val="InternetLink"/>
                  <w:rFonts w:ascii="Times New Roman;sans-serif" w:hAnsi="Times New Roman;sans-serif"/>
                  <w:b/>
                  <w:color w:val="0000FF"/>
                  <w:sz w:val="20"/>
                  <w:u w:val="single"/>
                </w:rPr>
                <w:t>PART II.</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0">
              <w:r>
                <w:rPr>
                  <w:rStyle w:val="InternetLink"/>
                  <w:rFonts w:ascii="Times New Roman;sans-serif" w:hAnsi="Times New Roman;sans-serif"/>
                  <w:b/>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3">
              <w:r>
                <w:rPr>
                  <w:rStyle w:val="InternetLink"/>
                  <w:rFonts w:ascii="Times New Roman;sans-serif" w:hAnsi="Times New Roman;sans-serif"/>
                  <w:b w:val="false"/>
                  <w:color w:val="0000FF"/>
                  <w:sz w:val="20"/>
                  <w:u w:val="single"/>
                </w:rPr>
                <w:t>Item 1.</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3">
              <w:r>
                <w:rPr>
                  <w:rStyle w:val="InternetLink"/>
                  <w:rFonts w:ascii="Times New Roman;sans-serif" w:hAnsi="Times New Roman;sans-serif"/>
                  <w:b w:val="false"/>
                  <w:color w:val="0000FF"/>
                  <w:sz w:val="20"/>
                  <w:u w:val="single"/>
                </w:rPr>
                <w:t>Legal Proceedings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03">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6">
              <w:r>
                <w:rPr>
                  <w:rStyle w:val="InternetLink"/>
                  <w:rFonts w:ascii="Times New Roman;sans-serif" w:hAnsi="Times New Roman;sans-serif"/>
                  <w:b w:val="false"/>
                  <w:color w:val="0000FF"/>
                  <w:sz w:val="20"/>
                  <w:u w:val="single"/>
                </w:rPr>
                <w:t>Item 1A.</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6">
              <w:r>
                <w:rPr>
                  <w:rStyle w:val="InternetLink"/>
                  <w:rFonts w:ascii="Times New Roman;sans-serif" w:hAnsi="Times New Roman;sans-serif"/>
                  <w:b w:val="false"/>
                  <w:color w:val="0000FF"/>
                  <w:sz w:val="20"/>
                  <w:u w:val="single"/>
                </w:rPr>
                <w:t>Risk Factors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06">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9">
              <w:r>
                <w:rPr>
                  <w:rStyle w:val="InternetLink"/>
                  <w:rFonts w:ascii="Times New Roman;sans-serif" w:hAnsi="Times New Roman;sans-serif"/>
                  <w:b w:val="false"/>
                  <w:color w:val="0000FF"/>
                  <w:sz w:val="20"/>
                  <w:u w:val="single"/>
                </w:rPr>
                <w:t>Item 2.</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09">
              <w:r>
                <w:rPr>
                  <w:rStyle w:val="InternetLink"/>
                  <w:rFonts w:ascii="Times New Roman;sans-serif" w:hAnsi="Times New Roman;sans-serif"/>
                  <w:b w:val="false"/>
                  <w:color w:val="0000FF"/>
                  <w:sz w:val="20"/>
                  <w:u w:val="single"/>
                </w:rPr>
                <w:t>Unregistered Sales of Equity Securities and Use of Proceeds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09">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2">
              <w:r>
                <w:rPr>
                  <w:rStyle w:val="InternetLink"/>
                  <w:rFonts w:ascii="Times New Roman;sans-serif" w:hAnsi="Times New Roman;sans-serif"/>
                  <w:b w:val="false"/>
                  <w:color w:val="0000FF"/>
                  <w:sz w:val="20"/>
                  <w:u w:val="single"/>
                </w:rPr>
                <w:t>Item 3.</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2">
              <w:r>
                <w:rPr>
                  <w:rStyle w:val="InternetLink"/>
                  <w:rFonts w:ascii="Times New Roman;sans-serif" w:hAnsi="Times New Roman;sans-serif"/>
                  <w:b w:val="false"/>
                  <w:color w:val="0000FF"/>
                  <w:sz w:val="20"/>
                  <w:u w:val="single"/>
                </w:rPr>
                <w:t>Defaults Upon Senior Securities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12">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5">
              <w:r>
                <w:rPr>
                  <w:rStyle w:val="InternetLink"/>
                  <w:rFonts w:ascii="Times New Roman;sans-serif" w:hAnsi="Times New Roman;sans-serif"/>
                  <w:b w:val="false"/>
                  <w:color w:val="0000FF"/>
                  <w:sz w:val="20"/>
                  <w:u w:val="single"/>
                </w:rPr>
                <w:t>Item 4.</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5">
              <w:r>
                <w:rPr>
                  <w:rStyle w:val="InternetLink"/>
                  <w:rFonts w:ascii="Times New Roman;sans-serif" w:hAnsi="Times New Roman;sans-serif"/>
                  <w:b w:val="false"/>
                  <w:color w:val="0000FF"/>
                  <w:sz w:val="20"/>
                  <w:u w:val="single"/>
                </w:rPr>
                <w:t>Mine Safety Disclosures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15">
              <w:r>
                <w:rPr>
                  <w:rStyle w:val="InternetLink"/>
                  <w:rFonts w:ascii="Times New Roman;sans-serif" w:hAnsi="Times New Roman;sans-serif"/>
                  <w:b w:val="false"/>
                  <w:color w:val="0000FF"/>
                  <w:sz w:val="20"/>
                  <w:u w:val="single"/>
                </w:rPr>
                <w:t>58</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8">
              <w:r>
                <w:rPr>
                  <w:rStyle w:val="InternetLink"/>
                  <w:rFonts w:ascii="Times New Roman;sans-serif" w:hAnsi="Times New Roman;sans-serif"/>
                  <w:b w:val="false"/>
                  <w:color w:val="0000FF"/>
                  <w:sz w:val="20"/>
                  <w:u w:val="single"/>
                </w:rPr>
                <w:t>Item 5</w:t>
              </w:r>
            </w:hyperlink>
            <w:r>
              <w:rPr>
                <w:rFonts w:ascii="Times New Roman;sans-serif" w:hAnsi="Times New Roman;sans-serif"/>
                <w:b w:val="false"/>
                <w:color w:val="000000"/>
                <w:sz w:val="20"/>
              </w:rPr>
              <w:t>.</w:t>
            </w:r>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18">
              <w:r>
                <w:rPr>
                  <w:rStyle w:val="InternetLink"/>
                  <w:rFonts w:ascii="Times New Roman;sans-serif" w:hAnsi="Times New Roman;sans-serif"/>
                  <w:b w:val="false"/>
                  <w:color w:val="0000FF"/>
                  <w:sz w:val="20"/>
                  <w:u w:val="single"/>
                </w:rPr>
                <w:t>Other Information</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18">
              <w:r>
                <w:rPr>
                  <w:rStyle w:val="InternetLink"/>
                  <w:rFonts w:ascii="Times New Roman;sans-serif" w:hAnsi="Times New Roman;sans-serif"/>
                  <w:b w:val="false"/>
                  <w:color w:val="0000FF"/>
                  <w:sz w:val="20"/>
                  <w:u w:val="single"/>
                </w:rPr>
                <w:t>59</w:t>
              </w:r>
            </w:hyperlink>
          </w:p>
        </w:tc>
      </w:tr>
      <w:tr>
        <w:trPr/>
        <w:tc>
          <w:tcPr>
            <w:tcW w:w="99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21">
              <w:r>
                <w:rPr>
                  <w:rStyle w:val="InternetLink"/>
                  <w:rFonts w:ascii="Times New Roman;sans-serif" w:hAnsi="Times New Roman;sans-serif"/>
                  <w:b w:val="false"/>
                  <w:color w:val="0000FF"/>
                  <w:sz w:val="20"/>
                  <w:u w:val="single"/>
                </w:rPr>
                <w:t>Item 6.</w:t>
              </w:r>
            </w:hyperlink>
          </w:p>
        </w:tc>
        <w:tc>
          <w:tcPr>
            <w:tcW w:w="8156"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21">
              <w:r>
                <w:rPr>
                  <w:rStyle w:val="InternetLink"/>
                  <w:rFonts w:ascii="Times New Roman;sans-serif" w:hAnsi="Times New Roman;sans-serif"/>
                  <w:b w:val="false"/>
                  <w:color w:val="0000FF"/>
                  <w:sz w:val="20"/>
                  <w:u w:val="single"/>
                </w:rPr>
                <w:t>Exhibits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21">
              <w:r>
                <w:rPr>
                  <w:rStyle w:val="InternetLink"/>
                  <w:rFonts w:ascii="Times New Roman;sans-serif" w:hAnsi="Times New Roman;sans-serif"/>
                  <w:b w:val="false"/>
                  <w:color w:val="0000FF"/>
                  <w:sz w:val="20"/>
                  <w:u w:val="single"/>
                </w:rPr>
                <w:t>59</w:t>
              </w:r>
            </w:hyperlink>
          </w:p>
        </w:tc>
      </w:tr>
      <w:tr>
        <w:trPr/>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52" w:type="dxa"/>
            <w:gridSpan w:val="9"/>
            <w:tcBorders/>
            <w:tcMar>
              <w:top w:w="0" w:type="dxa"/>
              <w:left w:w="0" w:type="dxa"/>
              <w:bottom w:w="0" w:type="dxa"/>
              <w:right w:w="0" w:type="dxa"/>
            </w:tcMar>
            <w:vAlign w:val="center"/>
          </w:tcPr>
          <w:p>
            <w:pPr>
              <w:pStyle w:val="TableContents"/>
              <w:bidi w:val="0"/>
              <w:spacing w:lineRule="auto" w:line="240" w:before="0" w:after="0"/>
              <w:jc w:val="left"/>
              <w:rPr/>
            </w:pPr>
            <w:hyperlink w:anchor="i44afc6c18e6e47969829c5a05199c239_124">
              <w:r>
                <w:rPr>
                  <w:rStyle w:val="InternetLink"/>
                  <w:rFonts w:ascii="Times New Roman;sans-serif" w:hAnsi="Times New Roman;sans-serif"/>
                  <w:b/>
                  <w:color w:val="0000FF"/>
                  <w:sz w:val="20"/>
                  <w:u w:val="single"/>
                </w:rPr>
                <w:t>Signatures</w:t>
              </w:r>
            </w:hyperlink>
          </w:p>
        </w:tc>
        <w:tc>
          <w:tcPr>
            <w:tcW w:w="105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44afc6c18e6e47969829c5a05199c239_124">
              <w:r>
                <w:rPr>
                  <w:rStyle w:val="InternetLink"/>
                  <w:rFonts w:ascii="Times New Roman;sans-serif" w:hAnsi="Times New Roman;sans-serif"/>
                  <w:b w:val="false"/>
                  <w:color w:val="0000FF"/>
                  <w:sz w:val="20"/>
                  <w:u w:val="single"/>
                </w:rPr>
                <w:t>60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84785"/>
                <wp:effectExtent l="0" t="0" r="0" b="0"/>
                <wp:wrapNone/>
                <wp:docPr id="5" name="Frame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PART I        FINANCIAL INFORMATION</w:t>
      </w:r>
    </w:p>
    <w:p>
      <w:pPr>
        <w:pStyle w:val="TextBody"/>
        <w:bidi w:val="0"/>
        <w:spacing w:lineRule="auto" w:line="288" w:before="0" w:after="0"/>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        Financial Statements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p>
      <w:pPr>
        <w:pStyle w:val="TextBody"/>
        <w:bidi w:val="0"/>
        <w:spacing w:before="0" w:after="0"/>
        <w:ind w:left="0" w:right="0" w:hanging="14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center"/>
        <w:tblInd w:w="0" w:type="dxa"/>
        <w:tblLayout w:type="fixed"/>
        <w:tblCellMar>
          <w:top w:w="28" w:type="dxa"/>
          <w:left w:w="28" w:type="dxa"/>
          <w:bottom w:w="28" w:type="dxa"/>
          <w:right w:w="28" w:type="dxa"/>
        </w:tblCellMar>
      </w:tblPr>
      <w:tblGrid>
        <w:gridCol w:w="2746"/>
        <w:gridCol w:w="2097"/>
        <w:gridCol w:w="2130"/>
        <w:gridCol w:w="211"/>
        <w:gridCol w:w="1081"/>
        <w:gridCol w:w="109"/>
        <w:gridCol w:w="109"/>
        <w:gridCol w:w="109"/>
        <w:gridCol w:w="109"/>
        <w:gridCol w:w="219"/>
        <w:gridCol w:w="1123"/>
        <w:gridCol w:w="162"/>
      </w:tblGrid>
      <w:tr>
        <w:trPr/>
        <w:tc>
          <w:tcPr>
            <w:tcW w:w="2746" w:type="dxa"/>
            <w:tcBorders/>
            <w:vAlign w:val="center"/>
          </w:tcPr>
          <w:p>
            <w:pPr>
              <w:pStyle w:val="TableContents"/>
              <w:bidi w:val="0"/>
              <w:spacing w:before="0" w:after="283"/>
              <w:jc w:val="left"/>
              <w:rPr>
                <w:sz w:val="4"/>
                <w:szCs w:val="4"/>
              </w:rPr>
            </w:pPr>
            <w:r>
              <w:rPr>
                <w:sz w:val="4"/>
                <w:szCs w:val="4"/>
              </w:rPr>
            </w:r>
          </w:p>
        </w:tc>
        <w:tc>
          <w:tcPr>
            <w:tcW w:w="2097" w:type="dxa"/>
            <w:tcBorders/>
            <w:vAlign w:val="center"/>
          </w:tcPr>
          <w:p>
            <w:pPr>
              <w:pStyle w:val="TableContents"/>
              <w:bidi w:val="0"/>
              <w:spacing w:before="0" w:after="283"/>
              <w:jc w:val="left"/>
              <w:rPr>
                <w:sz w:val="4"/>
                <w:szCs w:val="4"/>
              </w:rPr>
            </w:pPr>
            <w:r>
              <w:rPr>
                <w:sz w:val="4"/>
                <w:szCs w:val="4"/>
              </w:rPr>
            </w:r>
          </w:p>
        </w:tc>
        <w:tc>
          <w:tcPr>
            <w:tcW w:w="213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69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04" w:type="dxa"/>
            <w:gridSpan w:val="3"/>
            <w:tcBorders/>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44,157,873 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227,241 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and 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18,402,067 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Stockholders’ equity</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$0.01 par value, 1,350,000,000 shares authorized and 1,043,137,031 and 1,042,702,763 shares issued and outstanding at March 31, 2024 and December 31, 2023, respectively </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Preferred stock, $0.01 par value, 50,000,000 shares authorized and no shares outstanding at March 31, 2024 and December 31, 2023 </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24,124,875 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24,125,872 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153,870 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965,762 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25,255,931 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401,843 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25,818,558 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25,657,774 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44,157,873 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44,059,841 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March 31, 2024 and December 31, 2023, our Investments in leases - sales-type, Investments in leases - financing receivables, Investments in loans and securities, and Other assets (sales-type sub-leases) are net of allowance for credit losses of $801.2 million, $711.5 million, $22.0 million and $21.0 million, respectively, and $701.1 million, $703.6 million, $29.8 million and $18.7 million, respectively. Refer to </w:t>
      </w:r>
      <w:hyperlink w:anchor="i44afc6c18e6e47969829c5a05199c239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84785"/>
                <wp:effectExtent l="0" t="0" r="0" b="0"/>
                <wp:wrapNone/>
                <wp:docPr id="6" name="Frame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8992" w:type="dxa"/>
        <w:jc w:val="center"/>
        <w:tblInd w:w="0" w:type="dxa"/>
        <w:tblLayout w:type="fixed"/>
        <w:tblCellMar>
          <w:top w:w="28" w:type="dxa"/>
          <w:left w:w="28" w:type="dxa"/>
          <w:bottom w:w="28" w:type="dxa"/>
          <w:right w:w="28" w:type="dxa"/>
        </w:tblCellMar>
      </w:tblPr>
      <w:tblGrid>
        <w:gridCol w:w="1911"/>
        <w:gridCol w:w="1683"/>
        <w:gridCol w:w="1700"/>
        <w:gridCol w:w="271"/>
        <w:gridCol w:w="1065"/>
        <w:gridCol w:w="109"/>
        <w:gridCol w:w="109"/>
        <w:gridCol w:w="109"/>
        <w:gridCol w:w="109"/>
        <w:gridCol w:w="271"/>
        <w:gridCol w:w="1065"/>
        <w:gridCol w:w="109"/>
        <w:gridCol w:w="109"/>
        <w:gridCol w:w="109"/>
        <w:gridCol w:w="109"/>
        <w:gridCol w:w="154"/>
      </w:tblGrid>
      <w:tr>
        <w:trPr/>
        <w:tc>
          <w:tcPr>
            <w:tcW w:w="1911" w:type="dxa"/>
            <w:tcBorders/>
            <w:vAlign w:val="center"/>
          </w:tcPr>
          <w:p>
            <w:pPr>
              <w:pStyle w:val="TableContents"/>
              <w:bidi w:val="0"/>
              <w:spacing w:before="0" w:after="283"/>
              <w:jc w:val="left"/>
              <w:rPr>
                <w:sz w:val="4"/>
                <w:szCs w:val="4"/>
              </w:rPr>
            </w:pPr>
            <w:r>
              <w:rPr>
                <w:sz w:val="4"/>
                <w:szCs w:val="4"/>
              </w:rPr>
            </w:r>
          </w:p>
        </w:tc>
        <w:tc>
          <w:tcPr>
            <w:tcW w:w="1683" w:type="dxa"/>
            <w:tcBorders/>
            <w:vAlign w:val="center"/>
          </w:tcPr>
          <w:p>
            <w:pPr>
              <w:pStyle w:val="TableContents"/>
              <w:bidi w:val="0"/>
              <w:spacing w:before="0" w:after="283"/>
              <w:jc w:val="left"/>
              <w:rPr>
                <w:sz w:val="4"/>
                <w:szCs w:val="4"/>
              </w:rPr>
            </w:pPr>
            <w:r>
              <w:rPr>
                <w:sz w:val="4"/>
                <w:szCs w:val="4"/>
              </w:rPr>
            </w:r>
          </w:p>
        </w:tc>
        <w:tc>
          <w:tcPr>
            <w:tcW w:w="170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Net income per common share </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511"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shares of common stock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1,042,404,634 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1,043,311,636 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1,003,831,325 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602,595 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non-controlling interests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common stockholders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592,786 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84785"/>
                <wp:effectExtent l="0" t="0" r="0" b="0"/>
                <wp:wrapNone/>
                <wp:docPr id="7" name="Frame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STOCKHOLDERS’ EQUITY</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share and per share data)</w:t>
      </w:r>
    </w:p>
    <w:tbl>
      <w:tblPr>
        <w:tblW w:w="11640" w:type="dxa"/>
        <w:jc w:val="center"/>
        <w:tblInd w:w="0" w:type="dxa"/>
        <w:tblLayout w:type="fixed"/>
        <w:tblCellMar>
          <w:top w:w="28" w:type="dxa"/>
          <w:left w:w="28" w:type="dxa"/>
          <w:bottom w:w="28" w:type="dxa"/>
          <w:right w:w="28" w:type="dxa"/>
        </w:tblCellMar>
      </w:tblPr>
      <w:tblGrid>
        <w:gridCol w:w="666"/>
        <w:gridCol w:w="282"/>
        <w:gridCol w:w="283"/>
        <w:gridCol w:w="196"/>
        <w:gridCol w:w="646"/>
        <w:gridCol w:w="109"/>
        <w:gridCol w:w="109"/>
        <w:gridCol w:w="109"/>
        <w:gridCol w:w="109"/>
        <w:gridCol w:w="196"/>
        <w:gridCol w:w="961"/>
        <w:gridCol w:w="109"/>
        <w:gridCol w:w="109"/>
        <w:gridCol w:w="109"/>
        <w:gridCol w:w="109"/>
        <w:gridCol w:w="228"/>
        <w:gridCol w:w="859"/>
        <w:gridCol w:w="129"/>
        <w:gridCol w:w="109"/>
        <w:gridCol w:w="109"/>
        <w:gridCol w:w="109"/>
        <w:gridCol w:w="196"/>
        <w:gridCol w:w="871"/>
        <w:gridCol w:w="109"/>
        <w:gridCol w:w="109"/>
        <w:gridCol w:w="109"/>
        <w:gridCol w:w="109"/>
        <w:gridCol w:w="196"/>
        <w:gridCol w:w="961"/>
        <w:gridCol w:w="109"/>
        <w:gridCol w:w="109"/>
        <w:gridCol w:w="109"/>
        <w:gridCol w:w="109"/>
        <w:gridCol w:w="237"/>
        <w:gridCol w:w="891"/>
        <w:gridCol w:w="133"/>
        <w:gridCol w:w="109"/>
        <w:gridCol w:w="109"/>
        <w:gridCol w:w="109"/>
        <w:gridCol w:w="196"/>
        <w:gridCol w:w="961"/>
        <w:gridCol w:w="154"/>
      </w:tblGrid>
      <w:tr>
        <w:trPr/>
        <w:tc>
          <w:tcPr>
            <w:tcW w:w="66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Common Stock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w:t>
              <w:br/>
              <w:t>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VICI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24,125,872 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153,870 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965,762 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25,255,931 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401,843 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25,657,774 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599,803 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($0.4150 per common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(440,607)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24,124,875 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156,640 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1,122,878 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25,414,824 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403,734 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25,818,558 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21,645,499 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185,353 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21,933,637 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356,476 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22,290,113 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1,271,472 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Reallocation of equity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and distributions declared ($0.3900 per common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(391,640)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(398,688)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22,910,509 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170,441 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23,311,246 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363,289 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23,674,535 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r>
        <w:trPr/>
        <w:tc>
          <w:tcPr>
            <w:tcW w:w="1231"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84785"/>
                <wp:effectExtent l="0" t="0" r="0" b="0"/>
                <wp:wrapNone/>
                <wp:docPr id="8" name="Frame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011" w:type="dxa"/>
        <w:jc w:val="center"/>
        <w:tblInd w:w="0" w:type="dxa"/>
        <w:tblLayout w:type="fixed"/>
        <w:tblCellMar>
          <w:top w:w="28" w:type="dxa"/>
          <w:left w:w="28" w:type="dxa"/>
          <w:bottom w:w="28" w:type="dxa"/>
          <w:right w:w="28" w:type="dxa"/>
        </w:tblCellMar>
      </w:tblPr>
      <w:tblGrid>
        <w:gridCol w:w="2654"/>
        <w:gridCol w:w="2336"/>
        <w:gridCol w:w="2344"/>
        <w:gridCol w:w="211"/>
        <w:gridCol w:w="826"/>
        <w:gridCol w:w="109"/>
        <w:gridCol w:w="109"/>
        <w:gridCol w:w="109"/>
        <w:gridCol w:w="109"/>
        <w:gridCol w:w="213"/>
        <w:gridCol w:w="837"/>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522,033 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(1,468,856)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84785"/>
                <wp:effectExtent l="0" t="0" r="0" b="0"/>
                <wp:wrapNone/>
                <wp:docPr id="9" name="Frame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p>
      <w:pPr>
        <w:pStyle w:val="TextBody"/>
        <w:bidi w:val="0"/>
        <w:spacing w:before="180" w:after="283"/>
        <w:jc w:val="both"/>
        <w:rPr/>
      </w:pPr>
      <w:r>
        <w:rPr/>
      </w:r>
    </w:p>
    <w:tbl>
      <w:tblPr>
        <w:tblW w:w="9112" w:type="dxa"/>
        <w:jc w:val="center"/>
        <w:tblInd w:w="0" w:type="dxa"/>
        <w:tblLayout w:type="fixed"/>
        <w:tblCellMar>
          <w:top w:w="28" w:type="dxa"/>
          <w:left w:w="28" w:type="dxa"/>
          <w:bottom w:w="28" w:type="dxa"/>
          <w:right w:w="28" w:type="dxa"/>
        </w:tblCellMar>
      </w:tblPr>
      <w:tblGrid>
        <w:gridCol w:w="2330"/>
        <w:gridCol w:w="2050"/>
        <w:gridCol w:w="2055"/>
        <w:gridCol w:w="213"/>
        <w:gridCol w:w="837"/>
        <w:gridCol w:w="109"/>
        <w:gridCol w:w="109"/>
        <w:gridCol w:w="109"/>
        <w:gridCol w:w="109"/>
        <w:gridCol w:w="211"/>
        <w:gridCol w:w="826"/>
        <w:gridCol w:w="154"/>
      </w:tblGrid>
      <w:tr>
        <w:trPr/>
        <w:tc>
          <w:tcPr>
            <w:tcW w:w="2330"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55"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offering of common stock, net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interests</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(434,811)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(382,612)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 xml:space="preserve">Effect of exchange rate changes on cash, cash equivalents and restricted cash </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Dividends and distributions declared, not paid </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5"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84785"/>
                <wp:effectExtent l="0" t="0" r="0" b="0"/>
                <wp:wrapNone/>
                <wp:docPr id="10" name="Frame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BALANCE SHEETS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711"/>
        <w:gridCol w:w="2109"/>
        <w:gridCol w:w="2142"/>
        <w:gridCol w:w="211"/>
        <w:gridCol w:w="1081"/>
        <w:gridCol w:w="109"/>
        <w:gridCol w:w="109"/>
        <w:gridCol w:w="109"/>
        <w:gridCol w:w="109"/>
        <w:gridCol w:w="220"/>
        <w:gridCol w:w="1131"/>
        <w:gridCol w:w="164"/>
      </w:tblGrid>
      <w:tr>
        <w:trPr/>
        <w:tc>
          <w:tcPr>
            <w:tcW w:w="2711" w:type="dxa"/>
            <w:tcBorders/>
            <w:vAlign w:val="center"/>
          </w:tcPr>
          <w:p>
            <w:pPr>
              <w:pStyle w:val="TableContents"/>
              <w:bidi w:val="0"/>
              <w:spacing w:before="0" w:after="283"/>
              <w:jc w:val="left"/>
              <w:rPr>
                <w:sz w:val="4"/>
                <w:szCs w:val="4"/>
              </w:rPr>
            </w:pPr>
            <w:r>
              <w:rPr>
                <w:sz w:val="4"/>
                <w:szCs w:val="4"/>
              </w:rPr>
            </w:r>
          </w:p>
        </w:tc>
        <w:tc>
          <w:tcPr>
            <w:tcW w:w="2109"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6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Assets</w:t>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portfolio:</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5" w:type="dxa"/>
            <w:gridSpan w:val="3"/>
            <w:tcBorders/>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936,528 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44,025,489 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Liabilities</w:t>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net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222,333 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437,599 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998,363 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18,322,145 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18,382,420 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Commitments and contingent liabilities (Note 10)</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Partners’ Capital</w:t>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Partners’ capital, 1,055,368,328 and 1,054,934,136 operating partnership units issued and outstanding as of March 31, 2024 and December 31, 2023, respectively</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25,288,647 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153,350 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VICI LP’s capital</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25,597,444 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25,441,997 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105,632 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capital attributable to partners</w:t>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25,703,344 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25,547,629 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partners’ capital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44,025,489 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43,930,049 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_______________________________________________________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Note: As of March 31, 2024 and December 31, 2023, our Investments in leases - sales-type, Investments in leases - financing receivables, Investments in loans and securities, and Other assets (sales-type sub-leases) are net of allowance for credit losses of $801.2 million, $711.5 million, $22.0 million and $21.0 million, respectively, and $701.1 million, $703.6 million, $29.8 million and $18.7 million, respectively. Refer to </w:t>
      </w:r>
      <w:hyperlink w:anchor="i44afc6c18e6e47969829c5a05199c239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84785"/>
                <wp:effectExtent l="0" t="0" r="0" b="0"/>
                <wp:wrapNone/>
                <wp:docPr id="11" name="Frame1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OPERATIONS AND COMPREHENSIVE INCOME</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8598" w:type="dxa"/>
        <w:jc w:val="left"/>
        <w:tblInd w:w="0" w:type="dxa"/>
        <w:tblLayout w:type="fixed"/>
        <w:tblCellMar>
          <w:top w:w="28" w:type="dxa"/>
          <w:left w:w="28" w:type="dxa"/>
          <w:bottom w:w="28" w:type="dxa"/>
          <w:right w:w="28" w:type="dxa"/>
        </w:tblCellMar>
      </w:tblPr>
      <w:tblGrid>
        <w:gridCol w:w="1824"/>
        <w:gridCol w:w="1607"/>
        <w:gridCol w:w="1623"/>
        <w:gridCol w:w="271"/>
        <w:gridCol w:w="1065"/>
        <w:gridCol w:w="109"/>
        <w:gridCol w:w="109"/>
        <w:gridCol w:w="109"/>
        <w:gridCol w:w="109"/>
        <w:gridCol w:w="237"/>
        <w:gridCol w:w="930"/>
        <w:gridCol w:w="124"/>
        <w:gridCol w:w="109"/>
        <w:gridCol w:w="109"/>
        <w:gridCol w:w="109"/>
        <w:gridCol w:w="154"/>
      </w:tblGrid>
      <w:tr>
        <w:trPr/>
        <w:tc>
          <w:tcPr>
            <w:tcW w:w="1824"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4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867,802 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143,894 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525,281 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524,915 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(2,839)</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Net income per Partnership unit</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7"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Weighted average number of Partnership units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1,013,758,018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1,016,062,698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Other comprehensive income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Reclassification of derivative gain to Interest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cash flow hedges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 net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(1664)</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attributable to partners</w:t>
            </w:r>
          </w:p>
        </w:tc>
        <w:tc>
          <w:tcPr>
            <w:tcW w:w="2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506,982 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84785"/>
                <wp:effectExtent l="0" t="0" r="0" b="0"/>
                <wp:wrapNone/>
                <wp:docPr id="12" name="Frame1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PARTNERS’ CAPITAL</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 except unit and per unit data)</w:t>
      </w:r>
    </w:p>
    <w:tbl>
      <w:tblPr>
        <w:tblW w:w="10205" w:type="dxa"/>
        <w:jc w:val="left"/>
        <w:tblInd w:w="0" w:type="dxa"/>
        <w:tblLayout w:type="fixed"/>
        <w:tblCellMar>
          <w:top w:w="28" w:type="dxa"/>
          <w:left w:w="28" w:type="dxa"/>
          <w:bottom w:w="28" w:type="dxa"/>
          <w:right w:w="28" w:type="dxa"/>
        </w:tblCellMar>
      </w:tblPr>
      <w:tblGrid>
        <w:gridCol w:w="1061"/>
        <w:gridCol w:w="792"/>
        <w:gridCol w:w="794"/>
        <w:gridCol w:w="205"/>
        <w:gridCol w:w="1007"/>
        <w:gridCol w:w="113"/>
        <w:gridCol w:w="109"/>
        <w:gridCol w:w="109"/>
        <w:gridCol w:w="109"/>
        <w:gridCol w:w="433"/>
        <w:gridCol w:w="1632"/>
        <w:gridCol w:w="244"/>
        <w:gridCol w:w="109"/>
        <w:gridCol w:w="109"/>
        <w:gridCol w:w="109"/>
        <w:gridCol w:w="305"/>
        <w:gridCol w:w="1150"/>
        <w:gridCol w:w="171"/>
        <w:gridCol w:w="109"/>
        <w:gridCol w:w="109"/>
        <w:gridCol w:w="109"/>
        <w:gridCol w:w="196"/>
        <w:gridCol w:w="961"/>
        <w:gridCol w:w="160"/>
      </w:tblGrid>
      <w:tr>
        <w:trPr/>
        <w:tc>
          <w:tcPr>
            <w:tcW w:w="1061"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25,288,647 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153,350 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105,632 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25,547,629 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594,142 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(440,283)</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cash flow hedges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2024</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25,441,302 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156,142 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105,900 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25,703,344 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21,900,511 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185,201 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79,504 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22,165,216 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522,076 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2,839 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524,915 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Contributions from Parent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1,303,243 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Parent</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(408,519)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non-controlling interest</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net of forfeitures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Reclassification of derivative gain to Interest expense</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(6,037)</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loss on cash flow hedges</w:t>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(7,393)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(1,664)</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23,316,182 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6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170,107 </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80,065 </w:t>
            </w:r>
          </w:p>
        </w:tc>
        <w:tc>
          <w:tcPr>
            <w:tcW w:w="1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23,566,354 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2647"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84785"/>
                <wp:effectExtent l="0" t="0" r="0" b="0"/>
                <wp:wrapNone/>
                <wp:docPr id="13" name="Frame1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10011" w:type="dxa"/>
        <w:jc w:val="left"/>
        <w:tblInd w:w="0" w:type="dxa"/>
        <w:tblLayout w:type="fixed"/>
        <w:tblCellMar>
          <w:top w:w="28" w:type="dxa"/>
          <w:left w:w="28" w:type="dxa"/>
          <w:bottom w:w="28" w:type="dxa"/>
          <w:right w:w="28" w:type="dxa"/>
        </w:tblCellMar>
      </w:tblPr>
      <w:tblGrid>
        <w:gridCol w:w="2654"/>
        <w:gridCol w:w="2336"/>
        <w:gridCol w:w="2344"/>
        <w:gridCol w:w="211"/>
        <w:gridCol w:w="826"/>
        <w:gridCol w:w="109"/>
        <w:gridCol w:w="109"/>
        <w:gridCol w:w="109"/>
        <w:gridCol w:w="109"/>
        <w:gridCol w:w="213"/>
        <w:gridCol w:w="837"/>
        <w:gridCol w:w="154"/>
      </w:tblGrid>
      <w:tr>
        <w:trPr/>
        <w:tc>
          <w:tcPr>
            <w:tcW w:w="265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2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cash flows provided by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Non-cash leasing and financing adjustments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(gains)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proceeds from settlement of derivatives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operating assets and liabilities: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deferred revenue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541,012 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514,273 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paid in connection with the MGM Grand/Mandalay Bay JV Interest Acquisition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(1,266,905)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(209,302)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repayments of loans and receipts of deferred fees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transaction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short-term investments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short-term investments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217,342 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4" w:type="dxa"/>
            <w:gridSpan w:val="3"/>
            <w:tcBorders/>
            <w:vAlign w:val="center"/>
          </w:tcPr>
          <w:p>
            <w:pPr>
              <w:pStyle w:val="TableContents"/>
              <w:bidi w:val="0"/>
              <w:spacing w:before="0" w:after="283"/>
              <w:jc w:val="left"/>
              <w:rPr>
                <w:sz w:val="4"/>
                <w:szCs w:val="4"/>
              </w:rPr>
            </w:pPr>
            <w:r>
              <w:rPr>
                <w:sz w:val="4"/>
                <w:szCs w:val="4"/>
              </w:rPr>
            </w:r>
          </w:p>
        </w:tc>
      </w:tr>
      <w:tr>
        <w:trPr/>
        <w:tc>
          <w:tcPr>
            <w:tcW w:w="7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(1,467,868)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84785"/>
                <wp:effectExtent l="0" t="0" r="0" b="0"/>
                <wp:wrapNone/>
                <wp:docPr id="14" name="Frame1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CONSOLIDATED STATEMENTS OF CASH FLOWS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(In thousands)</w:t>
      </w:r>
    </w:p>
    <w:tbl>
      <w:tblPr>
        <w:tblW w:w="9007" w:type="dxa"/>
        <w:jc w:val="left"/>
        <w:tblInd w:w="0" w:type="dxa"/>
        <w:tblLayout w:type="fixed"/>
        <w:tblCellMar>
          <w:top w:w="28" w:type="dxa"/>
          <w:left w:w="28" w:type="dxa"/>
          <w:bottom w:w="28" w:type="dxa"/>
          <w:right w:w="28" w:type="dxa"/>
        </w:tblCellMar>
      </w:tblPr>
      <w:tblGrid>
        <w:gridCol w:w="2291"/>
        <w:gridCol w:w="2016"/>
        <w:gridCol w:w="2023"/>
        <w:gridCol w:w="213"/>
        <w:gridCol w:w="837"/>
        <w:gridCol w:w="109"/>
        <w:gridCol w:w="109"/>
        <w:gridCol w:w="109"/>
        <w:gridCol w:w="109"/>
        <w:gridCol w:w="211"/>
        <w:gridCol w:w="826"/>
        <w:gridCol w:w="154"/>
      </w:tblGrid>
      <w:tr>
        <w:trPr/>
        <w:tc>
          <w:tcPr>
            <w:tcW w:w="2291" w:type="dxa"/>
            <w:tcBorders/>
            <w:vAlign w:val="center"/>
          </w:tcPr>
          <w:p>
            <w:pPr>
              <w:pStyle w:val="TableContents"/>
              <w:bidi w:val="0"/>
              <w:spacing w:before="0" w:after="283"/>
              <w:jc w:val="left"/>
              <w:rPr>
                <w:sz w:val="4"/>
                <w:szCs w:val="4"/>
              </w:rPr>
            </w:pPr>
            <w:r>
              <w:rPr>
                <w:sz w:val="4"/>
                <w:szCs w:val="4"/>
              </w:rPr>
            </w:r>
          </w:p>
        </w:tc>
        <w:tc>
          <w:tcPr>
            <w:tcW w:w="2016" w:type="dxa"/>
            <w:tcBorders/>
            <w:vAlign w:val="center"/>
          </w:tcPr>
          <w:p>
            <w:pPr>
              <w:pStyle w:val="TableContents"/>
              <w:bidi w:val="0"/>
              <w:spacing w:before="0" w:after="283"/>
              <w:jc w:val="left"/>
              <w:rPr>
                <w:sz w:val="4"/>
                <w:szCs w:val="4"/>
              </w:rPr>
            </w:pPr>
            <w:r>
              <w:rPr>
                <w:sz w:val="4"/>
                <w:szCs w:val="4"/>
              </w:rPr>
            </w:r>
          </w:p>
        </w:tc>
        <w:tc>
          <w:tcPr>
            <w:tcW w:w="20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Contributions from Parent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Parent</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(439,888)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March 2024 Notes offering</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1,028,533 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Redemption of senior unsecured notes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Repayment of Revolving Credit Facility</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Repurchase of stock for tax withholding</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to non-controlling interest</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1,011,923 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 on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471,584 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432,013 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201,002 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1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paid for interest </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income taxes</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non-cash investing and financing activity:</w:t>
            </w:r>
          </w:p>
        </w:tc>
        <w:tc>
          <w:tcPr>
            <w:tcW w:w="11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Distributions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issuance costs payable</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transaction costs payable</w:t>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Investments in leases - financing receivables</w:t>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1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84785"/>
                <wp:effectExtent l="0" t="0" r="0" b="0"/>
                <wp:wrapNone/>
                <wp:docPr id="15" name="Frame1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 these notes, the words the “Company,” “VICI,” “we,” “our,” and “us” refer to VICI Properties Inc. and its subsidiaries, including VICI LP, on a consolidated basis, unless otherwise stated or the context requires otherwise.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 — Business and Organization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Business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primarily engaged in the business of owning and acquiring gaming, hospitality and entertainment destinations, subject to long-term triple-net leases. As of March 31, 2024,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VICI also owns four championship golf courses, which are managed by CDN Golf Management Inc., and are located near certain of our properties.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VICI,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2 — Summary of Significant Accounting Policies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 </w:t>
      </w:r>
    </w:p>
    <w:p>
      <w:pPr>
        <w:pStyle w:val="TextBody"/>
        <w:bidi w:val="0"/>
        <w:spacing w:lineRule="auto" w:line="288" w:before="180" w:after="283"/>
        <w:jc w:val="both"/>
        <w:rPr/>
      </w:pPr>
      <w:r>
        <w:rPr>
          <w:rFonts w:ascii="Times New Roman;sans-serif" w:hAnsi="Times New Roman;sans-serif"/>
          <w:b w:val="false"/>
          <w:color w:val="000000"/>
          <w:sz w:val="20"/>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3">
        <w:r>
          <w:rPr>
            <w:rStyle w:val="InternetLink"/>
            <w:rFonts w:ascii="Times New Roman;sans-serif" w:hAnsi="Times New Roman;sans-serif"/>
            <w:b w:val="false"/>
            <w:color w:val="0000FF"/>
            <w:sz w:val="20"/>
            <w:u w:val="single"/>
          </w:rPr>
          <w:t>Annual Report on Form 10-K</w:t>
        </w:r>
      </w:hyperlink>
      <w:r>
        <w:rPr>
          <w:rFonts w:ascii="Times New Roman;sans-serif" w:hAnsi="Times New Roman;sans-serif"/>
          <w:b w:val="false"/>
          <w:color w:val="000000"/>
          <w:sz w:val="20"/>
        </w:rPr>
        <w:t>, as updated from time to time in our other filings with the SEC.</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adjustments considered necessary for a fair statement of results for the interim period have been included, and are of a normal and recurring nature. Certain prior period amounts have been reclassified to conform to the current period presentation.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Operating results for the three months ended March 31, 2024 are not necessarily indicative of the results that may be expected for the year ending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84785"/>
                <wp:effectExtent l="0" t="0" r="0" b="0"/>
                <wp:wrapNone/>
                <wp:docPr id="16" name="Frame1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Principles of Consolidation</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Non-controlling Interests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non-controlling interests and classify such interests as a component of consolidated stockholders’ equity or partners’ capital, separate from VICI stockholders’ equity and VICI LP partners’ capital. As of March 31, 2024, VICI’s non-controlling interests represent an approximate 1.2% third-party ownership of VICI OP in the form of limited liability company interest in VICI OP (“VICI OP Units”), a 20% third-party ownership of Harrah’s Joliet LandCo LLC, the entity that owns the Harrah’s Joliet facility and is the lessor under the related lease agreement with Caesars Entertainment, Inc. (together with, as the context requires, its subsidiaries, “Caesars”) for such facility (“Joliet Lease”) and a 5.6% third-party equity ownership, in the form of Class A Units, of VICI Bowl HoldCo LLC, the entity that owns the portfolio of bowling entertainment centers leased to Bowlero Corp. (“Bowlero”) and is the lessor under the related Bowlero master lease agreement. As VICI OP is a parent entity of VICI LP, VICI LP’s only non-controlling interests are that of third-party ownership of Harrah’s Joliet LandCo LLC and VICI Bowl HoldCo.</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Cash Equivalents and Restricted Cash</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Cash consists of cash-on-hand and cash-in-bank. Highly liquid investments with an original maturity of three months or less from the date of purchase are considered cash equivalents and are carried at cost, which approximates fair value. As of March 31, 2024 and December 31, 2023, we did not have any restricted cash.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Short-Term Investments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with an original maturity of greater than three months and less than one year from the date of purchase are considered short-term investments and are stated at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had $29.6 million of short-term investments as of March 31, 2024. We did not have any short-term investments as of December 31,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Purchase Price Accounting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allocate the purchase price to the identifiable assets acquired and liabilities assumed, as applicable, using their relative fair value. Generally, the assets acquired are comprised of land, building and site improvements and in certain instances, such as our acquisition of MGM Growth Properties LLC (“MGP”) and the acquisition of the joint venture that holds the real estate assets of MGM Grand Las Vegas and Mandalay Bay (“MGM Grand/Mandalay Bay JV”), existing leases and/or debt. Further, since all the components of our leases are classified as sales-type leases or financing receivables, as further described below, the assets acquired are transferred into the net investment in lease or financing receivable, as applicable.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84785"/>
                <wp:effectExtent l="0" t="0" r="0" b="0"/>
                <wp:wrapNone/>
                <wp:docPr id="17" name="Frame1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Sales-type, Net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Leases - Financing Receivables,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 </w:t>
      </w:r>
    </w:p>
    <w:p>
      <w:pPr>
        <w:pStyle w:val="TextBody"/>
        <w:bidi w:val="0"/>
        <w:spacing w:lineRule="auto" w:line="276"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noncancelable lease term under ASC 842, which includes any reasonably certain renewal periods. All of our lease agreements provide for an initial term, with one or more tenant renewal options.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gaming assets and certain other irreplaceable real estate, we generally conclude that the lease term includes all of the periods covered by extension options as it is reasonably certain our tenants will renew the lease agreements. In these situations, we believe our tenants are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Leases and Lease Financing Receivables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and loans, as applicable, in our Statement of Operations and a portion is recorded as a change to Investments in leases - sales-type, net or Investments in leases - financing receivables, net, as applicable.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Investments in Loans and Securities, net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84785"/>
                <wp:effectExtent l="0" t="0" r="0" b="0"/>
                <wp:wrapNone/>
                <wp:docPr id="18" name="Frame1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which project estimated credit losses over the life of the lease and discount these cash flows at the asset’s effective interest rate. We then record a CECL allowance equal to the difference between the amortized cost basis of the asset and the present value of the expected credit loss cash flows.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Expected losses within our cash flows are determined by estimating the probability of default (“PD”) and loss given default (“LGD”) of our tenants and their parent guarantors, as applicable, over the life of each individual lease.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Investments in Loans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 </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Unfunded Commitments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Presentation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initial CECL allowance is recorded as a reduction to our net Investments in leases - sales-type, Investments in leases - financing receivables, Investments in loans and securities and Sales-type sub-leases (included in Other assets) on our Balance 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will result in a non-cash charge to the Statement of Operations for the relevant period.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84785"/>
                <wp:effectExtent l="0" t="0" r="0" b="0"/>
                <wp:wrapNone/>
                <wp:docPr id="19" name="Frame1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Write-offs of our investments in leases and loans are deducted from the allowance in the period in which they are deemed uncollectible. Recoveries of amounts previously written off are recorded when received. There were no charge-offs or recoveries for the three months ended March 31, 2024 and 2023.</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44afc6c18e6e47969829c5a05199c239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information.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Foreign Currency Translation and Remeasurement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certain of our consolidated subsidiaries have intercompany and third-party debt that is denominated in foreign currencies, which is not our and our consolidated subsidiaries functional currency of USD. When the debt and related operating receivables and/or payables are remeasured to the functional currency of the entity, a gain or loss can result. The resulting adjustment is reflected in Other (losses) gains, net in the Statement of Operations.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 and Other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 </w:t>
      </w:r>
    </w:p>
    <w:p>
      <w:pPr>
        <w:pStyle w:val="TextBody"/>
        <w:bidi w:val="0"/>
        <w:spacing w:lineRule="auto" w:line="276"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Fair Value Measurements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pStyle w:val="TextBody"/>
        <w:bidi w:val="0"/>
        <w:spacing w:lineRule="auto" w:line="288" w:before="180" w:after="283"/>
        <w:jc w:val="both"/>
        <w:rPr/>
      </w:pPr>
      <w:r>
        <w:rPr>
          <w:rFonts w:ascii="Times New Roman;sans-serif" w:hAnsi="Times New Roman;sans-serif"/>
          <w:b w:val="false"/>
          <w:color w:val="000000"/>
          <w:sz w:val="20"/>
        </w:rPr>
        <w:t xml:space="preserve">Refer to </w:t>
      </w:r>
      <w:hyperlink w:anchor="i44afc6c18e6e47969829c5a05199c239_76">
        <w:r>
          <w:rPr>
            <w:rStyle w:val="InternetLink"/>
            <w:rFonts w:ascii="Times New Roman;sans-serif" w:hAnsi="Times New Roman;sans-serif"/>
            <w:b w:val="false"/>
            <w:color w:val="0000FF"/>
            <w:sz w:val="20"/>
            <w:u w:val="single"/>
          </w:rPr>
          <w:t>Note 9 - Fair Value</w:t>
        </w:r>
      </w:hyperlink>
      <w:r>
        <w:rPr>
          <w:color w:val="000000"/>
        </w:rPr>
        <w:t xml:space="preserve"> </w:t>
      </w:r>
      <w:r>
        <w:rPr>
          <w:rFonts w:ascii="Times New Roman;sans-serif" w:hAnsi="Times New Roman;sans-serif"/>
          <w:b w:val="false"/>
          <w:color w:val="000000"/>
          <w:sz w:val="20"/>
        </w:rPr>
        <w:t xml:space="preserve">for further information.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Derivative Financial Instruments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our derivative financial instruments as either Other assets or Other liabilities on our Balance Sheet at fair value.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 value of the instrument are included in Net income prospectively. If the hedge relationship is terminated, then the value of the derivative previously recorded in Accumulated other comprehensive income (loss) is recognized in earnings when the hedged transactions affect earnings. Changes in the fair value of our derivative instruments that qualify as hedges are reported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84785"/>
                <wp:effectExtent l="0" t="0" r="0" b="0"/>
                <wp:wrapNone/>
                <wp:docPr id="20" name="Frame1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component of Accumulated other comprehensive income (loss) in our Balance Sheet with a corresponding change in Unrealized gain (loss) in cash flows hedges within Other comprehensive income on our Statement of Operations.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of Credit Risk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Caesars and MGM Resorts International (together with, as the context requires, its subsidiaries, “MGM”) are the guarantors of all the lease payment obligations of the tenants under the applicable leases of the properties that they each respectively lease from us. Revenue from Caesars, which comprises revenue from the Caesars leases, represented 36% and 38% of our lease revenues for the three months ended March 31, 2024 and 2023, respectively. Revenue from MGM, which comprises revenue from the MGM leases, represented 38% and 39% of our lease revenues for the three months ended March 31, 2024 and 2023, respectively. Additionally, our properties on the Las Vegas Strip generated approximately 48% of our lease revenues for each of the three months ended March 31, 2024 and 2023. Other than having two tenants from which we derive and will continue to derive a substantial portion of our revenue and our concentration in the Las Vegas market, we do not believe there are any other significant concentrations of credit risk.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2024, the SEC issued its final climate disclosure rules, which require the disclosure of material climate-related information in annual reports and registration statements, including disclosure of effects of severe weather events and other natural conditions. In April 2024, the SEC voluntarily stayed the effectiveness of the new rules pending related litigation. If the stay is lifted and the effective times are unchanged, certain of the disclosure requirements will begin to apply to our fiscal year beginning January 1, 2025. We are currently evaluating the impact of the final rules on our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2023-07 Segment Reporting (Topic 280): Improvements to Reportable Segment Disclosures, which provides for additional disclosures as they relate to a company’s segments. Additional requirements per the update include disclosures for significant segment expenses, measures of profit or loss used by the Chief Operating Decision Maker and how these measures are used to allocate resources and assess segment performance. The amendments in this ASU will also apply to entities with a single reportable segment and is effective for all public entities for fiscal years beginning after December 15, 2023 and interim periods within fiscal years beginning after December 15, 2024. We are currently evaluating the impact of ASU 2023-07 on our Financial Statements.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Recent Tax Legislation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Organization for Economic Co-operation and Development (“OECD”) has proposed a global minimum tax of 15% of reported profits (“Pillar 2”) that has been agreed upon in principle by over 140 countries. During 2023, many countries incorporated Pillar 2 model rules into their laws. The model rules provide a framework for applying the minimum tax and some countries have adopted Pillar 2 effective January 1, 2024; however, countries must individually enact Pillar 2, which may result in variation in the application of the model rules and timelines.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evaluated Pillar 2 and we do not expect it to have a material impact on our Financial Statements based upon our current structure and investments. However, there remains some uncertainty as to the final Pillar 2 model rules. We will continue to monitor the United States and global legislative actions related to Pillar 2 for potential impacts.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84785"/>
                <wp:effectExtent l="0" t="0" r="0" b="0"/>
                <wp:wrapNone/>
                <wp:docPr id="21" name="Frame2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3 — Real Estate Transactions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2024 Activity</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Property Acquisitions and Investments</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Venetian Capital Investment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Subsequent to quarter-end, on May 1, 2024, we entered into agreements to provide capital to the Venetian Resort for extensive reinvestment projects through our Partner Property Growth Fund strategy (the “Venetian Capital Investment”). The Venetian Capital Investment will fund several projects, including hotel room product renovations, gaming floor optimization and entertainment and convention center enhancements, among others, seeking to improve the overall guest experience and enhance the value of the property.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agreed to provide up to $700.0 million of financing through the Venetian Capital Investment, comprised of $400.0 million to be funded in 2024 and an incremental $300.0 million that the Venetian Resort will have the option, but not the obligation, to draw in whole or in part until November 1, 2026. The initial $400.0 million investment will be funded in three quarterly draws based on a fixed funding schedule: $100.0 million in the second quarter of 2024, $150.0 million in the third quarter of 2024 and $150.0 million in the fourth quarter of 2024. In connection with the Venetian Capital Investment, the previous Property Growth Fund Agreement entered into with Apollo in connection with the Venetian Resort acquisition providing for up to $1.0 billion of future development and construction project funding was terminated.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rent under the existing Venetian Resort lease (the “Venetian Lease”) will increase commencing on the first day of the quarter immediately following each capital funding at a 7.25% yield (the “Incremental Venetian Rent”). The Incremental Venetian Rent will begin escalating annually at 2.0% on March 1, 2029 and, commencing on March 1, 2031, will begin escalating on the same terms as the rest of the rent payable under the Venetian Lease with annual escalation equal to the greater of 2.0% or CPI, capped at 3.0%.</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Real Estate Debt Originations</w:t>
      </w:r>
    </w:p>
    <w:p>
      <w:pPr>
        <w:pStyle w:val="TextBody"/>
        <w:bidi w:val="0"/>
        <w:spacing w:lineRule="auto" w:line="288" w:before="1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2024 real estate debt origination activity: </w:t>
      </w:r>
    </w:p>
    <w:tbl>
      <w:tblPr>
        <w:tblW w:w="10205" w:type="dxa"/>
        <w:jc w:val="left"/>
        <w:tblInd w:w="0" w:type="dxa"/>
        <w:tblLayout w:type="fixed"/>
        <w:tblCellMar>
          <w:top w:w="28" w:type="dxa"/>
          <w:left w:w="28" w:type="dxa"/>
          <w:bottom w:w="28" w:type="dxa"/>
          <w:right w:w="28" w:type="dxa"/>
        </w:tblCellMar>
      </w:tblPr>
      <w:tblGrid>
        <w:gridCol w:w="861"/>
        <w:gridCol w:w="510"/>
        <w:gridCol w:w="508"/>
        <w:gridCol w:w="109"/>
        <w:gridCol w:w="109"/>
        <w:gridCol w:w="109"/>
        <w:gridCol w:w="292"/>
        <w:gridCol w:w="1144"/>
        <w:gridCol w:w="150"/>
        <w:gridCol w:w="109"/>
        <w:gridCol w:w="109"/>
        <w:gridCol w:w="109"/>
        <w:gridCol w:w="109"/>
        <w:gridCol w:w="109"/>
        <w:gridCol w:w="425"/>
        <w:gridCol w:w="425"/>
        <w:gridCol w:w="427"/>
        <w:gridCol w:w="109"/>
        <w:gridCol w:w="109"/>
        <w:gridCol w:w="109"/>
        <w:gridCol w:w="1293"/>
        <w:gridCol w:w="1227"/>
        <w:gridCol w:w="1744"/>
      </w:tblGrid>
      <w:tr>
        <w:trPr/>
        <w:tc>
          <w:tcPr>
            <w:tcW w:w="86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744" w:type="dxa"/>
            <w:tcBorders/>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Investment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8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8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Homefield Margaritaville Loan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115,000 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Simultaneous with entering into the loan agreement, we entered into a call right agreement that provides us with a call option on (i) the Margaritaville Resort, (ii) the new Homefield Kansas City youth sports training facility (“Homefield”), (iii) the new Homefield baseball center, and (iv) the existing Homefield youth sports complex in Olathe, Kansas. We also received a right of first refusal to acquire the real estate of any future Homefield property, should Homefield elect to monetize such assets in a sale-leaseback transaction. If the call option is exercised, all of the properties, including the Margaritaville Resort, will be subject to a single long-term triple net master lease with us.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84785"/>
                <wp:effectExtent l="0" t="0" r="0" b="0"/>
                <wp:wrapNone/>
                <wp:docPr id="22" name="Frame2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30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4 — Real Estate Portfolio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real estate portfolio consisted of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sales-type, representing our investment in 26 casino assets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leases – financing receivables, representing our investment in 28 casino assets and 39 other experiential properties leased on a triple-net basis to our tenants under ten separate lease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Investments in loans and securities, representing our 16 debt investments in senior secured and mezzanine loans, preferred equity and the senior secured notes;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Land, representing our investment in certain underdeveloped or undeveloped land adjacent to the Las Vegas strip and non-operating, vacant land parcels.</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balances of our real estate portfolio as of March 31, 2024 and December 31, 2023:</w:t>
      </w:r>
    </w:p>
    <w:tbl>
      <w:tblPr>
        <w:tblW w:w="7637" w:type="dxa"/>
        <w:jc w:val="left"/>
        <w:tblInd w:w="0" w:type="dxa"/>
        <w:tblLayout w:type="fixed"/>
        <w:tblCellMar>
          <w:top w:w="28" w:type="dxa"/>
          <w:left w:w="28" w:type="dxa"/>
          <w:bottom w:w="28" w:type="dxa"/>
          <w:right w:w="28" w:type="dxa"/>
        </w:tblCellMar>
      </w:tblPr>
      <w:tblGrid>
        <w:gridCol w:w="1565"/>
        <w:gridCol w:w="1375"/>
        <w:gridCol w:w="1379"/>
        <w:gridCol w:w="211"/>
        <w:gridCol w:w="1081"/>
        <w:gridCol w:w="109"/>
        <w:gridCol w:w="109"/>
        <w:gridCol w:w="109"/>
        <w:gridCol w:w="109"/>
        <w:gridCol w:w="232"/>
        <w:gridCol w:w="1189"/>
        <w:gridCol w:w="169"/>
      </w:tblGrid>
      <w:tr>
        <w:trPr/>
        <w:tc>
          <w:tcPr>
            <w:tcW w:w="1565"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net </w:t>
            </w:r>
            <w:r>
              <w:rPr>
                <w:rFonts w:ascii="Times New Roman;sans-serif" w:hAnsi="Times New Roman;sans-serif"/>
                <w:b w:val="false"/>
                <w:i/>
                <w:color w:val="000000"/>
                <w:sz w:val="13"/>
              </w:rPr>
              <w:t>(1)</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investments in leases, net</w:t>
            </w:r>
          </w:p>
        </w:tc>
        <w:tc>
          <w:tcPr>
            <w:tcW w:w="12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41,252,549 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41,227,033 </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 net</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150,727 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real estate portfolio</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42,628,263 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42,521,937 </w:t>
            </w:r>
          </w:p>
        </w:tc>
        <w:tc>
          <w:tcPr>
            <w:tcW w:w="1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At lease inception (or upon modification), we determine the estimated residual values of the leased property (not guaranteed) under the respective lease agreements, which has a material impact on the determination of the rate implicit in the lease and the lease classification. As of March 31, 2024 and December 31, 2023, the estimated residual values of the leased properties under our lease agreements were $15.8 billion and $15.9 billion, respectively.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Investments in Leases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leases and lease financing receivables:</w:t>
      </w:r>
    </w:p>
    <w:tbl>
      <w:tblPr>
        <w:tblW w:w="8140" w:type="dxa"/>
        <w:jc w:val="left"/>
        <w:tblInd w:w="0" w:type="dxa"/>
        <w:tblLayout w:type="fixed"/>
        <w:tblCellMar>
          <w:top w:w="28" w:type="dxa"/>
          <w:left w:w="28" w:type="dxa"/>
          <w:bottom w:w="28" w:type="dxa"/>
          <w:right w:w="28" w:type="dxa"/>
        </w:tblCellMar>
      </w:tblPr>
      <w:tblGrid>
        <w:gridCol w:w="1825"/>
        <w:gridCol w:w="1605"/>
        <w:gridCol w:w="1610"/>
        <w:gridCol w:w="211"/>
        <w:gridCol w:w="826"/>
        <w:gridCol w:w="109"/>
        <w:gridCol w:w="109"/>
        <w:gridCol w:w="109"/>
        <w:gridCol w:w="109"/>
        <w:gridCol w:w="211"/>
        <w:gridCol w:w="826"/>
        <w:gridCol w:w="109"/>
        <w:gridCol w:w="109"/>
        <w:gridCol w:w="109"/>
        <w:gridCol w:w="109"/>
        <w:gridCol w:w="154"/>
      </w:tblGrid>
      <w:tr>
        <w:trPr/>
        <w:tc>
          <w:tcPr>
            <w:tcW w:w="1825"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 – fixed rent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486,651 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sales-type leases – contingent rent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 fixed rent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Income from lease financing receivables – contingent rent</w:t>
            </w:r>
            <w:r>
              <w:rPr>
                <w:color w:val="000000"/>
              </w:rPr>
              <w:t xml:space="preserve">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lease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the minimum lease payments from sales-type leases and lease financing receivables in order to recognize income on an effective interest basis at a constant rate of return over the term of the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84785"/>
                <wp:effectExtent l="0" t="0" r="0" b="0"/>
                <wp:wrapNone/>
                <wp:docPr id="23" name="Frame2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March 31, 2024, minimum lease payments owed to us for each of the five succeeding years and thereafter under sales-type leases and our leases accounted for as financing receivables, are as follows:</w:t>
      </w:r>
    </w:p>
    <w:tbl>
      <w:tblPr>
        <w:tblW w:w="8620" w:type="dxa"/>
        <w:jc w:val="left"/>
        <w:tblInd w:w="0" w:type="dxa"/>
        <w:tblLayout w:type="fixed"/>
        <w:tblCellMar>
          <w:top w:w="28" w:type="dxa"/>
          <w:left w:w="28" w:type="dxa"/>
          <w:bottom w:w="28" w:type="dxa"/>
          <w:right w:w="28" w:type="dxa"/>
        </w:tblCellMar>
      </w:tblPr>
      <w:tblGrid>
        <w:gridCol w:w="967"/>
        <w:gridCol w:w="850"/>
        <w:gridCol w:w="852"/>
        <w:gridCol w:w="109"/>
        <w:gridCol w:w="109"/>
        <w:gridCol w:w="109"/>
        <w:gridCol w:w="211"/>
        <w:gridCol w:w="1081"/>
        <w:gridCol w:w="109"/>
        <w:gridCol w:w="109"/>
        <w:gridCol w:w="109"/>
        <w:gridCol w:w="109"/>
        <w:gridCol w:w="109"/>
        <w:gridCol w:w="109"/>
        <w:gridCol w:w="271"/>
        <w:gridCol w:w="1389"/>
        <w:gridCol w:w="140"/>
        <w:gridCol w:w="109"/>
        <w:gridCol w:w="109"/>
        <w:gridCol w:w="109"/>
        <w:gridCol w:w="211"/>
        <w:gridCol w:w="1186"/>
        <w:gridCol w:w="154"/>
      </w:tblGrid>
      <w:tr>
        <w:trPr/>
        <w:tc>
          <w:tcPr>
            <w:tcW w:w="96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6" w:type="dxa"/>
            <w:gridSpan w:val="11"/>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Minimum Lease Payments </w:t>
            </w:r>
            <w:r>
              <w:rPr>
                <w:rFonts w:ascii="Times New Roman;sans-serif" w:hAnsi="Times New Roman;sans-serif"/>
                <w:b/>
                <w:i/>
                <w:color w:val="000000"/>
                <w:sz w:val="12"/>
              </w:rPr>
              <w:t>(1) (2)</w:t>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Investments in Leases</w:t>
            </w:r>
          </w:p>
        </w:tc>
        <w:tc>
          <w:tcPr>
            <w:tcW w:w="10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8" w:type="dxa"/>
            <w:gridSpan w:val="6"/>
            <w:tcBorders/>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Sales-Type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Receivables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cMar>
              <w:top w:w="0" w:type="dxa"/>
              <w:left w:w="0" w:type="dxa"/>
              <w:bottom w:w="0" w:type="dxa"/>
              <w:right w:w="0" w:type="dxa"/>
            </w:tcMar>
            <w:vAlign w:val="center"/>
          </w:tcPr>
          <w:p>
            <w:pPr>
              <w:pStyle w:val="TableContents"/>
              <w:bidi w:val="0"/>
              <w:spacing w:lineRule="auto" w:line="240" w:before="60" w:after="283"/>
              <w:jc w:val="center"/>
              <w:rPr>
                <w:rFonts w:ascii="Times New Roman;sans-serif" w:hAnsi="Times New Roman;sans-serif"/>
                <w:b/>
                <w:color w:val="000000"/>
                <w:sz w:val="18"/>
              </w:rPr>
            </w:pPr>
            <w:r>
              <w:rPr>
                <w:rFonts w:ascii="Times New Roman;sans-serif" w:hAnsi="Times New Roman;sans-serif"/>
                <w:b/>
                <w:color w:val="000000"/>
                <w:sz w:val="18"/>
              </w:rPr>
              <w:t xml:space="preserve">Total </w:t>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927,821 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2,191,940 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1,255,715 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2,968,366 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1,278,993 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3,017,935 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1,766,012 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1,302,838 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3,068,850 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1,794,287 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1,327,400 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3,121,687 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1,823,029 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1,352,442 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3,175,471 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76,719,989 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88,476,087 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165,196,076 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86,819,029 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3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95,921,296 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182,740,325 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 xml:space="preserve">Weighted Average Lease Term </w:t>
            </w:r>
            <w:r>
              <w:rPr>
                <w:rFonts w:ascii="Times New Roman;sans-serif" w:hAnsi="Times New Roman;sans-serif"/>
                <w:b/>
                <w:i/>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years</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Minimum lease payments do not include contingent rent, as discussed above, that may be received under the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The minimum lease payments and weighted average remaining lease term includes the non-cancelable lease term and any tenant renewal options that we determined were reasonably assured, consistent with our conclusions under ASC 842 and ASC 310.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Lease Provisions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20%, are subject to adjustment based on the revenues of the underlying asset in specified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84785"/>
                <wp:effectExtent l="0" t="0" r="0" b="0"/>
                <wp:wrapNone/>
                <wp:docPr id="24" name="Frame2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material lease provisions of our leases with Caesars and MGM, our two most significant tenants (each, as may be amended from time to time, and each individually, as defined in the respective header):</w:t>
      </w:r>
    </w:p>
    <w:tbl>
      <w:tblPr>
        <w:tblW w:w="10205" w:type="dxa"/>
        <w:jc w:val="left"/>
        <w:tblInd w:w="0" w:type="dxa"/>
        <w:tblLayout w:type="fixed"/>
        <w:tblCellMar>
          <w:top w:w="28" w:type="dxa"/>
          <w:left w:w="28" w:type="dxa"/>
          <w:bottom w:w="28" w:type="dxa"/>
          <w:right w:w="28" w:type="dxa"/>
        </w:tblCellMar>
      </w:tblPr>
      <w:tblGrid>
        <w:gridCol w:w="637"/>
        <w:gridCol w:w="415"/>
        <w:gridCol w:w="417"/>
        <w:gridCol w:w="109"/>
        <w:gridCol w:w="109"/>
        <w:gridCol w:w="109"/>
        <w:gridCol w:w="746"/>
        <w:gridCol w:w="557"/>
        <w:gridCol w:w="560"/>
        <w:gridCol w:w="109"/>
        <w:gridCol w:w="109"/>
        <w:gridCol w:w="109"/>
        <w:gridCol w:w="592"/>
        <w:gridCol w:w="509"/>
        <w:gridCol w:w="511"/>
        <w:gridCol w:w="109"/>
        <w:gridCol w:w="109"/>
        <w:gridCol w:w="109"/>
        <w:gridCol w:w="627"/>
        <w:gridCol w:w="497"/>
        <w:gridCol w:w="499"/>
        <w:gridCol w:w="109"/>
        <w:gridCol w:w="109"/>
        <w:gridCol w:w="109"/>
        <w:gridCol w:w="109"/>
        <w:gridCol w:w="109"/>
        <w:gridCol w:w="109"/>
        <w:gridCol w:w="109"/>
        <w:gridCol w:w="552"/>
        <w:gridCol w:w="552"/>
        <w:gridCol w:w="790"/>
      </w:tblGrid>
      <w:tr>
        <w:trPr/>
        <w:tc>
          <w:tcPr>
            <w:tcW w:w="637"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Caesars Las Vegas </w:t>
              <w:br/>
              <w:t>Master Lease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MGM Grand/</w:t>
              <w:br/>
              <w:t>Mandalay Bay Lease</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Lease 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89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4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25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30 years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term maturity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4/30/2047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7/31/2035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2/28/2050</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Renewal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Three, ten-year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Four, five-year terms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Two, ten-year terms</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lease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5/1/24-4/30/25 </w:t>
              <w:br/>
              <w:t>(Lease Year 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11/1/23 – 10/31/24</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11/1/23 – 10/31/24 </w:t>
              <w:br/>
              <w:t>(Lease Year 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3/1/24 – 2/29/25 (Lease Year 5)</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annual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$759,492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$728,407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$469,219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$316,070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Annual escalator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 years 2-10 </w:t>
            </w:r>
            <w:r>
              <w:rPr>
                <w:color w:val="000000"/>
              </w:rPr>
              <w:t xml:space="preserve">– </w:t>
            </w:r>
            <w:r>
              <w:rPr>
                <w:rFonts w:ascii="Times New Roman;sans-serif" w:hAnsi="Times New Roman;sans-serif"/>
                <w:b w:val="false"/>
                <w:color w:val="000000"/>
                <w:sz w:val="20"/>
              </w:rPr>
              <w:t>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Lease years 11-end of term – &gt; 2% / change in CPI (capped at 3%)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2-5 – 1.5%</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6-end of term – &gt; 2.0%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&gt; 2% / change in CPI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2-15 – 2%</w:t>
            </w:r>
          </w:p>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Lease years 16-end of term – &gt;2% / change in CPI (capped at 3%)</w:t>
            </w:r>
          </w:p>
        </w:tc>
      </w:tr>
      <w:tr>
        <w:trPr/>
        <w:tc>
          <w:tcPr>
            <w:tcW w:w="1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Variable rent adjustment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70% base rent / 30% variable rent</w:t>
            </w:r>
          </w:p>
          <w:p>
            <w:pPr>
              <w:pStyle w:val="TableContents"/>
              <w:bidi w:val="0"/>
              <w:spacing w:lineRule="auto" w:line="240" w:before="0" w:after="0"/>
              <w:jc w:val="left"/>
              <w:rPr/>
            </w:pPr>
            <w:r>
              <w:rPr>
                <w:rFonts w:ascii="Times New Roman;sans-serif" w:hAnsi="Times New Roman;sans-serif"/>
                <w:b/>
                <w:color w:val="000000"/>
                <w:sz w:val="20"/>
              </w:rPr>
              <w:t>Years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Years 8, 11 &amp; 16</w:t>
            </w:r>
            <w:r>
              <w:rPr>
                <w:rFonts w:ascii="Times New Roman;sans-serif" w:hAnsi="Times New Roman;sans-serif"/>
                <w:b w:val="false"/>
                <w:color w:val="000000"/>
                <w:sz w:val="20"/>
              </w:rPr>
              <w:t>: 80% base rent / 20% variable 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Variable rent adjustment calculation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4% of revenue increase/decrease:</w:t>
            </w:r>
          </w:p>
          <w:p>
            <w:pPr>
              <w:pStyle w:val="TableContents"/>
              <w:bidi w:val="0"/>
              <w:spacing w:lineRule="auto" w:line="240" w:before="0" w:after="0"/>
              <w:jc w:val="left"/>
              <w:rPr/>
            </w:pPr>
            <w:r>
              <w:rPr>
                <w:rFonts w:ascii="Times New Roman;sans-serif" w:hAnsi="Times New Roman;sans-serif"/>
                <w:b/>
                <w:color w:val="000000"/>
                <w:sz w:val="20"/>
              </w:rPr>
              <w:t>Year 8</w:t>
            </w:r>
            <w:r>
              <w:rPr>
                <w:rFonts w:ascii="Times New Roman;sans-serif" w:hAnsi="Times New Roman;sans-serif"/>
                <w:b w:val="false"/>
                <w:color w:val="000000"/>
                <w:sz w:val="20"/>
              </w:rPr>
              <w:t>: Avg. of years 5-7 less avg. of years 0-2</w:t>
            </w:r>
          </w:p>
          <w:p>
            <w:pPr>
              <w:pStyle w:val="TableContents"/>
              <w:bidi w:val="0"/>
              <w:spacing w:lineRule="auto" w:line="240" w:before="0" w:after="0"/>
              <w:jc w:val="left"/>
              <w:rPr/>
            </w:pPr>
            <w:r>
              <w:rPr>
                <w:rFonts w:ascii="Times New Roman;sans-serif" w:hAnsi="Times New Roman;sans-serif"/>
                <w:b/>
                <w:color w:val="000000"/>
                <w:sz w:val="20"/>
              </w:rPr>
              <w:t>Year 11</w:t>
            </w:r>
            <w:r>
              <w:rPr>
                <w:rFonts w:ascii="Times New Roman;sans-serif" w:hAnsi="Times New Roman;sans-serif"/>
                <w:b w:val="false"/>
                <w:color w:val="000000"/>
                <w:sz w:val="20"/>
              </w:rPr>
              <w:t>: Avg. of years 8-10 less avg. of years 5-7</w:t>
            </w:r>
          </w:p>
          <w:p>
            <w:pPr>
              <w:pStyle w:val="TableContents"/>
              <w:bidi w:val="0"/>
              <w:spacing w:lineRule="auto" w:line="240" w:before="0" w:after="0"/>
              <w:jc w:val="left"/>
              <w:rPr/>
            </w:pPr>
            <w:r>
              <w:rPr>
                <w:rFonts w:ascii="Times New Roman;sans-serif" w:hAnsi="Times New Roman;sans-serif"/>
                <w:b/>
                <w:color w:val="000000"/>
                <w:sz w:val="20"/>
              </w:rPr>
              <w:t>Year 16</w:t>
            </w:r>
            <w:r>
              <w:rPr>
                <w:rFonts w:ascii="Times New Roman;sans-serif" w:hAnsi="Times New Roman;sans-serif"/>
                <w:b w:val="false"/>
                <w:color w:val="000000"/>
                <w:sz w:val="20"/>
              </w:rPr>
              <w:t>: Avg. of years 13-15 less avg. of years 8-10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$719.0 million. </w:t>
      </w:r>
    </w:p>
    <w:p>
      <w:pPr>
        <w:pStyle w:val="TextBody"/>
        <w:bidi w:val="0"/>
        <w:spacing w:lineRule="auto" w:line="25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Any amounts representing rents in excess of the CPI floors specified above are considered contingent rent in accordance with GAAP.</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Variable rent is not subject to the annual escalator.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84785"/>
                <wp:effectExtent l="0" t="0" r="0" b="0"/>
                <wp:wrapNone/>
                <wp:docPr id="25" name="Frame2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Capital Expenditure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tbl>
      <w:tblPr>
        <w:tblW w:w="10205" w:type="dxa"/>
        <w:jc w:val="left"/>
        <w:tblInd w:w="0" w:type="dxa"/>
        <w:tblLayout w:type="fixed"/>
        <w:tblCellMar>
          <w:top w:w="28" w:type="dxa"/>
          <w:left w:w="28" w:type="dxa"/>
          <w:bottom w:w="28" w:type="dxa"/>
          <w:right w:w="28" w:type="dxa"/>
        </w:tblCellMar>
      </w:tblPr>
      <w:tblGrid>
        <w:gridCol w:w="503"/>
        <w:gridCol w:w="442"/>
        <w:gridCol w:w="447"/>
        <w:gridCol w:w="109"/>
        <w:gridCol w:w="109"/>
        <w:gridCol w:w="109"/>
        <w:gridCol w:w="501"/>
        <w:gridCol w:w="501"/>
        <w:gridCol w:w="503"/>
        <w:gridCol w:w="109"/>
        <w:gridCol w:w="109"/>
        <w:gridCol w:w="109"/>
        <w:gridCol w:w="429"/>
        <w:gridCol w:w="393"/>
        <w:gridCol w:w="394"/>
        <w:gridCol w:w="109"/>
        <w:gridCol w:w="109"/>
        <w:gridCol w:w="109"/>
        <w:gridCol w:w="659"/>
        <w:gridCol w:w="574"/>
        <w:gridCol w:w="577"/>
        <w:gridCol w:w="109"/>
        <w:gridCol w:w="109"/>
        <w:gridCol w:w="109"/>
        <w:gridCol w:w="109"/>
        <w:gridCol w:w="109"/>
        <w:gridCol w:w="553"/>
        <w:gridCol w:w="505"/>
        <w:gridCol w:w="507"/>
        <w:gridCol w:w="363"/>
        <w:gridCol w:w="339"/>
        <w:gridCol w:w="489"/>
      </w:tblGrid>
      <w:tr>
        <w:trPr/>
        <w:tc>
          <w:tcPr>
            <w:tcW w:w="503"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13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Provision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Regional Master Lease and Joliet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Caesars Las Vegas Master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MGM Grand/ Mandalay Bay Lease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Venetian Lease</w:t>
            </w:r>
          </w:p>
        </w:tc>
        <w:tc>
          <w:tcPr>
            <w:tcW w:w="11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All Other Gaming Leases </w:t>
            </w:r>
            <w:r>
              <w:rPr>
                <w:rFonts w:ascii="Times New Roman;sans-serif" w:hAnsi="Times New Roman;sans-serif"/>
                <w:b/>
                <w:i/>
                <w:color w:val="000000"/>
                <w:sz w:val="13"/>
              </w:rPr>
              <w:t>(1)</w:t>
            </w:r>
          </w:p>
        </w:tc>
      </w:tr>
      <w:tr>
        <w:trPr/>
        <w:tc>
          <w:tcPr>
            <w:tcW w:w="13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Yearly minimum expenditure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1% of net revenues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 of net revenues based on 5-year rolling test, 1.5% monthly reserves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 of net revenues based on rolling three-year basis</w:t>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 of net revenues</w:t>
            </w:r>
          </w:p>
        </w:tc>
      </w:tr>
      <w:tr>
        <w:trPr/>
        <w:tc>
          <w:tcPr>
            <w:tcW w:w="13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Rolling three-year minimum</w:t>
            </w:r>
            <w:r>
              <w:rPr>
                <w:color w:val="000000"/>
              </w:rPr>
              <w:t xml:space="preserve">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$286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 million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the tenants under our other gaming lease agreements not specifically outlined in the table, as specified in the respective lease agreements.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(3) 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expend a minimum of $531.9 million on capital expenditures (including gaming equipment) across certain of its affiliates and other assets, together with the $380.3 million requirement.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Investments in Loans and Securities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our investments in loans and securities as of March 31, 2024 and December 31, 2023:</w:t>
      </w:r>
    </w:p>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i/>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81,303 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441,425 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435,265 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543,151 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722,200 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708,420 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255,509 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7"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1,248,625 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798,660 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years</w:t>
            </w:r>
          </w:p>
        </w:tc>
      </w:tr>
    </w:tbl>
    <w:tbl>
      <w:tblPr>
        <w:tblW w:w="10205" w:type="dxa"/>
        <w:jc w:val="left"/>
        <w:tblInd w:w="0" w:type="dxa"/>
        <w:tblLayout w:type="fixed"/>
        <w:tblCellMar>
          <w:top w:w="28" w:type="dxa"/>
          <w:left w:w="28" w:type="dxa"/>
          <w:bottom w:w="28" w:type="dxa"/>
          <w:right w:w="28" w:type="dxa"/>
        </w:tblCellMar>
      </w:tblPr>
      <w:tblGrid>
        <w:gridCol w:w="124"/>
        <w:gridCol w:w="109"/>
        <w:gridCol w:w="596"/>
        <w:gridCol w:w="471"/>
        <w:gridCol w:w="461"/>
        <w:gridCol w:w="109"/>
        <w:gridCol w:w="109"/>
        <w:gridCol w:w="109"/>
        <w:gridCol w:w="216"/>
        <w:gridCol w:w="1001"/>
        <w:gridCol w:w="111"/>
        <w:gridCol w:w="109"/>
        <w:gridCol w:w="109"/>
        <w:gridCol w:w="109"/>
        <w:gridCol w:w="218"/>
        <w:gridCol w:w="1011"/>
        <w:gridCol w:w="112"/>
        <w:gridCol w:w="109"/>
        <w:gridCol w:w="109"/>
        <w:gridCol w:w="109"/>
        <w:gridCol w:w="283"/>
        <w:gridCol w:w="1111"/>
        <w:gridCol w:w="147"/>
        <w:gridCol w:w="109"/>
        <w:gridCol w:w="109"/>
        <w:gridCol w:w="109"/>
        <w:gridCol w:w="391"/>
        <w:gridCol w:w="286"/>
        <w:gridCol w:w="715"/>
        <w:gridCol w:w="109"/>
        <w:gridCol w:w="109"/>
        <w:gridCol w:w="109"/>
        <w:gridCol w:w="349"/>
        <w:gridCol w:w="349"/>
        <w:gridCol w:w="50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7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rPr>
            </w:pPr>
            <w:r>
              <w:rPr>
                <w:rFonts w:ascii="Times New Roman;sans-serif" w:hAnsi="Times New Roman;sans-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7"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Balance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i/>
                <w:color w:val="000000"/>
                <w:sz w:val="12"/>
              </w:rPr>
              <w:t>(1)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Future Funding Commitments </w:t>
            </w:r>
            <w:r>
              <w:rPr>
                <w:rFonts w:ascii="Times New Roman;sans-serif" w:hAnsi="Times New Roman;sans-serif"/>
                <w:b/>
                <w:i/>
                <w:color w:val="000000"/>
                <w:sz w:val="12"/>
              </w:rPr>
              <w:t>(2)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Interest Rate </w:t>
            </w:r>
            <w:r>
              <w:rPr>
                <w:rFonts w:ascii="Times New Roman;sans-serif" w:hAnsi="Times New Roman;sans-serif"/>
                <w:b/>
                <w:i/>
                <w:color w:val="000000"/>
                <w:sz w:val="12"/>
              </w:rPr>
              <w:t>(3)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Weighted Average Term </w:t>
            </w:r>
            <w:r>
              <w:rPr>
                <w:rFonts w:ascii="Times New Roman;sans-serif" w:hAnsi="Times New Roman;sans-serif"/>
                <w:b/>
                <w:i/>
                <w:color w:val="000000"/>
                <w:sz w:val="12"/>
              </w:rPr>
              <w:t>(4)</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Senior Secured Notes </w:t>
            </w:r>
            <w:r>
              <w:rPr>
                <w:rFonts w:ascii="Times New Roman;sans-serif" w:hAnsi="Times New Roman;sans-serif"/>
                <w:b w:val="false"/>
                <w:color w:val="000000"/>
                <w:sz w:val="13"/>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85,000 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73,818 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7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Secured Loans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392,250 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386,274 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476,395 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7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Mezzanine Loans and Preferred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698,861 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684,085 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278,848 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7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years</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1,176,111 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755,243 </w:t>
            </w:r>
          </w:p>
        </w:tc>
        <w:tc>
          <w:tcPr>
            <w:tcW w:w="1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9.0 </w:t>
            </w:r>
          </w:p>
        </w:tc>
        <w:tc>
          <w:tcPr>
            <w:tcW w:w="7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7"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years</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Carrying value includes unamortized loan origination costs and are net of allowance for credit losses.</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Our future funding commitments are subject to our borrowers’ compliance with the financial covenants and other applicable provisions of each respective loan agreement.</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weighted average interest rate is based on current outstanding principal balance and SOFR, as applicable for floating rate loans, as of March 31,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(4) Assumes all extension options are exercised; however, our loans may be repaid, subject to certain conditions, prior to such date.</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(5) Represents our investment in the Hard Rock Ottawa Notes, which are accounted for as held-to-maturity securities.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84785"/>
                <wp:effectExtent l="0" t="0" r="0" b="0"/>
                <wp:wrapNone/>
                <wp:docPr id="26" name="Frame2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Note 5 —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ASC 326, we are required to estimate and record non-cash credit losses related to our historical and any future investments in sales-type leases, lease financing receivables, loans and securities classified as held-to-maturity.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the allowance for credit losses as of March 31, 2024 and December 31, 2023:</w:t>
      </w:r>
    </w:p>
    <w:tbl>
      <w:tblPr>
        <w:tblW w:w="10205" w:type="dxa"/>
        <w:jc w:val="left"/>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23,787,027 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(801,190)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22,985,837 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18,978,214 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(711,502)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18,266,712 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44,878,199 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(1,555,727)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43,322,472 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033"/>
        <w:gridCol w:w="897"/>
        <w:gridCol w:w="860"/>
        <w:gridCol w:w="211"/>
        <w:gridCol w:w="1081"/>
        <w:gridCol w:w="109"/>
        <w:gridCol w:w="109"/>
        <w:gridCol w:w="109"/>
        <w:gridCol w:w="109"/>
        <w:gridCol w:w="211"/>
        <w:gridCol w:w="1029"/>
        <w:gridCol w:w="109"/>
        <w:gridCol w:w="109"/>
        <w:gridCol w:w="109"/>
        <w:gridCol w:w="109"/>
        <w:gridCol w:w="211"/>
        <w:gridCol w:w="1081"/>
        <w:gridCol w:w="109"/>
        <w:gridCol w:w="109"/>
        <w:gridCol w:w="109"/>
        <w:gridCol w:w="109"/>
        <w:gridCol w:w="499"/>
        <w:gridCol w:w="455"/>
        <w:gridCol w:w="1329"/>
      </w:tblGrid>
      <w:tr>
        <w:trPr/>
        <w:tc>
          <w:tcPr>
            <w:tcW w:w="1033"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329" w:type="dxa"/>
            <w:tcBorders/>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Allowance </w:t>
            </w:r>
            <w:r>
              <w:rPr>
                <w:rFonts w:ascii="Times New Roman;sans-serif" w:hAnsi="Times New Roman;sans-serif"/>
                <w:b/>
                <w:i/>
                <w:color w:val="000000"/>
                <w:sz w:val="12"/>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Investment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Allowance as a % of Amortized Cost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sales-type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23,717,060 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(701,129)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23,015,931 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2.96 </w:t>
            </w:r>
          </w:p>
        </w:tc>
        <w:tc>
          <w:tcPr>
            <w:tcW w:w="1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leases – financing receivables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18,914,734 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(703,632)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loans and securities</w:t>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1,173,949 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13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 sales-type sub-leases</w:t>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2.16 </w:t>
            </w:r>
          </w:p>
        </w:tc>
        <w:tc>
          <w:tcPr>
            <w:tcW w:w="13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44,671,795 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(1,453,255)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43,218,540 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3.25 </w:t>
            </w:r>
          </w:p>
        </w:tc>
        <w:tc>
          <w:tcPr>
            <w:tcW w:w="13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 The total allowance excludes the CECL allowance for unfunded commitments of our loans and for unfunded commitments made to our tenants to fund the development and construction of improvements at our properties. As of March 31, 2024 and December 31, 2023, such allowance is $22.4 million and $19.1 million, respectively, and is recorded in Other liabilities. </w:t>
      </w:r>
    </w:p>
    <w:p>
      <w:pPr>
        <w:pStyle w:val="TextBody"/>
        <w:bidi w:val="0"/>
        <w:spacing w:lineRule="auto" w:line="288" w:before="3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chart reflects the roll-forward of the allowance for credit losses on our real estate portfolio for the three months ended March 31, 2024 and 2023:</w:t>
      </w:r>
    </w:p>
    <w:tbl>
      <w:tblPr>
        <w:tblW w:w="7401" w:type="dxa"/>
        <w:jc w:val="left"/>
        <w:tblInd w:w="0" w:type="dxa"/>
        <w:tblLayout w:type="fixed"/>
        <w:tblCellMar>
          <w:top w:w="28" w:type="dxa"/>
          <w:left w:w="28" w:type="dxa"/>
          <w:bottom w:w="28" w:type="dxa"/>
          <w:right w:w="28" w:type="dxa"/>
        </w:tblCellMar>
      </w:tblPr>
      <w:tblGrid>
        <w:gridCol w:w="1489"/>
        <w:gridCol w:w="1309"/>
        <w:gridCol w:w="1312"/>
        <w:gridCol w:w="109"/>
        <w:gridCol w:w="109"/>
        <w:gridCol w:w="109"/>
        <w:gridCol w:w="211"/>
        <w:gridCol w:w="976"/>
        <w:gridCol w:w="109"/>
        <w:gridCol w:w="109"/>
        <w:gridCol w:w="109"/>
        <w:gridCol w:w="109"/>
        <w:gridCol w:w="211"/>
        <w:gridCol w:w="976"/>
        <w:gridCol w:w="154"/>
      </w:tblGrid>
      <w:tr>
        <w:trPr/>
        <w:tc>
          <w:tcPr>
            <w:tcW w:w="1489"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December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1,472,386 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1,368,819 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Initial allowance from current period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234,064 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credit allowance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(122,774)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Charge-offs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1,578,088 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1,480,109 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we recognized a $106.9 million increase in our allowance for credit losses primarily driven by the following:</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An increase in the R&amp;S Period PD of several of our tenants and their parent guarantors (as applicable) as a result of their market performance during the quarter and changes in the macroeconomic model used to scenario condition such inputs;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Initial CECL allowances of $0.7 million on our $115.0 million loan origination activity during such period.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This increase was partially offset as a result of standard annual updates to the CECL model used and certain related inputs, including the Long-Term Period PD.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84785"/>
                <wp:effectExtent l="0" t="0" r="0" b="0"/>
                <wp:wrapNone/>
                <wp:docPr id="27" name="Frame2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pPr>
      <w:r>
        <w:rPr>
          <w:rFonts w:ascii="Times New Roman;sans-serif" w:hAnsi="Times New Roman;sans-serif"/>
          <w:b w:val="false"/>
          <w:color w:val="000000"/>
          <w:sz w:val="20"/>
          <w:shd w:fill="FFFFFF" w:val="clear"/>
        </w:rPr>
        <w:t>During the three months ended March 31, 2023, we recognized a $111.5 million</w:t>
      </w:r>
      <w:r>
        <w:rPr>
          <w:color w:val="000000"/>
        </w:rPr>
        <w:t xml:space="preserve"> </w:t>
      </w:r>
      <w:r>
        <w:rPr>
          <w:rFonts w:ascii="Times New Roman;sans-serif" w:hAnsi="Times New Roman;sans-serif"/>
          <w:b w:val="false"/>
          <w:color w:val="000000"/>
          <w:sz w:val="20"/>
        </w:rPr>
        <w:t>increase in our allowance for credit losses primarily driven by the following:</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Initial CECL allowances of $229.6 million on our $5.7 billion of property acquisition activity and $4.5 million on our $85.0 million loan origination activity during such period; and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A net increase as a result of standard annual updates to the CECL model used and certain related inputs, including the Long-Term Period PD.</w:t>
      </w:r>
    </w:p>
    <w:p>
      <w:pPr>
        <w:pStyle w:val="TextBody"/>
        <w:bidi w:val="0"/>
        <w:spacing w:lineRule="auto" w:line="288" w:before="60" w:after="283"/>
        <w:ind w:left="0" w:right="0" w:hanging="360"/>
        <w:jc w:val="both"/>
        <w:rPr/>
      </w:pPr>
      <w:r>
        <w:rPr>
          <w:color w:val="000000"/>
        </w:rPr>
        <w:t>•</w:t>
      </w:r>
      <w:r>
        <w:rPr>
          <w:rFonts w:ascii="Times New Roman;sans-serif" w:hAnsi="Times New Roman;sans-serif"/>
          <w:b w:val="false"/>
          <w:color w:val="000000"/>
          <w:sz w:val="20"/>
        </w:rPr>
        <w:t>This increase was partially offset by an overall decrease in the R&amp;S Period PD of our tenants and their parent guarantors (as applicable) as a result of their market performance during the quarter and changes in the macroeconomic model used to scenario condition such inputs.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and December 31, 2023, and since our formation on October 6, 2017, all of our lease agreements and loan and security investments are current in payment of their obligations to us and no investments are on non-accrual status.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Credit Quality Indicators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 </w:t>
      </w:r>
    </w:p>
    <w:p>
      <w:pPr>
        <w:pStyle w:val="TextBody"/>
        <w:bidi w:val="0"/>
        <w:spacing w:lineRule="auto" w:line="288" w:before="18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tables detail the amortized cost basis of our investments by the credit quality indicator we assigned to each lease or loan guarantor as of March 31, 2024 and 2023:</w:t>
      </w:r>
    </w:p>
    <w:tbl>
      <w:tblPr>
        <w:tblW w:w="124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4,335,345 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33,075,168 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3,696,857 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883,345 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1,317,042 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1,570,442 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44,878,199 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2153" w:type="dxa"/>
        <w:jc w:val="left"/>
        <w:tblInd w:w="0" w:type="dxa"/>
        <w:tblLayout w:type="fixed"/>
        <w:tblCellMar>
          <w:top w:w="28" w:type="dxa"/>
          <w:left w:w="28" w:type="dxa"/>
          <w:bottom w:w="28" w:type="dxa"/>
          <w:right w:w="28" w:type="dxa"/>
        </w:tblCellMar>
      </w:tblPr>
      <w:tblGrid>
        <w:gridCol w:w="413"/>
        <w:gridCol w:w="363"/>
        <w:gridCol w:w="320"/>
        <w:gridCol w:w="109"/>
        <w:gridCol w:w="109"/>
        <w:gridCol w:w="211"/>
        <w:gridCol w:w="976"/>
        <w:gridCol w:w="109"/>
        <w:gridCol w:w="109"/>
        <w:gridCol w:w="109"/>
        <w:gridCol w:w="109"/>
        <w:gridCol w:w="211"/>
        <w:gridCol w:w="1081"/>
        <w:gridCol w:w="109"/>
        <w:gridCol w:w="109"/>
        <w:gridCol w:w="109"/>
        <w:gridCol w:w="109"/>
        <w:gridCol w:w="211"/>
        <w:gridCol w:w="97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1081"/>
        <w:gridCol w:w="154"/>
      </w:tblGrid>
      <w:tr>
        <w:trPr/>
        <w:tc>
          <w:tcPr>
            <w:tcW w:w="41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39"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2023</w:t>
            </w:r>
          </w:p>
        </w:tc>
      </w:tr>
      <w:tr>
        <w:trPr/>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Ba3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B3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 </w:t>
            </w:r>
            <w:r>
              <w:rPr>
                <w:rFonts w:ascii="Times New Roman;sans-serif" w:hAnsi="Times New Roman;sans-serif"/>
                <w:b/>
                <w:i/>
                <w:color w:val="000000"/>
                <w:sz w:val="12"/>
              </w:rPr>
              <w:t>(2)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sales-type and financing receivable, Investments in loans and securities and Other assets </w:t>
            </w:r>
            <w:r>
              <w:rPr>
                <w:rFonts w:ascii="Times New Roman;sans-serif" w:hAnsi="Times New Roman;sans-serif"/>
                <w:b w:val="false"/>
                <w:i/>
                <w:color w:val="000000"/>
                <w:sz w:val="13"/>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4,264,385 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33,078,752 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877,306 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875,296 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419,770 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42,723,768 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(1)Excludes the CECL allowance for unfunded commitments recorded in Other liabilities as such commitments are not currently reflected on our Balance Sheet, rather the CECL allowance is based on our current best estimate of future funding commitments.</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(2)We estimate the CECL allowance for our loan investments using a traditional commercial real estate model based on standardized credit metrics to estimate potential losses.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84785"/>
                <wp:effectExtent l="0" t="0" r="0" b="0"/>
                <wp:wrapNone/>
                <wp:docPr id="28" name="Frame2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6 — Other Assets and Other Liabilities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Other Assets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assets as of March 31, 2024 and December 31, 2023:</w:t>
      </w:r>
    </w:p>
    <w:tbl>
      <w:tblPr>
        <w:tblW w:w="7442" w:type="dxa"/>
        <w:jc w:val="left"/>
        <w:tblInd w:w="0" w:type="dxa"/>
        <w:tblLayout w:type="fixed"/>
        <w:tblCellMar>
          <w:top w:w="28" w:type="dxa"/>
          <w:left w:w="28" w:type="dxa"/>
          <w:bottom w:w="28" w:type="dxa"/>
          <w:right w:w="28" w:type="dxa"/>
        </w:tblCellMar>
      </w:tblPr>
      <w:tblGrid>
        <w:gridCol w:w="1533"/>
        <w:gridCol w:w="1347"/>
        <w:gridCol w:w="1350"/>
        <w:gridCol w:w="211"/>
        <w:gridCol w:w="976"/>
        <w:gridCol w:w="109"/>
        <w:gridCol w:w="109"/>
        <w:gridCol w:w="109"/>
        <w:gridCol w:w="109"/>
        <w:gridCol w:w="250"/>
        <w:gridCol w:w="1157"/>
        <w:gridCol w:w="182"/>
      </w:tblGrid>
      <w:tr>
        <w:trPr/>
        <w:tc>
          <w:tcPr>
            <w:tcW w:w="1533"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135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42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Sales-type sub-leases, net </w:t>
            </w:r>
            <w:r>
              <w:rPr>
                <w:rFonts w:ascii="Times New Roman;sans-serif" w:hAnsi="Times New Roman;sans-serif"/>
                <w:b w:val="false"/>
                <w:i/>
                <w:color w:val="000000"/>
                <w:sz w:val="13"/>
              </w:rPr>
              <w:t>(1)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used in operations,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66,946 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and sub-lease right of use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acquisition costs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10,087 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financing costs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receivables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Tenant receivables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1,014,713 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1,015,330 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March 31, 2024 and December 31, 2023, sales-type sub-leases are net of $21.0 million and $18.7 million of Allowance for credit losses, respectively. Refer to </w:t>
      </w:r>
      <w:hyperlink w:anchor="i44afc6c18e6e47969829c5a05199c239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other liabilities as of March 31, 2024 and December 31, 2023:</w:t>
      </w:r>
    </w:p>
    <w:tbl>
      <w:tblPr>
        <w:tblW w:w="6947" w:type="dxa"/>
        <w:jc w:val="left"/>
        <w:tblInd w:w="0" w:type="dxa"/>
        <w:tblLayout w:type="fixed"/>
        <w:tblCellMar>
          <w:top w:w="28" w:type="dxa"/>
          <w:left w:w="28" w:type="dxa"/>
          <w:bottom w:w="28" w:type="dxa"/>
          <w:right w:w="28" w:type="dxa"/>
        </w:tblCellMar>
      </w:tblPr>
      <w:tblGrid>
        <w:gridCol w:w="1354"/>
        <w:gridCol w:w="1189"/>
        <w:gridCol w:w="1192"/>
        <w:gridCol w:w="211"/>
        <w:gridCol w:w="976"/>
        <w:gridCol w:w="109"/>
        <w:gridCol w:w="109"/>
        <w:gridCol w:w="109"/>
        <w:gridCol w:w="109"/>
        <w:gridCol w:w="250"/>
        <w:gridCol w:w="1157"/>
        <w:gridCol w:w="182"/>
      </w:tblGrid>
      <w:tr>
        <w:trPr/>
        <w:tc>
          <w:tcPr>
            <w:tcW w:w="135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sub-lease liabilities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financing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73,600 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liabilities and sub-lease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CECL allowance for unfunded commitments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Derivative liability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liabilities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1,003,254 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1,013,102 </w:t>
            </w:r>
          </w:p>
        </w:tc>
        <w:tc>
          <w:tcPr>
            <w:tcW w:w="1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84785"/>
                <wp:effectExtent l="0" t="0" r="0" b="0"/>
                <wp:wrapNone/>
                <wp:docPr id="29" name="Frame2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7— Debt </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detail our debt obligations as of March 31, 2024 and December 31, 2023:</w:t>
      </w:r>
    </w:p>
    <w:tbl>
      <w:tblPr>
        <w:tblW w:w="10205" w:type="dxa"/>
        <w:jc w:val="left"/>
        <w:tblInd w:w="0" w:type="dxa"/>
        <w:tblLayout w:type="fixed"/>
        <w:tblCellMar>
          <w:top w:w="28" w:type="dxa"/>
          <w:left w:w="28" w:type="dxa"/>
          <w:bottom w:w="28" w:type="dxa"/>
          <w:right w:w="28" w:type="dxa"/>
        </w:tblCellMar>
      </w:tblPr>
      <w:tblGrid>
        <w:gridCol w:w="1134"/>
        <w:gridCol w:w="971"/>
        <w:gridCol w:w="971"/>
        <w:gridCol w:w="109"/>
        <w:gridCol w:w="109"/>
        <w:gridCol w:w="109"/>
        <w:gridCol w:w="521"/>
        <w:gridCol w:w="496"/>
        <w:gridCol w:w="498"/>
        <w:gridCol w:w="109"/>
        <w:gridCol w:w="109"/>
        <w:gridCol w:w="109"/>
        <w:gridCol w:w="432"/>
        <w:gridCol w:w="428"/>
        <w:gridCol w:w="430"/>
        <w:gridCol w:w="109"/>
        <w:gridCol w:w="109"/>
        <w:gridCol w:w="109"/>
        <w:gridCol w:w="221"/>
        <w:gridCol w:w="1135"/>
        <w:gridCol w:w="114"/>
        <w:gridCol w:w="109"/>
        <w:gridCol w:w="109"/>
        <w:gridCol w:w="109"/>
        <w:gridCol w:w="224"/>
        <w:gridCol w:w="1152"/>
        <w:gridCol w:w="170"/>
      </w:tblGrid>
      <w:tr>
        <w:trPr/>
        <w:tc>
          <w:tcPr>
            <w:tcW w:w="113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CAD Borrowings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158,778 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2,780,394 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747,948 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498,253 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792,241 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487,768 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1,242,391 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745,181 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340,319 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1,240,367 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694,429 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990,931 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989,636 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990,491 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5.694%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540,461 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735,977 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2054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1, 2054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485,220 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4.364%</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17,120,140 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16,711,739 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84785"/>
                <wp:effectExtent l="0" t="0" r="0" b="0"/>
                <wp:wrapNone/>
                <wp:docPr id="30" name="Frame2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1134"/>
        <w:gridCol w:w="971"/>
        <w:gridCol w:w="971"/>
        <w:gridCol w:w="109"/>
        <w:gridCol w:w="109"/>
        <w:gridCol w:w="109"/>
        <w:gridCol w:w="521"/>
        <w:gridCol w:w="496"/>
        <w:gridCol w:w="498"/>
        <w:gridCol w:w="109"/>
        <w:gridCol w:w="109"/>
        <w:gridCol w:w="109"/>
        <w:gridCol w:w="432"/>
        <w:gridCol w:w="428"/>
        <w:gridCol w:w="430"/>
        <w:gridCol w:w="109"/>
        <w:gridCol w:w="109"/>
        <w:gridCol w:w="109"/>
        <w:gridCol w:w="221"/>
        <w:gridCol w:w="1135"/>
        <w:gridCol w:w="114"/>
        <w:gridCol w:w="109"/>
        <w:gridCol w:w="109"/>
        <w:gridCol w:w="109"/>
        <w:gridCol w:w="224"/>
        <w:gridCol w:w="1152"/>
        <w:gridCol w:w="170"/>
      </w:tblGrid>
      <w:tr>
        <w:trPr/>
        <w:tc>
          <w:tcPr>
            <w:tcW w:w="1134"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Description of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br/>
              <w:t>Maturity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Interest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Principal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Carrying Value </w:t>
            </w:r>
            <w:r>
              <w:rPr>
                <w:rFonts w:ascii="Times New Roman;sans-serif" w:hAnsi="Times New Roman;sans-serif"/>
                <w:b w:val="false"/>
                <w:i/>
                <w:color w:val="000000"/>
                <w:sz w:val="13"/>
              </w:rPr>
              <w:t>(1)</w:t>
            </w:r>
          </w:p>
        </w:tc>
      </w:tr>
      <w:tr>
        <w:trPr/>
        <w:tc>
          <w:tcPr>
            <w:tcW w:w="30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USD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SOFR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CAD Borrowings</w:t>
            </w:r>
            <w:r>
              <w:rPr>
                <w:color w:val="000000"/>
              </w:rPr>
              <w:t xml:space="preserve"> </w:t>
            </w:r>
            <w:r>
              <w:rPr>
                <w:rFonts w:ascii="Times New Roman;sans-serif" w:hAnsi="Times New Roman;sans-serif"/>
                <w:b w:val="false"/>
                <w:i/>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CDOR + 1.05%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162,346 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GBP Borrowings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SONIA + 1.05%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1,051,280 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747,364 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4.375%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June 15,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790,641 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September 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486,520 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4.250%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1,241,678 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 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756,800 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3.75%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744,762 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4.500%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15, 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339,689 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4.750%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4.516%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1,239,594 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3.875%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691,692 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4.625%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December 1, 2029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990,531 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 Maturities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4.950%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15, 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4.541%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989,347 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15,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990,111 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5.125%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2032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3.980% </w:t>
            </w:r>
            <w:r>
              <w:rPr>
                <w:rFonts w:ascii="Times New Roman;sans-serif" w:hAnsi="Times New Roman;sans-serif"/>
                <w:b w:val="false"/>
                <w:i/>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1,482,836 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2052 Maturities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5.625%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15, 2052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735,854 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4.351%</w:t>
            </w:r>
            <w:r>
              <w:rPr>
                <w:color w:val="000000"/>
              </w:rPr>
              <w:t xml:space="preserve"> </w:t>
            </w:r>
            <w:r>
              <w:rPr>
                <w:rFonts w:ascii="Times New Roman;sans-serif" w:hAnsi="Times New Roman;sans-serif"/>
                <w:b w:val="false"/>
                <w:i/>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17,123,804 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16,724,125 </w:t>
            </w:r>
          </w:p>
        </w:tc>
        <w:tc>
          <w:tcPr>
            <w:tcW w:w="1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(1)Carrying value is net of unamortized original issue discount and unamortized debt issuance costs incurred in conjunction with debt.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(2)Borrowings under the Revolving Credit Facility bear interest at a rate based on a credit rating-based pricing grid with a range of 0.775% to 1.325% margin plus SOFR (or CDOR or SONIA, as applicable), depending on our credit ratings, with an additional 0.10% adjustment. Additionally, the commitment fees under the Revolving Credit Facility are calculated on a credit rating-based pricing grid with a range of 0.15% to 0.375%, for both instruments depending on our credit ratings. For the three months ended March 31, 2024, the commitment fee for the Revolving Credit Facility was 0.250%. </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(3)Interest rates represent the contractual interest rates adjusted to account for the impact of the forward-starting interest rate swaps and treasury locks (as further described in </w:t>
      </w:r>
      <w:hyperlink w:anchor="i44afc6c18e6e47969829c5a05199c239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The contractual interest rates on the April 2022 Notes (as defined below) maturing 2028, 2030 and 2032 are 4.750%, 4.950% and 5.125%, respectively, and the contractual interest rate on the March 2024 Notes (as defined below) maturing 2034 is 5.750%.</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 xml:space="preserve">(4)The interest rate represents the weighted average interest rates of the Senior Unsecured Notes adjusted to account for the impact of the forward-starting interest rate swaps (as further described in </w:t>
      </w:r>
      <w:hyperlink w:anchor="i44afc6c18e6e47969829c5a05199c239_73">
        <w:r>
          <w:rPr>
            <w:rStyle w:val="InternetLink"/>
            <w:rFonts w:ascii="Times New Roman;sans-serif" w:hAnsi="Times New Roman;sans-serif"/>
            <w:b w:val="false"/>
            <w:i/>
            <w:color w:val="0000FF"/>
            <w:sz w:val="16"/>
            <w:u w:val="single"/>
          </w:rPr>
          <w:t>Note 8 – Derivatives</w:t>
        </w:r>
      </w:hyperlink>
      <w:r>
        <w:rPr>
          <w:rFonts w:ascii="Times New Roman;sans-serif" w:hAnsi="Times New Roman;sans-serif"/>
          <w:b w:val="false"/>
          <w:i/>
          <w:color w:val="000000"/>
          <w:sz w:val="16"/>
        </w:rPr>
        <w:t>), as applicable. The contractual weighted average interest rate as of March 31, 2024, which excludes the impact of the forward-starting interest rate swaps and treasury locks, was 4.51%.</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84785"/>
                <wp:effectExtent l="0" t="0" r="0" b="0"/>
                <wp:wrapNone/>
                <wp:docPr id="31" name="Frame3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is a schedule of future minimum principal payments of our debt obligations as of March 31, 2024:</w:t>
      </w:r>
    </w:p>
    <w:tbl>
      <w:tblPr>
        <w:tblW w:w="6327" w:type="dxa"/>
        <w:jc w:val="left"/>
        <w:tblInd w:w="0" w:type="dxa"/>
        <w:tblLayout w:type="fixed"/>
        <w:tblCellMar>
          <w:top w:w="28" w:type="dxa"/>
          <w:left w:w="28" w:type="dxa"/>
          <w:bottom w:w="28" w:type="dxa"/>
          <w:right w:w="28" w:type="dxa"/>
        </w:tblCellMar>
      </w:tblPr>
      <w:tblGrid>
        <w:gridCol w:w="1081"/>
        <w:gridCol w:w="951"/>
        <w:gridCol w:w="953"/>
        <w:gridCol w:w="109"/>
        <w:gridCol w:w="109"/>
        <w:gridCol w:w="109"/>
        <w:gridCol w:w="440"/>
        <w:gridCol w:w="2254"/>
        <w:gridCol w:w="321"/>
      </w:tblGrid>
      <w:tr>
        <w:trPr/>
        <w:tc>
          <w:tcPr>
            <w:tcW w:w="108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2254"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r>
      <w:tr>
        <w:trPr/>
        <w:tc>
          <w:tcPr>
            <w:tcW w:w="29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Future Minimum Principal Payments</w:t>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1,920,140 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8,300,000 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principal payments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17,120,140 </w:t>
            </w:r>
          </w:p>
        </w:tc>
        <w:tc>
          <w:tcPr>
            <w:tcW w:w="3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shd w:fill="FFFFFF" w:val="clear"/>
        </w:rPr>
      </w:pPr>
      <w:r>
        <w:rPr>
          <w:rFonts w:ascii="Times New Roman;sans-serif" w:hAnsi="Times New Roman;sans-serif"/>
          <w:b/>
          <w:i/>
          <w:color w:val="000000"/>
          <w:sz w:val="20"/>
          <w:shd w:fill="FFFFFF" w:val="clear"/>
        </w:rPr>
        <w:t>Senior Unsecured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set forth in the above table, our outstanding senior unsecured notes consist of (i) $2.25 billion aggregate principal amount of Senior Notes issued on November 26, 2019 (the “November 2019 Notes”), (ii) $2.5 billion aggregate principal amount of Senior Notes issued on February 5, 2020 (the “February 2020 Notes”), (iii) $5.0 billion aggregate principal amount of Senior Notes issued on April 29, 2022 (the “April 2022 Notes”), (iv) approximately $3.1 billion aggregate principal amount of Senior Notes issued on April 29, 2022, in each case issued by VICI LP and VICI Note Co. Inc. (the “Exchange Notes”), (v) approximately $64.2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MGP on April 29, 2022 and (vi) $1.05 billion aggregate principal amount of Senior Notes issued on March 18, 2024 (the “March 2024 Notes”), as described in more detail below (collectively, the “Senior Unsecured Notes”). Subject to the terms and conditions of the respective indentures, each series of Senior Unsecured Notes is redeemable at our option, in whole or in part, at any time for a specified period prior to the maturity date of such series at the redemption prices set forth in the respective indenture governing such series. In addition, we may redeem some or all of such notes prior to such respective dates at a price equal to 100% of the principal amount thereof plus a “make-whole” premium.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18, 2024, VICI LP issued the March 2024 Notes, comprised of (i) $550.0 million in aggregate principal amount of 5.750% Senior Notes due 2034, which mature on April 1, 2034, and (ii) $500.0 million in aggregate principal amount of 6.125% Senior Notes due 2054, which mature on April 1, 2054, in each case under a supplemental indenture dated as of March 18, 2024, between VICI LP and the Trustee. We used the net proceeds of the March 2024 Senior Notes to redeem our then-outstanding (i) $1,024.2 million in aggregate principal amount of the 5.625% Senior Notes due 2024, and (ii) $25.8 million in aggregate principal amount of the 5.625% MGP OP Notes due 2024.</w:t>
      </w:r>
    </w:p>
    <w:p>
      <w:pPr>
        <w:pStyle w:val="TextBody"/>
        <w:bidi w:val="0"/>
        <w:spacing w:lineRule="auto" w:line="288" w:before="18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Guarantee and 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 of the Senior Unsecured Notes are guaranteed by any subsidiaries of VICI LP. The Exchange Notes, the MGP OP Notes, the April 2022 Notes and the March 2024 Notes benefit from a pledge of the limited partnership interests of VICI LP directly owned by VICI OP (the “Limited Equity Pledge”). The Limited Equity Pledge has also been granted in favor of (i) the administrative agent and the lenders under the Credit Agreement, and (ii) the trustee under the indentures governing, and the holders of, the November 2019 Notes and the February 2020 Notes.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are no longer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84785"/>
                <wp:effectExtent l="0" t="0" r="0" b="0"/>
                <wp:wrapNone/>
                <wp:docPr id="32" name="Frame3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and Fitch, then VICI LP and its restricted subsidiaries will again be subject to all of the covenants of the respective indentures, as applicable, but will no longer be subject to the maintenance covenant.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indenture governing the April 2022 Notes and March 2024 Notes contains certain covenants that limit the ability of VICI LP and its subsidiaries to incur secured and unsecured indebtedness and VICI LP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Unsecured Credit Facilities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8, 2022, we entered into a credit agreement by and among VICI LP, the lenders party thereto, and JPMorgan Chase Bank, N.A., as administrative agent, as amended from time to time (“Credit Agreement”), providing for a revolving credit facility in the amount of $2.5 billion scheduled to mature on March 31, 2026 (“Revolving Credit Facility”).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Revolving Credit Facility includes two six-month maturity extension options the exercise of which is subject to customary conditions and the payment of an extension fee of 0.0625% on the extended commitments. Additionally, the Revolving Credit Facility includes the option to increase the revolving loan commitments by up to $1.0 billion to the extent that any one or more lenders (from the syndicate or otherwise) agree to provide such additional credit extensions. On July 15, 2022, the Credit Agreement was amended pursuant to a First Amendment among VICI LP and the lenders party thereto, in order to permit borrowings under the Revolving Credit Facility in certain foreign currencies in an aggregate principal amount of up to the equivalent of $1.25 billion. On August 4, 2023, the Credit Agreement was amended pursuant to a Second Amendment among VICI LP and the lenders party thereto, in order to replace certain of the participating lenders.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Borrowings under the Revolving Credit Facility will bear interest, at VICI LP’s option, at a benchmark rate based on SOFR (or CDOR for Canadian dollars or SONIA for Sterling) (including a credit spread adjustment) plus a margin ranging from 0.775% to 1.325% or a base rate (or Canadian prime rate for Canadian dollars) plus a margin ranging from 0.00% to 0.325%, in each case, with the actual margin determined according to VICI LP’s debt ratings. The base rate is the highest of (i) the prime rate of interest last quoted by the Wall Street Journal in the U.S. then in effect, (ii) the NYFRB rate from time to time plus 0.5% and (iii) the SOFR rate for a one-month interest period plus 1.0%, subject in each case to a floor of 1.0%. The Canadian prime rate is the highest of (i) the PRIMCAN Index rate and (ii) the average rate for thirty-day Canadian Dollar bankers’ acceptance quoted by Reuters plus 1.0%, subject in each case to a floor of 1.0%. In addition, the Revolving Credit Facility requires the payment of a facility fee ranging from 0.15% to 0.375% (depending on VICI LP’s debt rating) of total revolving commitments.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terms of the Credit Agreement, VICI LP is subject to, among other things, customary covenants and the maintenance of various financial covenants. The Credit Agreement is consistent with certain tax-related requirements related to security for the Company’s debt.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Canadian and United Kingdom foreign currency transactions, we’ve drawn C$215.0 million and £9.0 million, respectively, on the Revolving Credit Facility, the balances of which remain outstanding as of March 31,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MGM Grand/Mandalay Bay CMBS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9, 2023, as a result of our acquisition of the remaining 49.9% interest in the MGM Grand/Mandalay Bay JV (“MGM Grand/Mandalay Bay JV Interest Acquisition”), we consolidated the assets and liabilities of the MGM Grand/Mandalay Bay JV, which includes the $3.0 billion in principal amount of outstanding CMBS debt (the “MGM Grand/ Mandalay Bay CMBS Debt”). The MGM Grand/Mandalay Bay CMBS Debt was originally incurred on February 14, 2020 pursuant to a loan agreement (as amended from time to time, the “MGM Grand/Mandalay Bay CMBS Loan Agreement”), and is secured primarily by mortgages on certain affiliates of the MGM Grand/Mandalay Bay JV’s fee interest in the real estate assets related to the MGM Grand Las Vegas and the Mandalay Bay Resort and Casino. The MGM Grand/Mandalay Bay CMBS Debt matures in March 2032 and bears interest at 3.558% per annum until March 2030 at which time the rate can change in accordance with the terms of the MGM Grand Mandalay Bay CMBS Loan Agreement until maturity. The MGM Grand/Mandalay Bay CMBS Loan Agreement contains certain customary affirmative and negative covenants and events of default, including, among other things, restrictions on the ability of the MGM Grand/Mandalay Bay JV and certain of its affiliates to incur additional debt and transfer, pledge or assign certain equity interests or its assets, and covenants requiring certain affiliates of the MGM Grand/Mandalay Bay JV to exist as “special purpose entities,” maintain certain ongoing reserve funds and comply with other customary obligations for commercial mortgage-backed securities loan financings.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84785"/>
                <wp:effectExtent l="0" t="0" r="0" b="0"/>
                <wp:wrapNone/>
                <wp:docPr id="33" name="Frame3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Financial 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above, our debt obligations are subject to certain customary financial and protective covenants that restrict VICI LP, VICI PropCo and its subsidiaries’ ability to incur additional debt, sell certain asset and restrict certain payments, among other things. These covenants are subject to a number of exceptions and qualifications, including the ability to make restricted payments to maintain our REIT status. At March 31, 2024, we were in compliance with all financial covenants under our debt obligations.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8 — Derivatives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our outstanding interest rate derivatives that were designated as cash flow hedges of interest rate risk as of December 31, 2023. As of March 31, 2024, there were no derivative instruments outstanding.</w:t>
      </w:r>
    </w:p>
    <w:tbl>
      <w:tblPr>
        <w:tblW w:w="10205" w:type="dxa"/>
        <w:jc w:val="left"/>
        <w:tblInd w:w="0" w:type="dxa"/>
        <w:tblLayout w:type="fixed"/>
        <w:tblCellMar>
          <w:top w:w="28" w:type="dxa"/>
          <w:left w:w="28" w:type="dxa"/>
          <w:bottom w:w="28" w:type="dxa"/>
          <w:right w:w="28" w:type="dxa"/>
        </w:tblCellMar>
      </w:tblPr>
      <w:tblGrid>
        <w:gridCol w:w="1044"/>
        <w:gridCol w:w="635"/>
        <w:gridCol w:w="627"/>
        <w:gridCol w:w="109"/>
        <w:gridCol w:w="109"/>
        <w:gridCol w:w="109"/>
        <w:gridCol w:w="529"/>
        <w:gridCol w:w="529"/>
        <w:gridCol w:w="530"/>
        <w:gridCol w:w="109"/>
        <w:gridCol w:w="109"/>
        <w:gridCol w:w="109"/>
        <w:gridCol w:w="309"/>
        <w:gridCol w:w="260"/>
        <w:gridCol w:w="255"/>
        <w:gridCol w:w="109"/>
        <w:gridCol w:w="109"/>
        <w:gridCol w:w="109"/>
        <w:gridCol w:w="211"/>
        <w:gridCol w:w="826"/>
        <w:gridCol w:w="109"/>
        <w:gridCol w:w="109"/>
        <w:gridCol w:w="109"/>
        <w:gridCol w:w="109"/>
        <w:gridCol w:w="519"/>
        <w:gridCol w:w="519"/>
        <w:gridCol w:w="529"/>
        <w:gridCol w:w="109"/>
        <w:gridCol w:w="109"/>
        <w:gridCol w:w="109"/>
        <w:gridCol w:w="331"/>
        <w:gridCol w:w="331"/>
        <w:gridCol w:w="477"/>
      </w:tblGrid>
      <w:tr>
        <w:trPr/>
        <w:tc>
          <w:tcPr>
            <w:tcW w:w="1044"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Instrument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Instruments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Fixed Rate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Notional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Index</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Maturity</w:t>
            </w:r>
          </w:p>
        </w:tc>
      </w:tr>
      <w:tr>
        <w:trPr/>
        <w:tc>
          <w:tcPr>
            <w:tcW w:w="23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Forward-starting interest rate swap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3.6685%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USD SOFR- COMPOUND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6, 2034</w:t>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Forward-Starting Derivatives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entered into, and subsequently settled, the following forward-starting derivatives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 xml:space="preserve">In connection with our March 2024 Notes offering, we entered into seven forward-starting interest rate swap agreements for a total aggregate notional amount of $500.0 million, which we settled in March 2024 for total net proceeds of $2.8 million. </w:t>
      </w:r>
    </w:p>
    <w:p>
      <w:pPr>
        <w:pStyle w:val="TextBody"/>
        <w:bidi w:val="0"/>
        <w:spacing w:lineRule="auto" w:line="288" w:before="180" w:after="283"/>
        <w:ind w:left="0" w:right="0" w:hanging="360"/>
        <w:jc w:val="both"/>
        <w:rPr/>
      </w:pPr>
      <w:r>
        <w:rPr>
          <w:color w:val="000000"/>
        </w:rPr>
        <w:t>•</w:t>
      </w:r>
      <w:r>
        <w:rPr>
          <w:rFonts w:ascii="Times New Roman;sans-serif" w:hAnsi="Times New Roman;sans-serif"/>
          <w:b w:val="false"/>
          <w:color w:val="000000"/>
          <w:sz w:val="20"/>
        </w:rPr>
        <w:t>In connection with our April 2022 Notes offering, we entered into five forward-starting interest rate swap agreements with an aggregate notional amount of $2.5 billion and two U.S. Treasury Rate Lock agreements with an aggregate notional amount of $500.0 million, which we settled in April 2022 for total net proceeds of $206.8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effect of our forward-starting derivative financial instruments on our Statement of Operations:</w:t>
      </w:r>
    </w:p>
    <w:tbl>
      <w:tblPr>
        <w:tblW w:w="10205" w:type="dxa"/>
        <w:jc w:val="left"/>
        <w:tblInd w:w="0" w:type="dxa"/>
        <w:tblLayout w:type="fixed"/>
        <w:tblCellMar>
          <w:top w:w="28" w:type="dxa"/>
          <w:left w:w="28" w:type="dxa"/>
          <w:bottom w:w="28" w:type="dxa"/>
          <w:right w:w="28" w:type="dxa"/>
        </w:tblCellMar>
      </w:tblPr>
      <w:tblGrid>
        <w:gridCol w:w="2625"/>
        <w:gridCol w:w="2292"/>
        <w:gridCol w:w="2303"/>
        <w:gridCol w:w="223"/>
        <w:gridCol w:w="764"/>
        <w:gridCol w:w="115"/>
        <w:gridCol w:w="115"/>
        <w:gridCol w:w="115"/>
        <w:gridCol w:w="115"/>
        <w:gridCol w:w="223"/>
        <w:gridCol w:w="714"/>
        <w:gridCol w:w="115"/>
        <w:gridCol w:w="109"/>
        <w:gridCol w:w="109"/>
        <w:gridCol w:w="109"/>
        <w:gridCol w:w="159"/>
      </w:tblGrid>
      <w:tr>
        <w:trPr/>
        <w:tc>
          <w:tcPr>
            <w:tcW w:w="2625" w:type="dxa"/>
            <w:tcBorders/>
            <w:vAlign w:val="center"/>
          </w:tcPr>
          <w:p>
            <w:pPr>
              <w:pStyle w:val="TableContents"/>
              <w:bidi w:val="0"/>
              <w:spacing w:before="0" w:after="283"/>
              <w:jc w:val="left"/>
              <w:rPr>
                <w:sz w:val="4"/>
                <w:szCs w:val="4"/>
              </w:rPr>
            </w:pPr>
            <w:r>
              <w:rPr>
                <w:sz w:val="4"/>
                <w:szCs w:val="4"/>
              </w:rPr>
            </w:r>
          </w:p>
        </w:tc>
        <w:tc>
          <w:tcPr>
            <w:tcW w:w="2292" w:type="dxa"/>
            <w:tcBorders/>
            <w:vAlign w:val="center"/>
          </w:tcPr>
          <w:p>
            <w:pPr>
              <w:pStyle w:val="TableContents"/>
              <w:bidi w:val="0"/>
              <w:spacing w:before="0" w:after="283"/>
              <w:jc w:val="left"/>
              <w:rPr>
                <w:sz w:val="4"/>
                <w:szCs w:val="4"/>
              </w:rPr>
            </w:pPr>
            <w:r>
              <w:rPr>
                <w:sz w:val="4"/>
                <w:szCs w:val="4"/>
              </w:rPr>
            </w:r>
          </w:p>
        </w:tc>
        <w:tc>
          <w:tcPr>
            <w:tcW w:w="230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gridSpan w:val="2"/>
            <w:tcBorders/>
          </w:tcPr>
          <w:p>
            <w:pPr>
              <w:pStyle w:val="TableContents"/>
              <w:bidi w:val="0"/>
              <w:spacing w:before="0" w:after="283"/>
              <w:jc w:val="left"/>
              <w:rPr>
                <w:sz w:val="4"/>
                <w:szCs w:val="4"/>
              </w:rPr>
            </w:pPr>
            <w:r>
              <w:rPr>
                <w:sz w:val="4"/>
                <w:szCs w:val="4"/>
              </w:rPr>
            </w:r>
          </w:p>
        </w:tc>
      </w:tr>
      <w:tr>
        <w:trPr/>
        <w:tc>
          <w:tcPr>
            <w:tcW w:w="7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recorded in other comprehensive income</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Reduction in interest expense related to the amortization of the forward-starting interest rate swaps and treasury locks</w:t>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Net Investment Hedges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foreign transactions in Canada and the United Kingdom, we drew C$215.0 million and £9.0 million, respectively, on the Revolving Credit Facility, which draws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months ended March 31, 2024 and 2023, we recognized $3.7 million and $2.4 million, respectively, in unrealized gains related to such net investment hedges, which were recorded as a component of Foreign currency translation adjustments in the Statement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84785"/>
                <wp:effectExtent l="0" t="0" r="0" b="0"/>
                <wp:wrapNone/>
                <wp:docPr id="34" name="Frame3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9 — Fair Value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assets and liabilities measured at fair value on a recurring basis as of December 31, 2023. As of March 31, 2024, there were no assets or liabilities measured at fair value on a recurring basis. </w:t>
      </w:r>
    </w:p>
    <w:tbl>
      <w:tblPr>
        <w:tblW w:w="10205" w:type="dxa"/>
        <w:jc w:val="left"/>
        <w:tblInd w:w="0" w:type="dxa"/>
        <w:tblLayout w:type="fixed"/>
        <w:tblCellMar>
          <w:top w:w="28" w:type="dxa"/>
          <w:left w:w="28" w:type="dxa"/>
          <w:bottom w:w="28" w:type="dxa"/>
          <w:right w:w="28" w:type="dxa"/>
        </w:tblCellMar>
      </w:tblPr>
      <w:tblGrid>
        <w:gridCol w:w="1873"/>
        <w:gridCol w:w="1646"/>
        <w:gridCol w:w="1649"/>
        <w:gridCol w:w="303"/>
        <w:gridCol w:w="1038"/>
        <w:gridCol w:w="156"/>
        <w:gridCol w:w="109"/>
        <w:gridCol w:w="109"/>
        <w:gridCol w:w="109"/>
        <w:gridCol w:w="212"/>
        <w:gridCol w:w="410"/>
        <w:gridCol w:w="109"/>
        <w:gridCol w:w="109"/>
        <w:gridCol w:w="109"/>
        <w:gridCol w:w="109"/>
        <w:gridCol w:w="211"/>
        <w:gridCol w:w="721"/>
        <w:gridCol w:w="109"/>
        <w:gridCol w:w="109"/>
        <w:gridCol w:w="109"/>
        <w:gridCol w:w="109"/>
        <w:gridCol w:w="212"/>
        <w:gridCol w:w="410"/>
        <w:gridCol w:w="165"/>
      </w:tblGrid>
      <w:tr>
        <w:trPr/>
        <w:tc>
          <w:tcPr>
            <w:tcW w:w="1873" w:type="dxa"/>
            <w:tcBorders/>
            <w:vAlign w:val="center"/>
          </w:tcPr>
          <w:p>
            <w:pPr>
              <w:pStyle w:val="TableContents"/>
              <w:bidi w:val="0"/>
              <w:spacing w:before="0" w:after="283"/>
              <w:jc w:val="left"/>
              <w:rPr>
                <w:sz w:val="4"/>
                <w:szCs w:val="4"/>
              </w:rPr>
            </w:pPr>
            <w:r>
              <w:rPr>
                <w:sz w:val="4"/>
                <w:szCs w:val="4"/>
              </w:rPr>
            </w:r>
          </w:p>
        </w:tc>
        <w:tc>
          <w:tcPr>
            <w:tcW w:w="1646" w:type="dxa"/>
            <w:tcBorders/>
            <w:vAlign w:val="center"/>
          </w:tcPr>
          <w:p>
            <w:pPr>
              <w:pStyle w:val="TableContents"/>
              <w:bidi w:val="0"/>
              <w:spacing w:before="0" w:after="283"/>
              <w:jc w:val="left"/>
              <w:rPr>
                <w:sz w:val="4"/>
                <w:szCs w:val="4"/>
              </w:rPr>
            </w:pPr>
            <w:r>
              <w:rPr>
                <w:sz w:val="4"/>
                <w:szCs w:val="4"/>
              </w:rPr>
            </w:r>
          </w:p>
        </w:tc>
        <w:tc>
          <w:tcPr>
            <w:tcW w:w="164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37"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1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51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vAlign w:val="center"/>
          </w:tcPr>
          <w:p>
            <w:pPr>
              <w:pStyle w:val="TableContents"/>
              <w:bidi w:val="0"/>
              <w:spacing w:before="0" w:after="283"/>
              <w:jc w:val="left"/>
              <w:rPr>
                <w:sz w:val="4"/>
                <w:szCs w:val="4"/>
              </w:rPr>
            </w:pPr>
            <w:r>
              <w:rPr>
                <w:sz w:val="4"/>
                <w:szCs w:val="4"/>
              </w:rPr>
            </w:r>
          </w:p>
        </w:tc>
        <w:tc>
          <w:tcPr>
            <w:tcW w:w="14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7" w:type="dxa"/>
            <w:gridSpan w:val="3"/>
            <w:tcBorders/>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Derivative instruments – forward-starting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68"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Times New Roman;sans-serif" w:hAnsi="Times New Roman;sans-serif"/>
                <w:b w:val="false"/>
                <w:color w:val="000000"/>
                <w:sz w:val="20"/>
              </w:rPr>
              <w:t xml:space="preserve">Derivative instruments - interest rate swaps </w:t>
            </w:r>
            <w:r>
              <w:rPr>
                <w:rFonts w:ascii="Times New Roman;sans-serif" w:hAnsi="Times New Roman;sans-serif"/>
                <w:b w:val="false"/>
                <w:i/>
                <w:color w:val="000000"/>
                <w:sz w:val="13"/>
              </w:rPr>
              <w:t>(1)</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6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(1) 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values of our financial instruments as of March 31, 2024 and December 31, 2023 for which fair value is only disclosed are as follows:</w:t>
      </w:r>
    </w:p>
    <w:tbl>
      <w:tblPr>
        <w:tblW w:w="10205" w:type="dxa"/>
        <w:jc w:val="left"/>
        <w:tblInd w:w="0" w:type="dxa"/>
        <w:tblLayout w:type="fixed"/>
        <w:tblCellMar>
          <w:top w:w="28" w:type="dxa"/>
          <w:left w:w="28" w:type="dxa"/>
          <w:bottom w:w="28" w:type="dxa"/>
          <w:right w:w="28" w:type="dxa"/>
        </w:tblCellMar>
      </w:tblPr>
      <w:tblGrid>
        <w:gridCol w:w="1268"/>
        <w:gridCol w:w="1074"/>
        <w:gridCol w:w="1073"/>
        <w:gridCol w:w="223"/>
        <w:gridCol w:w="1143"/>
        <w:gridCol w:w="114"/>
        <w:gridCol w:w="109"/>
        <w:gridCol w:w="109"/>
        <w:gridCol w:w="109"/>
        <w:gridCol w:w="211"/>
        <w:gridCol w:w="1081"/>
        <w:gridCol w:w="109"/>
        <w:gridCol w:w="109"/>
        <w:gridCol w:w="109"/>
        <w:gridCol w:w="109"/>
        <w:gridCol w:w="223"/>
        <w:gridCol w:w="1143"/>
        <w:gridCol w:w="114"/>
        <w:gridCol w:w="109"/>
        <w:gridCol w:w="109"/>
        <w:gridCol w:w="109"/>
        <w:gridCol w:w="211"/>
        <w:gridCol w:w="1081"/>
        <w:gridCol w:w="156"/>
      </w:tblGrid>
      <w:tr>
        <w:trPr/>
        <w:tc>
          <w:tcPr>
            <w:tcW w:w="1268"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4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assets:</w:t>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leases – financing receivables </w:t>
            </w:r>
            <w:r>
              <w:rPr>
                <w:rFonts w:ascii="Times New Roman;sans-serif" w:hAnsi="Times New Roman;sans-serif"/>
                <w:b w:val="false"/>
                <w:i/>
                <w:color w:val="000000"/>
                <w:sz w:val="13"/>
              </w:rPr>
              <w:t>(1)</w:t>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18,266,712 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18,211,102 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17,717,435 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Investments in loans and securities </w:t>
            </w:r>
            <w:r>
              <w:rPr>
                <w:rFonts w:ascii="Times New Roman;sans-serif" w:hAnsi="Times New Roman;sans-serif"/>
                <w:b w:val="false"/>
                <w:i/>
                <w:color w:val="000000"/>
                <w:sz w:val="13"/>
              </w:rPr>
              <w:t>(2)</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1,224,987 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1,144,177 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1,060,249 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Financial liabilities:</w:t>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90"/>
              <w:jc w:val="left"/>
              <w:rPr/>
            </w:pPr>
            <w:r>
              <w:rPr>
                <w:rFonts w:ascii="Times New Roman;sans-serif" w:hAnsi="Times New Roman;sans-serif"/>
                <w:b w:val="false"/>
                <w:color w:val="000000"/>
                <w:sz w:val="20"/>
              </w:rPr>
              <w:t xml:space="preserve">Debt </w:t>
            </w:r>
            <w:r>
              <w:rPr>
                <w:rFonts w:ascii="Times New Roman;sans-serif" w:hAnsi="Times New Roman;sans-serif"/>
                <w:b w:val="false"/>
                <w:i/>
                <w:color w:val="000000"/>
                <w:sz w:val="13"/>
              </w:rPr>
              <w:t>(3)</w:t>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CMBS Debt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2,780,394 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2,647,054 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2,773,758 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2,627,984 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13,761,205 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13,400,888 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13,776,563 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13,469,176 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000000"/>
          <w:sz w:val="16"/>
        </w:rPr>
        <w:t>(1)Represents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 In relation to the Century Canadian portfolio component of the Century master lease agreement, the master lease agreement for the Bowlero portfolio and the lease agreement for Chelsea Piers, given</w:t>
      </w:r>
      <w:r>
        <w:rPr>
          <w:color w:val="000000"/>
          <w:shd w:fill="FFFFFF" w:val="clear"/>
        </w:rPr>
        <w:t xml:space="preserve"> </w:t>
      </w:r>
      <w:r>
        <w:rPr>
          <w:rFonts w:ascii="Times New Roman;sans-serif" w:hAnsi="Times New Roman;sans-serif"/>
          <w:b w:val="false"/>
          <w:i/>
          <w:color w:val="000000"/>
          <w:sz w:val="16"/>
          <w:shd w:fill="FFFFFF" w:val="clear"/>
        </w:rPr>
        <w:t>the proximity of the date of our investment to the date of the Financial Statements, we determined that the fair value materially approximates the purchase price of the acquisition of these financial assets</w:t>
      </w:r>
      <w:r>
        <w:rPr>
          <w:rFonts w:ascii="Times New Roman;sans-serif" w:hAnsi="Times New Roman;sans-serif"/>
          <w:b w:val="false"/>
          <w:i/>
          <w:color w:val="000000"/>
          <w:sz w:val="16"/>
        </w:rPr>
        <w:t>.</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(3)The fair value of our debt instruments was estimated using quoted prices for identical or similar liabilities in markets that are not active and, as such, these fair value measurements are considered Level 2 of the fair value hierarchy.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84785"/>
                <wp:effectExtent l="0" t="0" r="0" b="0"/>
                <wp:wrapNone/>
                <wp:docPr id="35" name="Frame3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10 — Commitments and Contingent Liabilities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Litigation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from time to time, we may be subject to legal claims and administrative proceedings. As of March 31, 2024, we are not subject to any litigation that we believe could have, individually or in the aggregate, a material adverse effect on our business, financial condition or results of operations, liquidity or cash flows.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Lease Commitments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Operating Lease Commitments. </w:t>
      </w:r>
      <w:r>
        <w:rPr>
          <w:rFonts w:ascii="Times New Roman;sans-serif" w:hAnsi="Times New Roman;sans-serif"/>
          <w:b w:val="false"/>
          <w:color w:val="000000"/>
          <w:sz w:val="20"/>
        </w:rPr>
        <w:t xml:space="preserve">We are liable under various operating leases for: (i) land at the Cascata golf course, which expires in 2038 and has three 10-year extension options, and (ii) our corporate headquarters in New York, NY, which expires in 2035 and has one five-year renewal option.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Sub-Lease Commitments. </w:t>
      </w:r>
      <w:r>
        <w:rPr>
          <w:rFonts w:ascii="Times New Roman;sans-serif" w:hAnsi="Times New Roman;sans-serif"/>
          <w:b w:val="false"/>
          <w:color w:val="000000"/>
          <w:sz w:val="20"/>
        </w:rPr>
        <w:t>Certain of our acquisitions necessitate that we assume, as the lessee, ground and use leases that are integral to the operations of the property, the cost of which is passed to our tenants through our lease agreements, which require the tenants to pay all costs associated with such ground and use leases and provide for their direct payment to the landlord.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determined we are the primary obligor of certain of such ground and use leases and, accordingly, have presented these leases on a gross basis on our Balance Sheet and Statement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balance and location in our Balance Sheet of the ground and use sub-leases as of March 31, 2024 and December 31, 2023:</w:t>
      </w:r>
    </w:p>
    <w:tbl>
      <w:tblPr>
        <w:tblW w:w="8471" w:type="dxa"/>
        <w:jc w:val="left"/>
        <w:tblInd w:w="0" w:type="dxa"/>
        <w:tblLayout w:type="fixed"/>
        <w:tblCellMar>
          <w:top w:w="28" w:type="dxa"/>
          <w:left w:w="28" w:type="dxa"/>
          <w:bottom w:w="28" w:type="dxa"/>
          <w:right w:w="28" w:type="dxa"/>
        </w:tblCellMar>
      </w:tblPr>
      <w:tblGrid>
        <w:gridCol w:w="1907"/>
        <w:gridCol w:w="1676"/>
        <w:gridCol w:w="1681"/>
        <w:gridCol w:w="261"/>
        <w:gridCol w:w="894"/>
        <w:gridCol w:w="135"/>
        <w:gridCol w:w="109"/>
        <w:gridCol w:w="109"/>
        <w:gridCol w:w="109"/>
        <w:gridCol w:w="309"/>
        <w:gridCol w:w="1056"/>
        <w:gridCol w:w="225"/>
      </w:tblGrid>
      <w:tr>
        <w:trPr/>
        <w:tc>
          <w:tcPr>
            <w:tcW w:w="1907"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52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Others assets (operating lease and sub-leases right-of-use assets)</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(operating lease and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38,345 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Others assets (sales-type sub-leases, net) </w:t>
            </w:r>
            <w:r>
              <w:rPr>
                <w:rFonts w:ascii="Times New Roman;sans-serif" w:hAnsi="Times New Roman;sans-serif"/>
                <w:b w:val="false"/>
                <w:i/>
                <w:color w:val="000000"/>
                <w:sz w:val="13"/>
              </w:rPr>
              <w:t>(1)</w:t>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844,936 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847,330 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(finance sub-lease liabilities)</w:t>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865,945 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866,052 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60" w:after="283"/>
        <w:jc w:val="both"/>
        <w:rPr/>
      </w:pPr>
      <w:r>
        <w:rPr>
          <w:rFonts w:ascii="Times New Roman;sans-serif" w:hAnsi="Times New Roman;sans-serif"/>
          <w:b w:val="false"/>
          <w:i/>
          <w:color w:val="000000"/>
          <w:sz w:val="16"/>
        </w:rPr>
        <w:t xml:space="preserve">(1) As of March 31, 2024 and December 31, 2023, sales-type sub-leases are net of $21.0 million and $18.7 million of allowance for credit losses, respectively. Refer to </w:t>
      </w:r>
      <w:hyperlink w:anchor="i44afc6c18e6e47969829c5a05199c239_64">
        <w:r>
          <w:rPr>
            <w:rStyle w:val="InternetLink"/>
            <w:rFonts w:ascii="Times New Roman;sans-serif" w:hAnsi="Times New Roman;sans-serif"/>
            <w:b w:val="false"/>
            <w:i/>
            <w:color w:val="0000FF"/>
            <w:sz w:val="16"/>
            <w:u w:val="single"/>
          </w:rPr>
          <w:t>Note 5 – Allowance for Credit Losses</w:t>
        </w:r>
      </w:hyperlink>
      <w:r>
        <w:rPr>
          <w:color w:val="000000"/>
        </w:rPr>
        <w:t xml:space="preserve"> </w:t>
      </w:r>
      <w:r>
        <w:rPr>
          <w:rFonts w:ascii="Times New Roman;sans-serif" w:hAnsi="Times New Roman;sans-serif"/>
          <w:b w:val="false"/>
          <w:i/>
          <w:color w:val="000000"/>
          <w:sz w:val="16"/>
        </w:rPr>
        <w:t>for further details.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Total rental expense for operating lease commitments and total rental income and rental expense for operating and Finance sub-lease commitments and contractual rent expense under these agreements were as follows:</w:t>
      </w:r>
    </w:p>
    <w:tbl>
      <w:tblPr>
        <w:tblW w:w="5623" w:type="dxa"/>
        <w:jc w:val="left"/>
        <w:tblInd w:w="0" w:type="dxa"/>
        <w:tblLayout w:type="fixed"/>
        <w:tblCellMar>
          <w:top w:w="28" w:type="dxa"/>
          <w:left w:w="28" w:type="dxa"/>
          <w:bottom w:w="28" w:type="dxa"/>
          <w:right w:w="28" w:type="dxa"/>
        </w:tblCellMar>
      </w:tblPr>
      <w:tblGrid>
        <w:gridCol w:w="930"/>
        <w:gridCol w:w="815"/>
        <w:gridCol w:w="819"/>
        <w:gridCol w:w="286"/>
        <w:gridCol w:w="633"/>
        <w:gridCol w:w="148"/>
        <w:gridCol w:w="148"/>
        <w:gridCol w:w="148"/>
        <w:gridCol w:w="148"/>
        <w:gridCol w:w="286"/>
        <w:gridCol w:w="633"/>
        <w:gridCol w:w="148"/>
        <w:gridCol w:w="109"/>
        <w:gridCol w:w="109"/>
        <w:gridCol w:w="109"/>
        <w:gridCol w:w="154"/>
      </w:tblGrid>
      <w:tr>
        <w:trPr/>
        <w:tc>
          <w:tcPr>
            <w:tcW w:w="930"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leases</w:t>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expense </w:t>
            </w:r>
            <w:r>
              <w:rPr>
                <w:rFonts w:ascii="Times New Roman;sans-serif" w:hAnsi="Times New Roman;sans-serif"/>
                <w:b w:val="false"/>
                <w:i/>
                <w:color w:val="000000"/>
                <w:sz w:val="13"/>
              </w:rPr>
              <w:t>(1)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Operating sub-leases</w:t>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Finance sub-leases</w:t>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Rental income and expense </w:t>
            </w:r>
            <w:r>
              <w:rPr>
                <w:rFonts w:ascii="Times New Roman;sans-serif" w:hAnsi="Times New Roman;sans-serif"/>
                <w:b w:val="false"/>
                <w:i/>
                <w:color w:val="000000"/>
                <w:sz w:val="13"/>
              </w:rPr>
              <w:t>(2)</w:t>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16,010 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rent</w:t>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Total rental expense is included in golf operations and general and administrative expenses in our Statement of Operations.</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Total rental income and rental expense for operating and finance sub-lease commitments are presented gross and included in Other income and Other expenses in our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84785"/>
                <wp:effectExtent l="0" t="0" r="0" b="0"/>
                <wp:wrapNone/>
                <wp:docPr id="36" name="Frame3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future minimum lease commitments relating to the base lease rent portion of noncancelable operating leases and ground and use sub-leases at March 31, 2024 are as follows: </w:t>
      </w:r>
    </w:p>
    <w:tbl>
      <w:tblPr>
        <w:tblW w:w="10205" w:type="dxa"/>
        <w:jc w:val="left"/>
        <w:tblInd w:w="0" w:type="dxa"/>
        <w:tblLayout w:type="fixed"/>
        <w:tblCellMar>
          <w:top w:w="28" w:type="dxa"/>
          <w:left w:w="28" w:type="dxa"/>
          <w:bottom w:w="28" w:type="dxa"/>
          <w:right w:w="28" w:type="dxa"/>
        </w:tblCellMar>
      </w:tblPr>
      <w:tblGrid>
        <w:gridCol w:w="969"/>
        <w:gridCol w:w="820"/>
        <w:gridCol w:w="773"/>
        <w:gridCol w:w="109"/>
        <w:gridCol w:w="109"/>
        <w:gridCol w:w="109"/>
        <w:gridCol w:w="412"/>
        <w:gridCol w:w="1409"/>
        <w:gridCol w:w="214"/>
        <w:gridCol w:w="109"/>
        <w:gridCol w:w="109"/>
        <w:gridCol w:w="109"/>
        <w:gridCol w:w="460"/>
        <w:gridCol w:w="1576"/>
        <w:gridCol w:w="240"/>
        <w:gridCol w:w="109"/>
        <w:gridCol w:w="109"/>
        <w:gridCol w:w="109"/>
        <w:gridCol w:w="369"/>
        <w:gridCol w:w="1708"/>
        <w:gridCol w:w="274"/>
      </w:tblGrid>
      <w:tr>
        <w:trPr/>
        <w:tc>
          <w:tcPr>
            <w:tcW w:w="969"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57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708"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r>
      <w:tr>
        <w:trPr/>
        <w:tc>
          <w:tcPr>
            <w:tcW w:w="25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Operating Sub-Lease Commitments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Financing Sub-Lease Commitments</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49,397 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65,268 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65,268 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65,331 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2,835 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65,898 </w:t>
            </w:r>
          </w:p>
        </w:tc>
        <w:tc>
          <w:tcPr>
            <w:tcW w:w="2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20,680 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2,696,253 </w:t>
            </w:r>
          </w:p>
        </w:tc>
        <w:tc>
          <w:tcPr>
            <w:tcW w:w="2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minimum lease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34,804 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23,074 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3,072,683 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Discounting factor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19,786 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2,206,738 </w:t>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15,018 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21,591 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865,945 </w:t>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Discount rates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5.3% – 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2.6% – 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5.6% – 8.3%</w:t>
            </w:r>
          </w:p>
        </w:tc>
      </w:tr>
      <w:tr>
        <w:trPr/>
        <w:tc>
          <w:tcPr>
            <w:tcW w:w="25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 years</w:t>
            </w:r>
          </w:p>
        </w:tc>
      </w:tr>
    </w:tbl>
    <w:p>
      <w:pPr>
        <w:pStyle w:val="TextBody"/>
        <w:bidi w:val="0"/>
        <w:spacing w:lineRule="auto" w:line="288" w:before="180" w:after="283"/>
        <w:jc w:val="both"/>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The discount rates for the leases were determined based on the yield of our then current secured borrowings, adjusted to match borrowings of similar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11 — Stockholder’s Equity </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Stock</w:t>
      </w:r>
    </w:p>
    <w:p>
      <w:pPr>
        <w:pStyle w:val="TextBody"/>
        <w:bidi w:val="0"/>
        <w:spacing w:lineRule="auto" w:line="288" w:before="160" w:after="283"/>
        <w:jc w:val="both"/>
        <w:rPr>
          <w:rFonts w:ascii="Times New Roman;sans-serif" w:hAnsi="Times New Roman;sans-serif"/>
          <w:b/>
          <w:i/>
          <w:color w:val="000000"/>
          <w:sz w:val="20"/>
        </w:rPr>
      </w:pPr>
      <w:r>
        <w:rPr>
          <w:rFonts w:ascii="Times New Roman;sans-serif" w:hAnsi="Times New Roman;sans-serif"/>
          <w:b/>
          <w:i/>
          <w:color w:val="000000"/>
          <w:sz w:val="20"/>
        </w:rPr>
        <w:t>Authorized</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have the authority to issue 1,400,000,000 shares of stock, consisting of 1,350,000,000 shares of common stock, $0.01 par value per share, and 50,000,000 shares of preferred stock, $0.01 par value per share.</w:t>
      </w:r>
    </w:p>
    <w:p>
      <w:pPr>
        <w:pStyle w:val="TextBody"/>
        <w:bidi w:val="0"/>
        <w:spacing w:lineRule="auto" w:line="288" w:before="160" w:after="283"/>
        <w:jc w:val="both"/>
        <w:rPr>
          <w:rFonts w:ascii="Times New Roman;sans-serif" w:hAnsi="Times New Roman;sans-serif"/>
          <w:b/>
          <w:color w:val="000000"/>
          <w:sz w:val="20"/>
        </w:rPr>
      </w:pPr>
      <w:r>
        <w:rPr>
          <w:rFonts w:ascii="Times New Roman;sans-serif" w:hAnsi="Times New Roman;sans-serif"/>
          <w:b/>
          <w:color w:val="000000"/>
          <w:sz w:val="20"/>
        </w:rPr>
        <w:t>Public Offerings</w:t>
      </w:r>
    </w:p>
    <w:p>
      <w:pPr>
        <w:pStyle w:val="TextBody"/>
        <w:bidi w:val="0"/>
        <w:spacing w:lineRule="auto" w:line="288" w:before="16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Offerings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public offering activity subject to forward sale agreements during the three months ended March 31, 2023. There was no activity during the three months ended March 31, 2024. </w:t>
      </w:r>
    </w:p>
    <w:tbl>
      <w:tblPr>
        <w:tblW w:w="10205" w:type="dxa"/>
        <w:jc w:val="left"/>
        <w:tblInd w:w="0" w:type="dxa"/>
        <w:tblLayout w:type="fixed"/>
        <w:tblCellMar>
          <w:top w:w="28" w:type="dxa"/>
          <w:left w:w="28" w:type="dxa"/>
          <w:bottom w:w="28" w:type="dxa"/>
          <w:right w:w="28" w:type="dxa"/>
        </w:tblCellMar>
      </w:tblPr>
      <w:tblGrid>
        <w:gridCol w:w="466"/>
        <w:gridCol w:w="410"/>
        <w:gridCol w:w="413"/>
        <w:gridCol w:w="292"/>
        <w:gridCol w:w="292"/>
        <w:gridCol w:w="293"/>
        <w:gridCol w:w="109"/>
        <w:gridCol w:w="109"/>
        <w:gridCol w:w="109"/>
        <w:gridCol w:w="554"/>
        <w:gridCol w:w="531"/>
        <w:gridCol w:w="264"/>
        <w:gridCol w:w="109"/>
        <w:gridCol w:w="109"/>
        <w:gridCol w:w="109"/>
        <w:gridCol w:w="264"/>
        <w:gridCol w:w="773"/>
        <w:gridCol w:w="136"/>
        <w:gridCol w:w="109"/>
        <w:gridCol w:w="109"/>
        <w:gridCol w:w="109"/>
        <w:gridCol w:w="230"/>
        <w:gridCol w:w="1065"/>
        <w:gridCol w:w="119"/>
        <w:gridCol w:w="109"/>
        <w:gridCol w:w="109"/>
        <w:gridCol w:w="109"/>
        <w:gridCol w:w="277"/>
        <w:gridCol w:w="811"/>
        <w:gridCol w:w="143"/>
        <w:gridCol w:w="109"/>
        <w:gridCol w:w="109"/>
        <w:gridCol w:w="109"/>
        <w:gridCol w:w="217"/>
        <w:gridCol w:w="850"/>
        <w:gridCol w:w="170"/>
      </w:tblGrid>
      <w:tr>
        <w:trPr/>
        <w:tc>
          <w:tcPr>
            <w:tcW w:w="466"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 In thousands, except share and per share data)</w:t>
            </w:r>
          </w:p>
        </w:tc>
        <w:tc>
          <w:tcPr>
            <w:tcW w:w="877"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Effective Date </w:t>
            </w:r>
            <w:r>
              <w:rPr>
                <w:rFonts w:ascii="Times New Roman;sans-serif" w:hAnsi="Times New Roman;sans-serif"/>
                <w:b/>
                <w:i/>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Total Shares Sold </w:t>
            </w:r>
            <w:r>
              <w:rPr>
                <w:rFonts w:ascii="Times New Roman;sans-serif" w:hAnsi="Times New Roman;sans-serif"/>
                <w:b/>
                <w:i/>
                <w:color w:val="000000"/>
                <w:sz w:val="12"/>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Public Offering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Offering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Forward Sale Price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Initial Net Value</w:t>
            </w:r>
          </w:p>
        </w:tc>
      </w:tr>
      <w:tr>
        <w:trPr/>
        <w:tc>
          <w:tcPr>
            <w:tcW w:w="12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2023</w:t>
            </w:r>
          </w:p>
        </w:tc>
        <w:tc>
          <w:tcPr>
            <w:tcW w:w="8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2023 Offering</w:t>
            </w:r>
          </w:p>
        </w:tc>
        <w:tc>
          <w:tcPr>
            <w:tcW w:w="8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January 18,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30,302,500 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33.00 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964,400 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(1)All forward sale agreements require settlement within one year of the Effective Date.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(2)The amounts are inclusive of 3,952,500 shares sold pursuant to the exercise in full of the underwriters’ option to purchase additional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84785"/>
                <wp:effectExtent l="0" t="0" r="0" b="0"/>
                <wp:wrapNone/>
                <wp:docPr id="37" name="Frame3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did not have any shares outstanding from our marketed public forward offerings subject to forward sale agreements. Refer to “At-the-Market Offering Program” below for information regarding the share activity and shares outstanding under our ATM Program (as defined below). Refer to “Forward Settlement Activity” below for information regarding the settlement of the forward offerings.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did not receive any proceeds from the sale of shares at the time we entered into the forward sale agreement. We determined that the forward sale agreement meets the criteria for equity classification and, therefore, is exempt from derivative accounting. We recorded the forward sale agreement at fair value at inception, which we determined to be zero. Subsequent changes to fair value are not required under equity classification.</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At-the-Market Offering Program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28, 2023, we entered into an equity distribution agreement, pursuant to which we may sell, from time to time, up to an aggregate sales price of $1,500.0 million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the Company may sell shares of its common stock under the ATM Program through forward sale contracts. Actual sales under the ATM Program will depend on a variety of factors including market conditions, the trading price of our common stock, our capital needs, and our determination of the appropriate sources of funding to meet such needs.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activity under the ATM Program during the three months ended March 31, 2024, all of which were sold subject to forward sale agreements. We did not sell any shares under the ATM Program during the three months ended March 31, 2023.</w:t>
      </w:r>
    </w:p>
    <w:tbl>
      <w:tblPr>
        <w:tblW w:w="10205" w:type="dxa"/>
        <w:jc w:val="left"/>
        <w:tblInd w:w="0" w:type="dxa"/>
        <w:tblLayout w:type="fixed"/>
        <w:tblCellMar>
          <w:top w:w="28" w:type="dxa"/>
          <w:left w:w="28" w:type="dxa"/>
          <w:bottom w:w="28" w:type="dxa"/>
          <w:right w:w="28" w:type="dxa"/>
        </w:tblCellMar>
      </w:tblPr>
      <w:tblGrid>
        <w:gridCol w:w="763"/>
        <w:gridCol w:w="593"/>
        <w:gridCol w:w="598"/>
        <w:gridCol w:w="504"/>
        <w:gridCol w:w="483"/>
        <w:gridCol w:w="338"/>
        <w:gridCol w:w="109"/>
        <w:gridCol w:w="109"/>
        <w:gridCol w:w="109"/>
        <w:gridCol w:w="327"/>
        <w:gridCol w:w="954"/>
        <w:gridCol w:w="168"/>
        <w:gridCol w:w="109"/>
        <w:gridCol w:w="109"/>
        <w:gridCol w:w="109"/>
        <w:gridCol w:w="225"/>
        <w:gridCol w:w="884"/>
        <w:gridCol w:w="116"/>
        <w:gridCol w:w="109"/>
        <w:gridCol w:w="109"/>
        <w:gridCol w:w="109"/>
        <w:gridCol w:w="351"/>
        <w:gridCol w:w="1026"/>
        <w:gridCol w:w="181"/>
        <w:gridCol w:w="109"/>
        <w:gridCol w:w="109"/>
        <w:gridCol w:w="109"/>
        <w:gridCol w:w="244"/>
        <w:gridCol w:w="957"/>
        <w:gridCol w:w="185"/>
      </w:tblGrid>
      <w:tr>
        <w:trPr/>
        <w:tc>
          <w:tcPr>
            <w:tcW w:w="76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48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3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Share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Net Value</w:t>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r>
        <w:trPr/>
        <w:tc>
          <w:tcPr>
            <w:tcW w:w="1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2024 ATM Forward Sale Agreement </w:t>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9,662,116 </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305,466 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302,411 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4" w:type="dxa"/>
            <w:gridSpan w:val="3"/>
            <w:tcBorders/>
            <w:vAlign w:val="center"/>
          </w:tcPr>
          <w:p>
            <w:pPr>
              <w:pStyle w:val="TableContents"/>
              <w:bidi w:val="0"/>
              <w:spacing w:before="0" w:after="283"/>
              <w:jc w:val="left"/>
              <w:rPr>
                <w:sz w:val="4"/>
                <w:szCs w:val="4"/>
              </w:rPr>
            </w:pPr>
            <w:r>
              <w:rPr>
                <w:sz w:val="4"/>
                <w:szCs w:val="4"/>
              </w:rPr>
            </w:r>
          </w:p>
        </w:tc>
        <w:tc>
          <w:tcPr>
            <w:tcW w:w="13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receive any proceeds from the sale of shares at the time we entered into the January 2024 ATM Forward Sale Agreement. We determined that the January 2024 ATM Forward Sale Agreement meets the criteria for equity classification and, therefore, is exempt from derivative accounting. We recorded the January 2024 ATM Forward Sale Agreement at fair value at inception, which we determined to be zero. Subsequent changes to fair value are not required under equity classification.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approximately 22.9 million forward shares remaining to be settled under our ATM Program. The net forward sales price per share of forward shares under the ATM Program was $29.87 and would result in us receiving approximately $682.7 million in net cash proceeds if we were to physically settle the shares. Alternatively, if we were to cash settle the shares under the ATM Program, it would result in a cash inflow of $1.8 million, or, if we were to net share settle the shares under the January 2024 ATM Forward Sale Agreement, it would result in us receiving approximately 60,000 shares of common stock.</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Forward Settlement Activity</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settlement activity of the outstanding forward shares under our public offerings and the ATM Program during the three months ended March 31, 2023. There was no activity during the three months ended March 31, 2024.</w:t>
      </w:r>
    </w:p>
    <w:tbl>
      <w:tblPr>
        <w:tblW w:w="10205" w:type="dxa"/>
        <w:jc w:val="left"/>
        <w:tblInd w:w="0" w:type="dxa"/>
        <w:tblLayout w:type="fixed"/>
        <w:tblCellMar>
          <w:top w:w="28" w:type="dxa"/>
          <w:left w:w="28" w:type="dxa"/>
          <w:bottom w:w="28" w:type="dxa"/>
          <w:right w:w="28" w:type="dxa"/>
        </w:tblCellMar>
      </w:tblPr>
      <w:tblGrid>
        <w:gridCol w:w="801"/>
        <w:gridCol w:w="587"/>
        <w:gridCol w:w="592"/>
        <w:gridCol w:w="363"/>
        <w:gridCol w:w="363"/>
        <w:gridCol w:w="364"/>
        <w:gridCol w:w="109"/>
        <w:gridCol w:w="109"/>
        <w:gridCol w:w="109"/>
        <w:gridCol w:w="358"/>
        <w:gridCol w:w="358"/>
        <w:gridCol w:w="359"/>
        <w:gridCol w:w="109"/>
        <w:gridCol w:w="109"/>
        <w:gridCol w:w="109"/>
        <w:gridCol w:w="694"/>
        <w:gridCol w:w="500"/>
        <w:gridCol w:w="415"/>
        <w:gridCol w:w="109"/>
        <w:gridCol w:w="109"/>
        <w:gridCol w:w="109"/>
        <w:gridCol w:w="405"/>
        <w:gridCol w:w="1185"/>
        <w:gridCol w:w="209"/>
        <w:gridCol w:w="109"/>
        <w:gridCol w:w="109"/>
        <w:gridCol w:w="109"/>
        <w:gridCol w:w="236"/>
        <w:gridCol w:w="928"/>
        <w:gridCol w:w="180"/>
      </w:tblGrid>
      <w:tr>
        <w:trPr/>
        <w:tc>
          <w:tcPr>
            <w:tcW w:w="801"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19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0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Settlement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Number of Shares Settled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Net Forward Sales Price Upon Settlement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Net Proceeds</w:t>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2023</w:t>
            </w:r>
          </w:p>
        </w:tc>
        <w:tc>
          <w:tcPr>
            <w:tcW w:w="10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November 2022 Forward Sale Agreements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6,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18,975,000 </w:t>
            </w:r>
          </w:p>
        </w:tc>
        <w:tc>
          <w:tcPr>
            <w:tcW w:w="4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575,600 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ATM Forward Shares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Physical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21,617,592 </w:t>
            </w:r>
          </w:p>
        </w:tc>
        <w:tc>
          <w:tcPr>
            <w:tcW w:w="4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696,643 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0" w:type="dxa"/>
            <w:gridSpan w:val="3"/>
            <w:tcBorders/>
            <w:vAlign w:val="center"/>
          </w:tcPr>
          <w:p>
            <w:pPr>
              <w:pStyle w:val="TableContents"/>
              <w:bidi w:val="0"/>
              <w:spacing w:before="0" w:after="283"/>
              <w:jc w:val="left"/>
              <w:rPr>
                <w:sz w:val="4"/>
                <w:szCs w:val="4"/>
              </w:rPr>
            </w:pPr>
            <w:r>
              <w:rPr>
                <w:sz w:val="4"/>
                <w:szCs w:val="4"/>
              </w:rPr>
            </w:r>
          </w:p>
        </w:tc>
        <w:tc>
          <w:tcPr>
            <w:tcW w:w="10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4"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84785"/>
                <wp:effectExtent l="0" t="0" r="0" b="0"/>
                <wp:wrapNone/>
                <wp:docPr id="38" name="Frame3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Common Stock Outstanding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issuance of outstanding shares of common stock, including restricted common stock:</w:t>
      </w:r>
    </w:p>
    <w:tbl>
      <w:tblPr>
        <w:tblW w:w="10205" w:type="dxa"/>
        <w:jc w:val="left"/>
        <w:tblInd w:w="0" w:type="dxa"/>
        <w:tblLayout w:type="fixed"/>
        <w:tblCellMar>
          <w:top w:w="28" w:type="dxa"/>
          <w:left w:w="28" w:type="dxa"/>
          <w:bottom w:w="28" w:type="dxa"/>
          <w:right w:w="28" w:type="dxa"/>
        </w:tblCellMar>
      </w:tblPr>
      <w:tblGrid>
        <w:gridCol w:w="2178"/>
        <w:gridCol w:w="1916"/>
        <w:gridCol w:w="1922"/>
        <w:gridCol w:w="109"/>
        <w:gridCol w:w="109"/>
        <w:gridCol w:w="109"/>
        <w:gridCol w:w="928"/>
        <w:gridCol w:w="408"/>
        <w:gridCol w:w="219"/>
        <w:gridCol w:w="219"/>
        <w:gridCol w:w="219"/>
        <w:gridCol w:w="219"/>
        <w:gridCol w:w="927"/>
        <w:gridCol w:w="409"/>
        <w:gridCol w:w="314"/>
      </w:tblGrid>
      <w:tr>
        <w:trPr/>
        <w:tc>
          <w:tcPr>
            <w:tcW w:w="2178" w:type="dxa"/>
            <w:tcBorders/>
            <w:vAlign w:val="center"/>
          </w:tcPr>
          <w:p>
            <w:pPr>
              <w:pStyle w:val="TableContents"/>
              <w:bidi w:val="0"/>
              <w:spacing w:before="0" w:after="283"/>
              <w:jc w:val="left"/>
              <w:rPr>
                <w:sz w:val="4"/>
                <w:szCs w:val="4"/>
              </w:rPr>
            </w:pPr>
            <w:r>
              <w:rPr>
                <w:sz w:val="4"/>
                <w:szCs w:val="4"/>
              </w:rPr>
            </w:r>
          </w:p>
        </w:tc>
        <w:tc>
          <w:tcPr>
            <w:tcW w:w="1916" w:type="dxa"/>
            <w:tcBorders/>
            <w:vAlign w:val="center"/>
          </w:tcPr>
          <w:p>
            <w:pPr>
              <w:pStyle w:val="TableContents"/>
              <w:bidi w:val="0"/>
              <w:spacing w:before="0" w:after="283"/>
              <w:jc w:val="left"/>
              <w:rPr>
                <w:sz w:val="4"/>
                <w:szCs w:val="4"/>
              </w:rPr>
            </w:pPr>
            <w:r>
              <w:rPr>
                <w:sz w:val="4"/>
                <w:szCs w:val="4"/>
              </w:rPr>
            </w:r>
          </w:p>
        </w:tc>
        <w:tc>
          <w:tcPr>
            <w:tcW w:w="1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60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60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Common Stock 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60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Beginning Balance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1,042,702,763 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963,096,563 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common stock upon physical settlement of forward sale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40,592,592 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5" w:type="dxa"/>
            <w:gridSpan w:val="3"/>
            <w:tcBorders/>
            <w:vAlign w:val="center"/>
          </w:tcPr>
          <w:p>
            <w:pPr>
              <w:pStyle w:val="TableContents"/>
              <w:bidi w:val="0"/>
              <w:spacing w:before="0" w:after="283"/>
              <w:jc w:val="left"/>
              <w:rPr>
                <w:sz w:val="4"/>
                <w:szCs w:val="4"/>
              </w:rPr>
            </w:pPr>
            <w:r>
              <w:rPr>
                <w:sz w:val="4"/>
                <w:szCs w:val="4"/>
              </w:rPr>
            </w:r>
          </w:p>
        </w:tc>
        <w:tc>
          <w:tcPr>
            <w:tcW w:w="657" w:type="dxa"/>
            <w:gridSpan w:val="3"/>
            <w:tcBorders/>
            <w:vAlign w:val="center"/>
          </w:tcPr>
          <w:p>
            <w:pPr>
              <w:pStyle w:val="TableContents"/>
              <w:bidi w:val="0"/>
              <w:spacing w:before="0" w:after="283"/>
              <w:jc w:val="left"/>
              <w:rPr>
                <w:sz w:val="4"/>
                <w:szCs w:val="4"/>
              </w:rPr>
            </w:pPr>
            <w:r>
              <w:rPr>
                <w:sz w:val="4"/>
                <w:szCs w:val="4"/>
              </w:rPr>
            </w:r>
          </w:p>
        </w:tc>
        <w:tc>
          <w:tcPr>
            <w:tcW w:w="1650" w:type="dxa"/>
            <w:gridSpan w:val="3"/>
            <w:tcBorders/>
            <w:vAlign w:val="center"/>
          </w:tcPr>
          <w:p>
            <w:pPr>
              <w:pStyle w:val="TableContents"/>
              <w:bidi w:val="0"/>
              <w:spacing w:before="0" w:after="283"/>
              <w:jc w:val="left"/>
              <w:rPr>
                <w:sz w:val="4"/>
                <w:szCs w:val="4"/>
              </w:rPr>
            </w:pPr>
            <w:r>
              <w:rPr>
                <w:sz w:val="4"/>
                <w:szCs w:val="4"/>
              </w:rPr>
            </w:r>
          </w:p>
        </w:tc>
      </w:tr>
      <w:tr>
        <w:trPr/>
        <w:tc>
          <w:tcPr>
            <w:tcW w:w="60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Issuance of restricted and unrestricted common stock under the stock incentive program, net of forfeitures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434,268 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515,763 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Ending Balance March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1,043,137,031 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1,004,204,918 </w:t>
            </w:r>
          </w:p>
        </w:tc>
        <w:tc>
          <w:tcPr>
            <w:tcW w:w="3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Distributions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Dividends declared (on a per share basis) during the three months ended March 31, 2024 and 2023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12 — Earnings Per Share and Earnings Per Unit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Earnings Per Share</w:t>
      </w:r>
    </w:p>
    <w:p>
      <w:pPr>
        <w:pStyle w:val="TextBody"/>
        <w:bidi w:val="0"/>
        <w:spacing w:lineRule="auto" w:line="288" w:before="180" w:after="283"/>
        <w:jc w:val="both"/>
        <w:rPr/>
      </w:pPr>
      <w:r>
        <w:rPr>
          <w:rFonts w:ascii="Times New Roman;sans-serif" w:hAnsi="Times New Roman;sans-serif"/>
          <w:b w:val="false"/>
          <w:color w:val="000000"/>
          <w:sz w:val="20"/>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hyperlink w:anchor="i44afc6c18e6e47969829c5a05199c239_82">
        <w:r>
          <w:rPr>
            <w:rStyle w:val="InternetLink"/>
            <w:rFonts w:ascii="Times New Roman;sans-serif" w:hAnsi="Times New Roman;sans-serif"/>
            <w:b w:val="false"/>
            <w:color w:val="0000FF"/>
            <w:sz w:val="20"/>
            <w:u w:val="single"/>
          </w:rPr>
          <w:t>Note 11 – Stockholder’s Equity</w:t>
        </w:r>
      </w:hyperlink>
      <w:r>
        <w:rPr>
          <w:rFonts w:ascii="Times New Roman;sans-serif" w:hAnsi="Times New Roman;sans-serif"/>
          <w:b w:val="false"/>
          <w:color w:val="000000"/>
          <w:sz w:val="20"/>
        </w:rPr>
        <w:t xml:space="preserve">,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shares of common stock outstanding used in the calculation of basic earnings per share to the weighted-average shares of common stock outstanding used in the calculation of diluted earnings per share:</w:t>
      </w:r>
    </w:p>
    <w:tbl>
      <w:tblPr>
        <w:tblW w:w="9083" w:type="dxa"/>
        <w:jc w:val="left"/>
        <w:tblInd w:w="0" w:type="dxa"/>
        <w:tblLayout w:type="fixed"/>
        <w:tblCellMar>
          <w:top w:w="28" w:type="dxa"/>
          <w:left w:w="28" w:type="dxa"/>
          <w:bottom w:w="28" w:type="dxa"/>
          <w:right w:w="28" w:type="dxa"/>
        </w:tblCellMar>
      </w:tblPr>
      <w:tblGrid>
        <w:gridCol w:w="1889"/>
        <w:gridCol w:w="1662"/>
        <w:gridCol w:w="1669"/>
        <w:gridCol w:w="678"/>
        <w:gridCol w:w="298"/>
        <w:gridCol w:w="286"/>
        <w:gridCol w:w="286"/>
        <w:gridCol w:w="286"/>
        <w:gridCol w:w="286"/>
        <w:gridCol w:w="678"/>
        <w:gridCol w:w="298"/>
        <w:gridCol w:w="286"/>
        <w:gridCol w:w="109"/>
        <w:gridCol w:w="109"/>
        <w:gridCol w:w="109"/>
        <w:gridCol w:w="154"/>
      </w:tblGrid>
      <w:tr>
        <w:trPr/>
        <w:tc>
          <w:tcPr>
            <w:tcW w:w="1889"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shares: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1,043,312 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84785"/>
                <wp:effectExtent l="0" t="0" r="0" b="0"/>
                <wp:wrapNone/>
                <wp:docPr id="39" name="Frame3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8320" w:type="dxa"/>
        <w:jc w:val="left"/>
        <w:tblInd w:w="0" w:type="dxa"/>
        <w:tblLayout w:type="fixed"/>
        <w:tblCellMar>
          <w:top w:w="28" w:type="dxa"/>
          <w:left w:w="28" w:type="dxa"/>
          <w:bottom w:w="28" w:type="dxa"/>
          <w:right w:w="28" w:type="dxa"/>
        </w:tblCellMar>
      </w:tblPr>
      <w:tblGrid>
        <w:gridCol w:w="1888"/>
        <w:gridCol w:w="1660"/>
        <w:gridCol w:w="1672"/>
        <w:gridCol w:w="211"/>
        <w:gridCol w:w="826"/>
        <w:gridCol w:w="109"/>
        <w:gridCol w:w="109"/>
        <w:gridCol w:w="109"/>
        <w:gridCol w:w="109"/>
        <w:gridCol w:w="211"/>
        <w:gridCol w:w="826"/>
        <w:gridCol w:w="109"/>
        <w:gridCol w:w="109"/>
        <w:gridCol w:w="109"/>
        <w:gridCol w:w="109"/>
        <w:gridCol w:w="154"/>
      </w:tblGrid>
      <w:tr>
        <w:trPr/>
        <w:tc>
          <w:tcPr>
            <w:tcW w:w="1888"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and per share data)</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of common stock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shares of common stock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Earnings Per Unit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reconcile the weighted-average units outstanding used in the calculation of basic EPU to the weighted-average units outstanding used in the calculation of diluted EPU:</w:t>
      </w:r>
    </w:p>
    <w:tbl>
      <w:tblPr>
        <w:tblW w:w="8227" w:type="dxa"/>
        <w:jc w:val="left"/>
        <w:tblInd w:w="0" w:type="dxa"/>
        <w:tblLayout w:type="fixed"/>
        <w:tblCellMar>
          <w:top w:w="28" w:type="dxa"/>
          <w:left w:w="28" w:type="dxa"/>
          <w:bottom w:w="28" w:type="dxa"/>
          <w:right w:w="28" w:type="dxa"/>
        </w:tblCellMar>
      </w:tblPr>
      <w:tblGrid>
        <w:gridCol w:w="1580"/>
        <w:gridCol w:w="1389"/>
        <w:gridCol w:w="1395"/>
        <w:gridCol w:w="678"/>
        <w:gridCol w:w="298"/>
        <w:gridCol w:w="286"/>
        <w:gridCol w:w="286"/>
        <w:gridCol w:w="286"/>
        <w:gridCol w:w="286"/>
        <w:gridCol w:w="678"/>
        <w:gridCol w:w="298"/>
        <w:gridCol w:w="286"/>
        <w:gridCol w:w="109"/>
        <w:gridCol w:w="109"/>
        <w:gridCol w:w="109"/>
        <w:gridCol w:w="154"/>
      </w:tblGrid>
      <w:tr>
        <w:trPr/>
        <w:tc>
          <w:tcPr>
            <w:tcW w:w="158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395"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8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Determination of units:</w:t>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conversion of VICI restricted stock</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Assumed settlement of VICI forward sale agreements</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weighted-average units outstanding</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84785"/>
                <wp:effectExtent l="0" t="0" r="0" b="0"/>
                <wp:wrapNone/>
                <wp:docPr id="40" name="Frame3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6175" w:type="dxa"/>
        <w:jc w:val="left"/>
        <w:tblInd w:w="0" w:type="dxa"/>
        <w:tblLayout w:type="fixed"/>
        <w:tblCellMar>
          <w:top w:w="28" w:type="dxa"/>
          <w:left w:w="28" w:type="dxa"/>
          <w:bottom w:w="28" w:type="dxa"/>
          <w:right w:w="28" w:type="dxa"/>
        </w:tblCellMar>
      </w:tblPr>
      <w:tblGrid>
        <w:gridCol w:w="1114"/>
        <w:gridCol w:w="979"/>
        <w:gridCol w:w="982"/>
        <w:gridCol w:w="211"/>
        <w:gridCol w:w="826"/>
        <w:gridCol w:w="109"/>
        <w:gridCol w:w="109"/>
        <w:gridCol w:w="109"/>
        <w:gridCol w:w="109"/>
        <w:gridCol w:w="211"/>
        <w:gridCol w:w="826"/>
        <w:gridCol w:w="109"/>
        <w:gridCol w:w="109"/>
        <w:gridCol w:w="109"/>
        <w:gridCol w:w="109"/>
        <w:gridCol w:w="154"/>
      </w:tblGrid>
      <w:tr>
        <w:trPr/>
        <w:tc>
          <w:tcPr>
            <w:tcW w:w="111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Basic:</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1,013,758 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EPU</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Diluted: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partners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units outstanding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EPU</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 xml:space="preserve">Note 13 — Stock-Based Compensation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March 31, 2024, approximately 9.6 million shares of common stock remained available for issuance by us as equity awards under the Plan.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stock-based compensation expense recorded as General and administrative expense in the Statement of Operations:</w:t>
      </w:r>
    </w:p>
    <w:tbl>
      <w:tblPr>
        <w:tblW w:w="6056" w:type="dxa"/>
        <w:jc w:val="left"/>
        <w:tblInd w:w="0" w:type="dxa"/>
        <w:tblLayout w:type="fixed"/>
        <w:tblCellMar>
          <w:top w:w="28" w:type="dxa"/>
          <w:left w:w="28" w:type="dxa"/>
          <w:bottom w:w="28" w:type="dxa"/>
          <w:right w:w="28" w:type="dxa"/>
        </w:tblCellMar>
      </w:tblPr>
      <w:tblGrid>
        <w:gridCol w:w="1085"/>
        <w:gridCol w:w="954"/>
        <w:gridCol w:w="961"/>
        <w:gridCol w:w="247"/>
        <w:gridCol w:w="723"/>
        <w:gridCol w:w="127"/>
        <w:gridCol w:w="127"/>
        <w:gridCol w:w="127"/>
        <w:gridCol w:w="127"/>
        <w:gridCol w:w="247"/>
        <w:gridCol w:w="723"/>
        <w:gridCol w:w="127"/>
        <w:gridCol w:w="109"/>
        <w:gridCol w:w="109"/>
        <w:gridCol w:w="109"/>
        <w:gridCol w:w="154"/>
      </w:tblGrid>
      <w:tr>
        <w:trPr/>
        <w:tc>
          <w:tcPr>
            <w:tcW w:w="1085"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activity of our time-based restricted stock and performance-based restricted stock units:</w:t>
      </w:r>
    </w:p>
    <w:tbl>
      <w:tblPr>
        <w:tblW w:w="10205" w:type="dxa"/>
        <w:jc w:val="left"/>
        <w:tblInd w:w="0" w:type="dxa"/>
        <w:tblLayout w:type="fixed"/>
        <w:tblCellMar>
          <w:top w:w="28" w:type="dxa"/>
          <w:left w:w="28" w:type="dxa"/>
          <w:bottom w:w="28" w:type="dxa"/>
          <w:right w:w="28" w:type="dxa"/>
        </w:tblCellMar>
      </w:tblPr>
      <w:tblGrid>
        <w:gridCol w:w="846"/>
        <w:gridCol w:w="742"/>
        <w:gridCol w:w="746"/>
        <w:gridCol w:w="258"/>
        <w:gridCol w:w="260"/>
        <w:gridCol w:w="209"/>
        <w:gridCol w:w="190"/>
        <w:gridCol w:w="190"/>
        <w:gridCol w:w="190"/>
        <w:gridCol w:w="554"/>
        <w:gridCol w:w="1623"/>
        <w:gridCol w:w="286"/>
        <w:gridCol w:w="109"/>
        <w:gridCol w:w="109"/>
        <w:gridCol w:w="109"/>
        <w:gridCol w:w="274"/>
        <w:gridCol w:w="245"/>
        <w:gridCol w:w="186"/>
        <w:gridCol w:w="186"/>
        <w:gridCol w:w="186"/>
        <w:gridCol w:w="186"/>
        <w:gridCol w:w="539"/>
        <w:gridCol w:w="1577"/>
        <w:gridCol w:w="405"/>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27.44 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32.67 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27.15 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84785"/>
                <wp:effectExtent l="0" t="0" r="0" b="0"/>
                <wp:wrapNone/>
                <wp:docPr id="41" name="Frame4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80" w:after="283"/>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VICI PROPERTIES INC. AND VICI PROPERTIES L.P.</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NOTES TO CONSOLIDATED FINANCIAL STATEMENTS (Continued)</w:t>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(UNAUDITED)</w:t>
      </w:r>
    </w:p>
    <w:tbl>
      <w:tblPr>
        <w:tblW w:w="10205" w:type="dxa"/>
        <w:jc w:val="left"/>
        <w:tblInd w:w="0" w:type="dxa"/>
        <w:tblLayout w:type="fixed"/>
        <w:tblCellMar>
          <w:top w:w="28" w:type="dxa"/>
          <w:left w:w="28" w:type="dxa"/>
          <w:bottom w:w="28" w:type="dxa"/>
          <w:right w:w="28" w:type="dxa"/>
        </w:tblCellMar>
      </w:tblPr>
      <w:tblGrid>
        <w:gridCol w:w="846"/>
        <w:gridCol w:w="742"/>
        <w:gridCol w:w="746"/>
        <w:gridCol w:w="258"/>
        <w:gridCol w:w="260"/>
        <w:gridCol w:w="209"/>
        <w:gridCol w:w="190"/>
        <w:gridCol w:w="190"/>
        <w:gridCol w:w="190"/>
        <w:gridCol w:w="554"/>
        <w:gridCol w:w="1623"/>
        <w:gridCol w:w="286"/>
        <w:gridCol w:w="109"/>
        <w:gridCol w:w="109"/>
        <w:gridCol w:w="109"/>
        <w:gridCol w:w="274"/>
        <w:gridCol w:w="245"/>
        <w:gridCol w:w="186"/>
        <w:gridCol w:w="186"/>
        <w:gridCol w:w="186"/>
        <w:gridCol w:w="186"/>
        <w:gridCol w:w="539"/>
        <w:gridCol w:w="1577"/>
        <w:gridCol w:w="405"/>
      </w:tblGrid>
      <w:tr>
        <w:trPr/>
        <w:tc>
          <w:tcPr>
            <w:tcW w:w="846"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Incentive and Time-Based Restricted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Performance-Based Restricted Stock Units</w:t>
            </w:r>
          </w:p>
        </w:tc>
      </w:tr>
      <w:tr>
        <w:trPr/>
        <w:tc>
          <w:tcPr>
            <w:tcW w:w="2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Shares</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55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Grant Date Fair Value</w:t>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beginning of period</w:t>
            </w:r>
          </w:p>
        </w:tc>
        <w:tc>
          <w:tcPr>
            <w:tcW w:w="5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769 </w:t>
            </w:r>
          </w:p>
        </w:tc>
        <w:tc>
          <w:tcPr>
            <w:tcW w:w="1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Forfeited</w:t>
            </w:r>
          </w:p>
        </w:tc>
        <w:tc>
          <w:tcPr>
            <w:tcW w:w="5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19.90 </w:t>
            </w:r>
          </w:p>
        </w:tc>
        <w:tc>
          <w:tcPr>
            <w:tcW w:w="4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Canceled</w:t>
            </w:r>
          </w:p>
        </w:tc>
        <w:tc>
          <w:tcPr>
            <w:tcW w:w="5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end of period</w:t>
            </w:r>
          </w:p>
        </w:tc>
        <w:tc>
          <w:tcPr>
            <w:tcW w:w="51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29.77 </w:t>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28.28 </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$30.4 million of unrecognized compensation cost related to non-vested stock-based compensation arrangements under the Plan. This cost is expected to be recognized over a weighted 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84785"/>
                <wp:effectExtent l="0" t="0" r="0" b="0"/>
                <wp:wrapNone/>
                <wp:docPr id="42" name="Frame4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80" w:after="283"/>
        <w:jc w:val="both"/>
        <w:rPr/>
      </w:pPr>
      <w:r>
        <w:rPr>
          <w:rFonts w:ascii="Times New Roman;sans-serif" w:hAnsi="Times New Roman;sans-serif"/>
          <w:b w:val="false"/>
          <w:i/>
          <w:color w:val="000000"/>
          <w:sz w:val="20"/>
        </w:rPr>
        <w:t xml:space="preserve">The following discussion and analysis of the financial position and operating results of VICI Properties Inc. and VICI Properties L.P. for the three months ended March 31, 2024 should be read in conjunction with the Financial Statements and related notes thereto and other financial information contained elsewhere in this Quarterly Report on Form 10-Q and the audited consolidated financial statements and related notes for the year ended December 31, 2023, which were included in our </w:t>
      </w:r>
      <w:hyperlink r:id="rId4">
        <w:r>
          <w:rPr>
            <w:rStyle w:val="InternetLink"/>
            <w:rFonts w:ascii="Times New Roman;sans-serif" w:hAnsi="Times New Roman;sans-serif"/>
            <w:b w:val="false"/>
            <w:i/>
            <w:color w:val="0000FF"/>
            <w:sz w:val="20"/>
            <w:u w:val="single"/>
          </w:rPr>
          <w:t>Annual Report on Form 10-K for the year ended December 31, 2023</w:t>
        </w:r>
      </w:hyperlink>
      <w:r>
        <w:rPr>
          <w:rFonts w:ascii="Times New Roman;sans-serif" w:hAnsi="Times New Roman;sans-serif"/>
          <w:b w:val="false"/>
          <w:i/>
          <w:color w:val="000000"/>
          <w:sz w:val="20"/>
        </w:rPr>
        <w:t xml:space="preserve">. All defined terms included herein have the same meaning as those set forth in the </w:t>
      </w:r>
      <w:hyperlink w:anchor="i44afc6c18e6e47969829c5a05199c239_46">
        <w:r>
          <w:rPr>
            <w:rStyle w:val="InternetLink"/>
            <w:rFonts w:ascii="Times New Roman;sans-serif" w:hAnsi="Times New Roman;sans-serif"/>
            <w:b w:val="false"/>
            <w:i/>
            <w:color w:val="0000FF"/>
            <w:sz w:val="20"/>
            <w:u w:val="single"/>
          </w:rPr>
          <w:t>Notes to the Consolidated Financial Statements</w:t>
        </w:r>
      </w:hyperlink>
      <w:r>
        <w:rPr>
          <w:color w:val="000000"/>
        </w:rPr>
        <w:t xml:space="preserve"> </w:t>
      </w:r>
      <w:r>
        <w:rPr>
          <w:rFonts w:ascii="Times New Roman;sans-serif" w:hAnsi="Times New Roman;sans-serif"/>
          <w:b w:val="false"/>
          <w:i/>
          <w:color w:val="000000"/>
          <w:sz w:val="20"/>
        </w:rPr>
        <w:t xml:space="preserve">contained within this Quarterly Report on Form 10-Q. </w:t>
      </w:r>
    </w:p>
    <w:p>
      <w:pPr>
        <w:pStyle w:val="TextBody"/>
        <w:bidi w:val="0"/>
        <w:spacing w:lineRule="auto" w:line="288" w:before="240" w:after="60"/>
        <w:jc w:val="center"/>
        <w:rPr>
          <w:rFonts w:ascii="Times New Roman;sans-serif" w:hAnsi="Times New Roman;sans-serif"/>
          <w:b/>
          <w:color w:val="000000"/>
          <w:sz w:val="22"/>
        </w:rPr>
      </w:pPr>
      <w:r>
        <w:rPr>
          <w:rFonts w:ascii="Times New Roman;sans-serif" w:hAnsi="Times New Roman;sans-serif"/>
          <w:b/>
          <w:color w:val="000000"/>
          <w:sz w:val="22"/>
        </w:rPr>
        <w:t>CAUTIONARY NOTE REGARDING FORWARD-LOOKING STATEMENTS</w:t>
      </w:r>
    </w:p>
    <w:p>
      <w:pPr>
        <w:pStyle w:val="TextBody"/>
        <w:bidi w:val="0"/>
        <w:spacing w:lineRule="auto" w:line="288" w:before="240" w:after="60"/>
        <w:jc w:val="both"/>
        <w:rPr>
          <w:rFonts w:ascii="Times New Roman;sans-serif" w:hAnsi="Times New Roman;sans-serif"/>
          <w:b w:val="false"/>
          <w:color w:val="000000"/>
          <w:sz w:val="20"/>
        </w:rPr>
      </w:pPr>
      <w:r>
        <w:rPr>
          <w:rFonts w:ascii="Times New Roman;sans-serif" w:hAnsi="Times New Roman;sans-serif"/>
          <w:b w:val="false"/>
          <w:color w:val="000000"/>
          <w:sz w:val="20"/>
        </w:rPr>
        <w:t>Certain statements in this Quarterly Report on Form 10-Q, including statements such as “anticipate,” “believe,” “estimate,” “expect,” “intend,” “plan,” “project,” “target,” “can,” “could,” “may,” “should,” “will,” “would” or similar expressions, which constitute “forward-looking statements” within the meaning of the federal securities law.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rates, supply chain disruptions, consumer confidence levels, changes in consumer spending, unemployment levels and depressed real estate prices resulting from the severity and duration of any downturn in the U.S. or global economy; the impact of increased interest rates on us, including our ability to successfully pursue investments in, and acquisitions of, additional properties and to obtain debt financing for such investments at attractive interest rates, or at all; risks associated with our recently closed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our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 including additional costs or liabilities, that materially and adversely impact the value of assets acquired or secured as collateral (or other benefits we expect to receive) in any of our recently completed transactions; the impact of changes to the U.S. federal income tax laws; the possibility of adverse tax consequences as a result of our recently completed transactions, including tax protection agreements to which we are a party; increased volatility in our stock price, including as a result of our recently completed transactions; our inability to maintain our qualification for taxation as a REIT; the impact of climate change, natural disasters, war, political and public health conditions or uncertainty or civil unrest, violence or terrorist activities or threats on our properties and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84785"/>
                <wp:effectExtent l="0" t="0" r="0" b="0"/>
                <wp:wrapNone/>
                <wp:docPr id="43" name="Frame4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economic conditions or heightened travel security and health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our reliance on distributions received from our subsidiaries, including VICI OP, to make distributions to our stockholders; the potential impact on the amount of our cash distributions if we were to sell any of our properties in the future; our ability to continue to make distributions to holders of our common stock or maintain anticipated levels of distributions over time;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Annual Reports on Form 10-K, Quarterly Reports on Form 10-Q and Current Reports on Form 8-K.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OVERVIEW</w:t>
      </w:r>
    </w:p>
    <w:p>
      <w:pPr>
        <w:pStyle w:val="TextBody"/>
        <w:bidi w:val="0"/>
        <w:spacing w:lineRule="auto" w:line="288" w:before="180" w:after="283"/>
        <w:jc w:val="both"/>
        <w:rPr/>
      </w:pPr>
      <w:r>
        <w:rPr>
          <w:rFonts w:ascii="Times New Roman;sans-serif" w:hAnsi="Times New Roman;sans-serif"/>
          <w:b w:val="false"/>
          <w:color w:val="000000"/>
          <w:sz w:val="20"/>
        </w:rPr>
        <w:t xml:space="preserve">We are a Maryland corporation that is primarily engaged in the business of owning and acquiring gaming, hospitality and entertainment destinations, subject to long-term triple 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properties are occupied by industry-leading gaming, leisure and hospitality operators under long-term, triple-net lease agreements. We have a growing array of real estate and financing partnerships with leading operators in other experiential sectors, including Bowlero, Cabot, Canyon Ranch, Chelsea Piers, Great Wolf Resorts, Homefield, and Kalahari Resorts. Across approximately </w:t>
      </w:r>
      <w:r>
        <w:rPr>
          <w:rFonts w:ascii="Times New Roman;sans-serif" w:hAnsi="Times New Roman;sans-serif"/>
          <w:b w:val="false"/>
          <w:color w:val="000000"/>
          <w:sz w:val="20"/>
          <w:shd w:fill="FFFFFF" w:val="clear"/>
        </w:rPr>
        <w:t xml:space="preserve">127 </w:t>
      </w:r>
      <w:r>
        <w:rPr>
          <w:rFonts w:ascii="Times New Roman;sans-serif" w:hAnsi="Times New Roman;sans-serif"/>
          <w:b w:val="false"/>
          <w:color w:val="000000"/>
          <w:sz w:val="20"/>
        </w:rPr>
        <w:t>million square feet, our well-maintained properties are curren</w:t>
      </w:r>
      <w:r>
        <w:rPr>
          <w:rFonts w:ascii="Times New Roman;sans-serif" w:hAnsi="Times New Roman;sans-serif"/>
          <w:b w:val="false"/>
          <w:color w:val="000000"/>
          <w:sz w:val="20"/>
          <w:shd w:fill="FFFFFF" w:val="clear"/>
        </w:rPr>
        <w:t>tly located across urban, destination and drive-to markets in twenty-six states and Canada, contain approximately 60,300 hotel rooms and feature over 500 restaurants, bars, nightclubs and sportsbooks.</w:t>
      </w:r>
    </w:p>
    <w:p>
      <w:pPr>
        <w:pStyle w:val="TextBody"/>
        <w:bidi w:val="0"/>
        <w:spacing w:lineRule="auto" w:line="288" w:before="180" w:after="283"/>
        <w:jc w:val="both"/>
        <w:rPr/>
      </w:pPr>
      <w:r>
        <w:rPr>
          <w:rFonts w:ascii="Times New Roman;sans-serif" w:hAnsi="Times New Roman;sans-serif"/>
          <w:b w:val="false"/>
          <w:color w:val="000000"/>
          <w:sz w:val="20"/>
        </w:rPr>
        <w:t xml:space="preserve">Our portfolio also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w:t>
      </w:r>
      <w:r>
        <w:rPr>
          <w:rFonts w:ascii="Times New Roman;sans-serif" w:hAnsi="Times New Roman;sans-serif"/>
          <w:b w:val="false"/>
          <w:color w:val="000000"/>
          <w:sz w:val="20"/>
          <w:shd w:fill="FFFFFF" w:val="clear"/>
        </w:rPr>
        <w:t xml:space="preserve">As of March 31, 2024, our properties are 100% leased with a weighted average lease term, including extension options, of approximately 42.5 years. </w:t>
      </w:r>
      <w:r>
        <w:rPr>
          <w:rFonts w:ascii="Times New Roman;sans-serif" w:hAnsi="Times New Roman;sans-serif"/>
          <w:b w:val="false"/>
          <w:color w:val="000000"/>
          <w:sz w:val="20"/>
        </w:rPr>
        <w:t xml:space="preserve">VICI also owns four championship golf courses located near certain of our properties, two of which are in close proximity to the Las Vegas Strip.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we have a mutually beneficial relationship with each of our tenants, all of which are leading owners and operators of gaming, entertainment and leisure properties. Our long-term triple-net lease agreements with our tenants provide us with a highly predictable revenue stream with embedded growth potential. We believe our geographic diversification limits the effect of changes in any one market on our overall performance. We are focused on driving long-term total returns through managing experiential asset growth and allocating capital diligently, maintaining a highly productive tenant base, and optimizing our capital structure to support external growth. As a growth focused public real estate investment trust with long-term investments, we expect our relationship with our partners will position us for the acquisition of additional properties across leisure and hospitality over the long-term.</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 repair, improvement and other capital expenditures, as well as over the implementation of environmental sustainability and other initiatives.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84785"/>
                <wp:effectExtent l="0" t="0" r="0" b="0"/>
                <wp:wrapNone/>
                <wp:docPr id="44" name="Frame4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information included in this Quarterly Report on Form 10-Q is our consolidated results (including the real property business and the golf course business) for the three months ended March 31,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Impact of Material Trends on Our Business </w:t>
      </w:r>
    </w:p>
    <w:p>
      <w:pPr>
        <w:pStyle w:val="TextBody"/>
        <w:bidi w:val="0"/>
        <w:spacing w:lineRule="auto" w:line="288" w:before="180" w:after="283"/>
        <w:jc w:val="both"/>
        <w:rPr/>
      </w:pPr>
      <w:r>
        <w:rPr>
          <w:rFonts w:ascii="Times New Roman;sans-serif" w:hAnsi="Times New Roman;sans-serif"/>
          <w:b w:val="false"/>
          <w:color w:val="000000"/>
          <w:sz w:val="20"/>
        </w:rPr>
        <w:t xml:space="preserve">Recent macroeconomic volatility has introduced significant uncertainty and heightened risk for businesses, including us and our tenants, including the impact of recent and potential future interest rate increases, inflation and increased cost of capital. </w:t>
      </w:r>
      <w:r>
        <w:rPr>
          <w:rFonts w:ascii="Times New Roman;sans-serif" w:hAnsi="Times New Roman;sans-serif"/>
          <w:b w:val="false"/>
          <w:color w:val="000000"/>
          <w:sz w:val="20"/>
          <w:shd w:fill="FFFFFF" w:val="clear"/>
        </w:rPr>
        <w:t xml:space="preserve">Our tenants also face additional challenges, including potential changes in consumer confidence levels, which may impact behavior and spending, and increased operational expenses, such as with respect to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w:t>
      </w:r>
      <w:r>
        <w:rPr>
          <w:rFonts w:ascii="Times New Roman;sans-serif" w:hAnsi="Times New Roman;sans-serif"/>
          <w:b w:val="false"/>
          <w:color w:val="000000"/>
          <w:sz w:val="20"/>
        </w:rPr>
        <w:t>As a triple-net lessor, we believe we are generally in a strong creditor position and structurally insulated from operational and performance impacts of our tenants, both positive and negative. However,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inflation, economic recessions, consumer confidence levels and general conditions in the capital and credit markets) and the impact of any future measures taken in response to such trends on our tenants.</w:t>
      </w:r>
    </w:p>
    <w:p>
      <w:pPr>
        <w:pStyle w:val="TextBody"/>
        <w:bidi w:val="0"/>
        <w:spacing w:lineRule="auto" w:line="288" w:before="180" w:after="283"/>
        <w:jc w:val="both"/>
        <w:rPr/>
      </w:pPr>
      <w:r>
        <w:rPr>
          <w:rFonts w:ascii="Times New Roman;sans-serif" w:hAnsi="Times New Roman;sans-serif"/>
          <w:b w:val="false"/>
          <w:color w:val="000000"/>
          <w:sz w:val="20"/>
        </w:rPr>
        <w:t xml:space="preserve">For more information, refer to the sections entitled “Key Trends That May Affect Our Business” and “Risk Factors” in our </w:t>
      </w:r>
      <w:hyperlink r:id="rId5">
        <w:r>
          <w:rPr>
            <w:rStyle w:val="InternetLink"/>
            <w:rFonts w:ascii="Times New Roman;sans-serif" w:hAnsi="Times New Roman;sans-serif"/>
            <w:b w:val="false"/>
            <w:color w:val="0000FF"/>
            <w:sz w:val="20"/>
            <w:u w:val="single"/>
          </w:rPr>
          <w:t>Annual Report on Form 10-K for the year ended December 31, 2023</w:t>
        </w:r>
      </w:hyperlink>
      <w:r>
        <w:rPr>
          <w:color w:val="000000"/>
        </w:rPr>
        <w:t xml:space="preserve"> </w:t>
      </w:r>
      <w:r>
        <w:rPr>
          <w:rFonts w:ascii="Times New Roman;sans-serif" w:hAnsi="Times New Roman;sans-serif"/>
          <w:b w:val="false"/>
          <w:color w:val="000000"/>
          <w:sz w:val="20"/>
        </w:rPr>
        <w:t>and as updated from time to time in our other filings with the SEC.</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SIGNIFICANT ACTIVITIES DURING 2024</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Acquisition and Leasing Activity</w:t>
      </w:r>
    </w:p>
    <w:p>
      <w:pPr>
        <w:pStyle w:val="TextBody"/>
        <w:bidi w:val="0"/>
        <w:spacing w:lineRule="auto" w:line="288" w:before="180" w:after="283"/>
        <w:ind w:left="0" w:right="0" w:hanging="360"/>
        <w:jc w:val="both"/>
        <w:rPr/>
      </w:pPr>
      <w:r>
        <w:rPr>
          <w:color w:val="000000"/>
        </w:rPr>
        <w:t>•</w:t>
      </w:r>
      <w:r>
        <w:rPr>
          <w:rFonts w:ascii="Times New Roman;sans-serif" w:hAnsi="Times New Roman;sans-serif"/>
          <w:b/>
          <w:i/>
          <w:color w:val="000000"/>
          <w:sz w:val="20"/>
        </w:rPr>
        <w:t xml:space="preserve">Venetian Capital Investment. </w:t>
      </w:r>
      <w:r>
        <w:rPr>
          <w:rFonts w:ascii="Times New Roman;sans-serif" w:hAnsi="Times New Roman;sans-serif"/>
          <w:b w:val="false"/>
          <w:color w:val="000000"/>
          <w:sz w:val="20"/>
        </w:rPr>
        <w:t xml:space="preserve">Subsequent to quarter-end, on May 1, 2024, we entered into an agreement to provide up to $700.0 million of capital to the Ventian Resort for extensive reinvestment projects through our Partner Property Growth Fund strategy (the “Venetian Capital Investment”). The Venetian Capital Investment is comprised of $400.0 million to be funded in 2024 and an incremental $300.0 million that the Venetian Resort will have the option, but not the obligation, to draw in whole or in part until November 1, 2026. The initial $400.0 million investment will be funded in three quarterly draws based on a fixed funding schedule: $100.0 million in second quarter of 2024, $150.0 million in the third quarter of 2024 and $150.0 million in the fourth quarter of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Annual rent under the existing Venetian Lease will increase commencing on the first day of the quarter immediately following each capital funding at a 7.25% yield (the “Incremental Venetian Rent”). The Incremental Venetian Rent will begin escalating annually at 2.0% on March 1, 2029, and commencing on March 1, 2031, will begin escalating at the same terms as the rest of the rent payable under the Venetian Lease with annual escalation equal to the greater of 2.0% or CPI, capped at 3.0%.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84785"/>
                <wp:effectExtent l="0" t="0" r="0" b="0"/>
                <wp:wrapNone/>
                <wp:docPr id="45" name="Frame4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Real Estate Debt Origination Activity</w:t>
      </w:r>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real estate debt origination activity (each as defined in the column titled “Real Estate Debt Investment”) for the three months ended March 31, 2024:</w:t>
      </w:r>
    </w:p>
    <w:tbl>
      <w:tblPr>
        <w:tblW w:w="10205" w:type="dxa"/>
        <w:jc w:val="left"/>
        <w:tblInd w:w="0" w:type="dxa"/>
        <w:tblLayout w:type="fixed"/>
        <w:tblCellMar>
          <w:top w:w="28" w:type="dxa"/>
          <w:left w:w="28" w:type="dxa"/>
          <w:bottom w:w="28" w:type="dxa"/>
          <w:right w:w="28" w:type="dxa"/>
        </w:tblCellMar>
      </w:tblPr>
      <w:tblGrid>
        <w:gridCol w:w="805"/>
        <w:gridCol w:w="511"/>
        <w:gridCol w:w="427"/>
        <w:gridCol w:w="109"/>
        <w:gridCol w:w="109"/>
        <w:gridCol w:w="109"/>
        <w:gridCol w:w="340"/>
        <w:gridCol w:w="340"/>
        <w:gridCol w:w="345"/>
        <w:gridCol w:w="109"/>
        <w:gridCol w:w="109"/>
        <w:gridCol w:w="109"/>
        <w:gridCol w:w="368"/>
        <w:gridCol w:w="368"/>
        <w:gridCol w:w="369"/>
        <w:gridCol w:w="109"/>
        <w:gridCol w:w="109"/>
        <w:gridCol w:w="109"/>
        <w:gridCol w:w="304"/>
        <w:gridCol w:w="889"/>
        <w:gridCol w:w="157"/>
        <w:gridCol w:w="109"/>
        <w:gridCol w:w="109"/>
        <w:gridCol w:w="109"/>
        <w:gridCol w:w="1125"/>
        <w:gridCol w:w="1052"/>
        <w:gridCol w:w="1497"/>
      </w:tblGrid>
      <w:tr>
        <w:trPr/>
        <w:tc>
          <w:tcPr>
            <w:tcW w:w="805"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52"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Real Estate Debt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Investment Type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Principal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Collateral</w:t>
            </w:r>
          </w:p>
        </w:tc>
      </w:tr>
      <w:tr>
        <w:trPr/>
        <w:tc>
          <w:tcPr>
            <w:tcW w:w="17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Chelsea Piers One Madison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February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equipment of the fitness club at the One Madison building in New York, New York, under development</w:t>
            </w:r>
          </w:p>
        </w:tc>
      </w:tr>
      <w:tr>
        <w:trPr/>
        <w:tc>
          <w:tcPr>
            <w:tcW w:w="17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Homefield Margaritaville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23,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Senior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Margaritaville Resort in Kansas City, Kansas, under development</w:t>
            </w:r>
          </w:p>
        </w:tc>
      </w:tr>
      <w:tr>
        <w:trPr/>
        <w:tc>
          <w:tcPr>
            <w:tcW w:w="17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8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Financing and Capital Markets Activity</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At-The-Market Offering Program. </w:t>
      </w:r>
      <w:r>
        <w:rPr>
          <w:rFonts w:ascii="Times New Roman;sans-serif" w:hAnsi="Times New Roman;sans-serif"/>
          <w:b w:val="false"/>
          <w:color w:val="000000"/>
          <w:sz w:val="20"/>
        </w:rPr>
        <w:t>During the three months ended March 31, 2024, we sold an aggregate of 9.7 million shares under the ATM Program, all of which were subject to forward sale agreements, for estimated aggregate total proceeds of $302.4 million based on the initial forward sale price with respect to each forward sale agreement. We did not initially receive any proceeds from the sale of the shares of common stock under the ATM Program, which were sold to the underwriters by the forward purchasers or their respective affiliates.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Senior Unsecured Notes Offering. </w:t>
      </w:r>
      <w:r>
        <w:rPr>
          <w:rFonts w:ascii="Times New Roman;sans-serif" w:hAnsi="Times New Roman;sans-serif"/>
          <w:b w:val="false"/>
          <w:color w:val="000000"/>
          <w:sz w:val="20"/>
        </w:rPr>
        <w:t>On March 18, 2024, VICI LP issued (i) $550.0 million in aggregate principal amount of 5.750% Senior Notes due 2034, which mature on April 1, 2034 and (ii) $500.0 million in aggregate principal amount of 6.125% Senior Notes due 2054, which mature on April 1, 2054, in each case under a supplemental indenture dated as of March 18, 2024, between VICI LP and the Trustee. We used the net proceeds of the offering to redeem (i) $1,024.2 million in aggregate principal amount of 5.625% Senior Notes due May 1, 2024 and (ii) $25.8 million in aggregate principal amount of 5.625% Senior Notes due May 1, 2024.</w:t>
      </w:r>
    </w:p>
    <w:p>
      <w:pPr>
        <w:pStyle w:val="TextBody"/>
        <w:bidi w:val="0"/>
        <w:spacing w:lineRule="auto" w:line="288" w:before="120" w:after="283"/>
        <w:ind w:left="0" w:right="0" w:hanging="360"/>
        <w:jc w:val="both"/>
        <w:rPr/>
      </w:pPr>
      <w:r>
        <w:rPr>
          <w:color w:val="231F20"/>
        </w:rPr>
        <w:t>•</w:t>
      </w:r>
      <w:r>
        <w:rPr>
          <w:rFonts w:ascii="Times New Roman;sans-serif" w:hAnsi="Times New Roman;sans-serif"/>
          <w:b/>
          <w:i/>
          <w:color w:val="000000"/>
          <w:sz w:val="20"/>
        </w:rPr>
        <w:t xml:space="preserve">Settlement of Forward-Starting Interest Rate Swaps. </w:t>
      </w:r>
      <w:r>
        <w:rPr>
          <w:rFonts w:ascii="Times New Roman;sans-serif" w:hAnsi="Times New Roman;sans-serif"/>
          <w:b w:val="false"/>
          <w:color w:val="000000"/>
          <w:sz w:val="20"/>
        </w:rPr>
        <w:t>On March 11, 2024, we settled the seven outstanding forward-starting interest rate swap agreements with an aggregate notional amount of $500.0 million resulting in net proceeds of $2.8 million. Since the forward-starting swaps were hedging the interest rate risk on the March 2024 Notes, the unrealized gain in Accumulated other comprehensive income is being amortized over the term of the respective derivative instruments, which matches that of the underlying note, as a decrease in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84785"/>
                <wp:effectExtent l="0" t="0" r="0" b="0"/>
                <wp:wrapNone/>
                <wp:docPr id="46" name="Frame4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RESULTS OF OPERATIONS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 </w:t>
      </w:r>
    </w:p>
    <w:tbl>
      <w:tblPr>
        <w:tblW w:w="9740" w:type="dxa"/>
        <w:jc w:val="left"/>
        <w:tblInd w:w="0" w:type="dxa"/>
        <w:tblLayout w:type="fixed"/>
        <w:tblCellMar>
          <w:top w:w="28" w:type="dxa"/>
          <w:left w:w="28" w:type="dxa"/>
          <w:bottom w:w="28" w:type="dxa"/>
          <w:right w:w="28" w:type="dxa"/>
        </w:tblCellMar>
      </w:tblPr>
      <w:tblGrid>
        <w:gridCol w:w="1828"/>
        <w:gridCol w:w="1609"/>
        <w:gridCol w:w="1617"/>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828" w:type="dxa"/>
            <w:tcBorders/>
            <w:vAlign w:val="center"/>
          </w:tcPr>
          <w:p>
            <w:pPr>
              <w:pStyle w:val="TableContents"/>
              <w:bidi w:val="0"/>
              <w:spacing w:before="0" w:after="283"/>
              <w:jc w:val="left"/>
              <w:rPr>
                <w:sz w:val="4"/>
                <w:szCs w:val="4"/>
              </w:rPr>
            </w:pPr>
            <w:r>
              <w:rPr>
                <w:sz w:val="4"/>
                <w:szCs w:val="4"/>
              </w:rPr>
            </w:r>
          </w:p>
        </w:tc>
        <w:tc>
          <w:tcPr>
            <w:tcW w:w="1609" w:type="dxa"/>
            <w:tcBorders/>
            <w:vAlign w:val="center"/>
          </w:tcPr>
          <w:p>
            <w:pPr>
              <w:pStyle w:val="TableContents"/>
              <w:bidi w:val="0"/>
              <w:spacing w:before="0" w:after="283"/>
              <w:jc w:val="left"/>
              <w:rPr>
                <w:sz w:val="4"/>
                <w:szCs w:val="4"/>
              </w:rPr>
            </w:pPr>
            <w:r>
              <w:rPr>
                <w:sz w:val="4"/>
                <w:szCs w:val="4"/>
              </w:rPr>
            </w:r>
          </w:p>
        </w:tc>
        <w:tc>
          <w:tcPr>
            <w:tcW w:w="16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lease financing receivables, loans and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371,069 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20"/>
              </w:rPr>
            </w:pPr>
            <w:r>
              <w:rPr>
                <w:rFonts w:ascii="Times New Roman;sans-serif" w:hAnsi="Times New Roman;sans-serif"/>
                <w:b/>
                <w:i/>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income taxes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601,365 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599,803 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527,861 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common stockholders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84785"/>
                <wp:effectExtent l="0" t="0" r="0" b="0"/>
                <wp:wrapNone/>
                <wp:docPr id="47" name="Frame4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 xml:space="preserve">Revenue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our revenue was comprised of the following items:</w:t>
      </w:r>
    </w:p>
    <w:tbl>
      <w:tblPr>
        <w:tblW w:w="7460" w:type="dxa"/>
        <w:jc w:val="left"/>
        <w:tblInd w:w="0" w:type="dxa"/>
        <w:tblLayout w:type="fixed"/>
        <w:tblCellMar>
          <w:top w:w="28" w:type="dxa"/>
          <w:left w:w="28" w:type="dxa"/>
          <w:bottom w:w="28" w:type="dxa"/>
          <w:right w:w="28" w:type="dxa"/>
        </w:tblCellMar>
      </w:tblPr>
      <w:tblGrid>
        <w:gridCol w:w="1006"/>
        <w:gridCol w:w="883"/>
        <w:gridCol w:w="885"/>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006"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Leasing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loans and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revenues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revenues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877,647 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Leasing Revenue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our income from sales-type and financing receivables leases:</w:t>
      </w:r>
    </w:p>
    <w:tbl>
      <w:tblPr>
        <w:tblW w:w="8270" w:type="dxa"/>
        <w:jc w:val="left"/>
        <w:tblInd w:w="0" w:type="dxa"/>
        <w:tblLayout w:type="fixed"/>
        <w:tblCellMar>
          <w:top w:w="28" w:type="dxa"/>
          <w:left w:w="28" w:type="dxa"/>
          <w:bottom w:w="28" w:type="dxa"/>
          <w:right w:w="28" w:type="dxa"/>
        </w:tblCellMar>
      </w:tblPr>
      <w:tblGrid>
        <w:gridCol w:w="1299"/>
        <w:gridCol w:w="1141"/>
        <w:gridCol w:w="1144"/>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109"/>
        <w:gridCol w:w="109"/>
        <w:gridCol w:w="154"/>
      </w:tblGrid>
      <w:tr>
        <w:trPr/>
        <w:tc>
          <w:tcPr>
            <w:tcW w:w="1299"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1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sales-type leases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478,394 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Income from lease financing receivables </w:t>
            </w:r>
            <w:r>
              <w:rPr>
                <w:rFonts w:ascii="Times New Roman;sans-serif" w:hAnsi="Times New Roman;sans-serif"/>
                <w:b w:val="false"/>
                <w:i/>
                <w:color w:val="000000"/>
                <w:sz w:val="13"/>
              </w:rPr>
              <w:t>(1)</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leasing revenue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893,705 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833,232 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Non-cash adjustment </w:t>
            </w:r>
            <w:r>
              <w:rPr>
                <w:rFonts w:ascii="Times New Roman;sans-serif" w:hAnsi="Times New Roman;sans-serif"/>
                <w:b w:val="false"/>
                <w:i/>
                <w:color w:val="000000"/>
                <w:sz w:val="13"/>
              </w:rPr>
              <w:t>(2)</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(135,709)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contractual leasing revenue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757,996 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710,391 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w:t>
      </w:r>
    </w:p>
    <w:p>
      <w:pPr>
        <w:pStyle w:val="TextBody"/>
        <w:bidi w:val="0"/>
        <w:spacing w:lineRule="auto" w:line="276"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 Amounts represent the non-cash adjustment to income from sales-type leases and lease financing receivables in order to recognize income on an effective interest basis at a constant rate of return over the term of the leases.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Leasing revenue is generated from rent from our lease agreements. Total leasing revenue increased $60.5 million during the three months ended March 31, 2024, compared to the three months ended March 31, 2023. Total contractual leasing revenue increased $47.6 million during the three months ended March 31, 2024, compared to the three months ended March 31, 2023. The increases were primarily driven by the addition to our portfolio of the remaining 49.9% of the MGM Grand/Mandalay Bay lease agreement in January 2023, the Rocky Gap Casino component of the master lease agreement with Century Casinos, Inc. (“Century Master Lease”) in July 2023, the Century Canadian portfolio component of the Century Master Lease in September 2023, the master lease agreement with Bowlero in October 2023 and the lease agreement with Chelsea Piers in December 2023, as well as the annual rent escalators from certain of our other lease agreements.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Loans and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loans and securities increased $12.1 million during the three months ended March 31, 2024, compared to the three months ended March 31, 2023. The increases were driven by the origination and subsequent funding, as applicable, of our debt investments and the related interest income from the increased principal balances outstanding under such debt investments, partially offset by the full repayment of certain loan investments.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increased $1.0 million during the three months ended March 31, 2024, compared to the three months ended March 31, 2023. The increase was driven primarily by the additional income as a result of the assumption of certain sub-leases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84785"/>
                <wp:effectExtent l="0" t="0" r="0" b="0"/>
                <wp:wrapNone/>
                <wp:docPr id="48" name="Frame4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Operating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our operating expenses were comprised of the following items:</w:t>
      </w:r>
    </w:p>
    <w:tbl>
      <w:tblPr>
        <w:tblW w:w="7745" w:type="dxa"/>
        <w:jc w:val="left"/>
        <w:tblInd w:w="0" w:type="dxa"/>
        <w:tblLayout w:type="fixed"/>
        <w:tblCellMar>
          <w:top w:w="28" w:type="dxa"/>
          <w:left w:w="28" w:type="dxa"/>
          <w:bottom w:w="28" w:type="dxa"/>
          <w:right w:w="28" w:type="dxa"/>
        </w:tblCellMar>
      </w:tblPr>
      <w:tblGrid>
        <w:gridCol w:w="1145"/>
        <w:gridCol w:w="1007"/>
        <w:gridCol w:w="1012"/>
        <w:gridCol w:w="211"/>
        <w:gridCol w:w="82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154"/>
      </w:tblGrid>
      <w:tr>
        <w:trPr/>
        <w:tc>
          <w:tcPr>
            <w:tcW w:w="1145"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 operating expenses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150,629 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General and Administrative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$1.2 million for the three months ended March 31, 2024, as compared to the three months ended March 31, 2023. The increase was primarily driven by an increase in compensation, including stock-based compensation and the addition of new employees and additional expenses related to the growth of our business in 2023 and 2024.</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expenses increased $1.0 million during the three months ended March 31, 2024, compared to the three months ended March 31, 2023. The increase was driven primarily by the additional expense as a result of the assumption of certain sub-leases in connection with the closing of the acquisition of the Rocky Gap Casino in July 2023 and the sale-leaseback transaction with Chelsea Piers in December 2023. We determined we are the primary obligor of the respective ground and use leases and, accordingly, record the related income and expense on a gross basis on our Income Statement. The lease agreements require our tenants to cover all costs associated with such ground and use sub-leases and provide for their direct payment to the primary landlord.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 in Allowance for Credit Losses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 in allowance for credit losses decreased $4.6 million during the three months ended March 31, 2024 compared to the three months ended March 31, 2023, primarily driven by lower initial CECL allowances recorded on our acquisition and loan origination activity. We recorded initial CECL allowances of $0.7 million on our $115.0 million of loan origination activity during the three months ended March 31, 2024, compared to initial CECL allowances of $229.6 million on our $5.7 billion of property acquisition activity and $4.5 million on our $85.0 million of loan origination activity during the three months ended March 31, 2023.</w:t>
      </w:r>
    </w:p>
    <w:p>
      <w:pPr>
        <w:pStyle w:val="TextBody"/>
        <w:bidi w:val="0"/>
        <w:spacing w:lineRule="auto" w:line="288" w:before="180" w:after="283"/>
        <w:jc w:val="both"/>
        <w:rPr/>
      </w:pPr>
      <w:r>
        <w:rPr>
          <w:rFonts w:ascii="Times New Roman;sans-serif" w:hAnsi="Times New Roman;sans-serif"/>
          <w:b w:val="false"/>
          <w:color w:val="000000"/>
          <w:sz w:val="20"/>
        </w:rPr>
        <w:t xml:space="preserve">Further fluctuation in the change in allowance for credit losses are the result of changes to the reasonable and supportable period, or R&amp;S Period, probability of default, or PD, and loss given default, or LGD, of our existing tenants and their parent guarantors (as applicable) as a result of market performance and changes in the macroeconomic model used to scenario condition such inputs and annual standard updates to the model used to estimate the CECL allowance. Refer to </w:t>
      </w:r>
      <w:hyperlink w:anchor="i44afc6c18e6e47969829c5a05199c239_64">
        <w:r>
          <w:rPr>
            <w:rStyle w:val="InternetLink"/>
            <w:rFonts w:ascii="Times New Roman;sans-serif" w:hAnsi="Times New Roman;sans-serif"/>
            <w:b w:val="false"/>
            <w:color w:val="0000FF"/>
            <w:sz w:val="20"/>
            <w:u w:val="single"/>
          </w:rPr>
          <w:t>Note 5 - Allowance for Credit Losses</w:t>
        </w:r>
      </w:hyperlink>
      <w:r>
        <w:rPr>
          <w:color w:val="000000"/>
        </w:rPr>
        <w:t xml:space="preserve"> </w:t>
      </w:r>
      <w:r>
        <w:rPr>
          <w:rFonts w:ascii="Times New Roman;sans-serif" w:hAnsi="Times New Roman;sans-serif"/>
          <w:b w:val="false"/>
          <w:color w:val="000000"/>
          <w:sz w:val="20"/>
        </w:rPr>
        <w:t>for further details.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Transaction and Acquisition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 increased $1.3 million during the three months ended March 31, 2024, compared to the three months ended March 31, 2023. Changes in transaction and acquisition expenses are related to fluctuations in (i) costs incurred for investments during the period that are not capitalizable under GAAP, and (ii) costs incurred for investments that we are no longer pursuing.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84785"/>
                <wp:effectExtent l="0" t="0" r="0" b="0"/>
                <wp:wrapNone/>
                <wp:docPr id="49" name="Frame4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Non-Operating Income and Expenses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2024 and 2023, our non-operating income and expenses were comprised of the following items:</w:t>
      </w:r>
    </w:p>
    <w:tbl>
      <w:tblPr>
        <w:tblW w:w="7834" w:type="dxa"/>
        <w:jc w:val="left"/>
        <w:tblInd w:w="0" w:type="dxa"/>
        <w:tblLayout w:type="fixed"/>
        <w:tblCellMar>
          <w:top w:w="28" w:type="dxa"/>
          <w:left w:w="28" w:type="dxa"/>
          <w:bottom w:w="28" w:type="dxa"/>
          <w:right w:w="28" w:type="dxa"/>
        </w:tblCellMar>
      </w:tblPr>
      <w:tblGrid>
        <w:gridCol w:w="1127"/>
        <w:gridCol w:w="992"/>
        <w:gridCol w:w="1001"/>
        <w:gridCol w:w="307"/>
        <w:gridCol w:w="593"/>
        <w:gridCol w:w="141"/>
        <w:gridCol w:w="141"/>
        <w:gridCol w:w="141"/>
        <w:gridCol w:w="141"/>
        <w:gridCol w:w="273"/>
        <w:gridCol w:w="799"/>
        <w:gridCol w:w="141"/>
        <w:gridCol w:w="109"/>
        <w:gridCol w:w="109"/>
        <w:gridCol w:w="109"/>
        <w:gridCol w:w="211"/>
        <w:gridCol w:w="691"/>
        <w:gridCol w:w="109"/>
        <w:gridCol w:w="109"/>
        <w:gridCol w:w="109"/>
        <w:gridCol w:w="109"/>
        <w:gridCol w:w="109"/>
        <w:gridCol w:w="109"/>
        <w:gridCol w:w="154"/>
      </w:tblGrid>
      <w:tr>
        <w:trPr/>
        <w:tc>
          <w:tcPr>
            <w:tcW w:w="112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unconsolidated affiliate</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(204,882)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(204,360)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(losses) gains</w:t>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Income from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from unconsolidated affiliate during the three months ended March 31, 2023 represents our 50.1% share of the income of the MGM Grand/Mandalay Bay JV for the period from January 1, 2023 through January 8, 2023, immediately prior to the closing of the MGM Grand/Mandalay Bay JV Interest Acquisition. Beginning on January 9, 2023, upon the closing of the MGM Grand/Mandalay Bay JV Interest Acquisition, we consolidated the operations of the MGM Grand/Mandalay Bay JV, and subsequently, such income is included in Income from sales-type lease on our Statement of Operations and, accordingly, no Income from unconsolidated affiliate was recognized for the three months ended March 31, 2024.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$0.5 million during the three months ended March 31, 2024, as compared to the three months ended March 31, 2023. The increase during the three months ended March 31, 2024 was primarily related to the increase in debt from the (i) C$140.0 million, C$75.0 million and £9.0 million draws on the Revolving Credit Facility to finance the acquisitions of the portfolio of assets leased to PURE Canadian Gaming, Corp. in January 2023, Century Canadian portfolio in September 2023 and Cabot Highlands loan in December 2023, respectively, and (ii) assumption of $3.0 billion aggregate principal amount of CMBS debt on January 9, 2023, in connection with the MGM Grand/Mandalay Bay JV Interest Acquisition, the combination of which resulted in an additional $3.2 billion in notional amount of debt.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weighted average annualized interest rate of our debt, net of the impact of the forward-starting interest rate swaps and treasury locks, was 4.33% for both the three months ended March 31, 2024 and 2023, as a result of a higher effective interest rate on (i) the draws on the Revolving Credit Facility and (ii) the March 2024 Notes as compared to the debt that was refinanced with such notes, offset by the low interest rate on the MGM Grand/Mandalay Bay CMBS Debt. </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$2.2 million during the three months ended March 31, 2024, compared to the three months ended March 31, 2023. The increase was primarily driven by an overall increase in our cash on hand and short-term investments throughout the current period as compared to the prior period.</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Other (Losses) Gains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(losses) gains decreased $2.1 million during the three months ended March 31, 2024, compared to the three months ended March 31, 2023. The change primarily relates to foreign currency remeasurement adjustments associated with our investments in Canada and the United Kingdom. In connection with such transactions, we entered into intercompany debt and drew C$215.0 million and £9.0 million on the Revolving Credit Facility, which are denominated in a foreign currency and, since such debt is held at entities with USD as their functional currency, certain of the related assets and liabilities are remeasured through the Statement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84785"/>
                <wp:effectExtent l="0" t="0" r="0" b="0"/>
                <wp:wrapNone/>
                <wp:docPr id="50" name="Frame49"/>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RECONCILIATION OF NON-GAAP MEASURES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(iv) impairment write-downs of certain real estate assets and investments in entities when the impairment is directly attributable to decreases in the value of depreciable real estate held by the entity and (v) our proportionate share of such adjustments from our investment in unconsolidated affiliate.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losses (gains), deferred income tax benefits and expenses, other non-recurring non-cash transactions, our proportionate share of non-cash adjustments from our investment in unconsolidated affiliate (including the amortization of any basis differences) with respect to certain of the foregoing and non-cash adjustments attributable to non-controlling interest with respect to certain of the foregoing.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calculate VICI’s Adjusted EBITDA by adding or subtracting from AFFO contractual interest expense (including the impact of the forward-starting interest rate swaps and treasury locks) and interest income (collectively, interest expense, net), income tax expense and our proportionate share of such adjustments from our investment in unconsolidated affiliate.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84785"/>
                <wp:effectExtent l="0" t="0" r="0" b="0"/>
                <wp:wrapNone/>
                <wp:docPr id="51" name="Frame5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Reconciliation of VICI’s Net Income to FFO, FFO per Share, AFFO, AFFO per Share and Adjusted EBITDA</w:t>
      </w:r>
    </w:p>
    <w:tbl>
      <w:tblPr>
        <w:tblW w:w="10028" w:type="dxa"/>
        <w:jc w:val="left"/>
        <w:tblInd w:w="0" w:type="dxa"/>
        <w:tblLayout w:type="fixed"/>
        <w:tblCellMar>
          <w:top w:w="28" w:type="dxa"/>
          <w:left w:w="28" w:type="dxa"/>
          <w:bottom w:w="28" w:type="dxa"/>
          <w:right w:w="28" w:type="dxa"/>
        </w:tblCellMar>
      </w:tblPr>
      <w:tblGrid>
        <w:gridCol w:w="2289"/>
        <w:gridCol w:w="2013"/>
        <w:gridCol w:w="2028"/>
        <w:gridCol w:w="267"/>
        <w:gridCol w:w="1069"/>
        <w:gridCol w:w="109"/>
        <w:gridCol w:w="109"/>
        <w:gridCol w:w="109"/>
        <w:gridCol w:w="109"/>
        <w:gridCol w:w="267"/>
        <w:gridCol w:w="1069"/>
        <w:gridCol w:w="109"/>
        <w:gridCol w:w="109"/>
        <w:gridCol w:w="109"/>
        <w:gridCol w:w="109"/>
        <w:gridCol w:w="154"/>
      </w:tblGrid>
      <w:tr>
        <w:trPr/>
        <w:tc>
          <w:tcPr>
            <w:tcW w:w="2289"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3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 except share data and per share data)</w:t>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590,016 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518,740 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 estate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depreciation and non-controlling interest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attributable to common stockholders</w:t>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590,016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520,166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leasing and financing adjustments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(135,666)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change in allowance for credit losses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stock-based compensation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and acquisition expenses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 and original issue discount</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depreciation</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Other losses (gains) </w:t>
            </w:r>
            <w:r>
              <w:rPr>
                <w:rFonts w:ascii="Times New Roman;sans-serif" w:hAnsi="Times New Roman;sans-serif"/>
                <w:b w:val="false"/>
                <w:i/>
                <w:color w:val="000000"/>
                <w:sz w:val="13"/>
              </w:rPr>
              <w:t>(1)</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provision</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non-cash adjustments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attributable to common stockholders</w:t>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583,171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528,605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181,631 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expense</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Joint venture interest expense and non-controlling interest adjustments</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Adjusted EBITDA attributable to common stockholders</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765,250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10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710,302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FFO per common share</w:t>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Basic</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3698" w:type="dxa"/>
            <w:gridSpan w:val="13"/>
            <w:tcBorders/>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AFFO per common share</w:t>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547"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 average number of shares of common stock outstanding</w:t>
            </w:r>
          </w:p>
        </w:tc>
        <w:tc>
          <w:tcPr>
            <w:tcW w:w="481" w:type="dxa"/>
            <w:gridSpan w:val="4"/>
            <w:tcBorders/>
          </w:tcPr>
          <w:p>
            <w:pPr>
              <w:pStyle w:val="TableContents"/>
              <w:bidi w:val="0"/>
              <w:spacing w:before="0" w:after="283"/>
              <w:jc w:val="left"/>
              <w:rPr>
                <w:sz w:val="4"/>
                <w:szCs w:val="4"/>
              </w:rPr>
            </w:pPr>
            <w:r>
              <w:rPr>
                <w:sz w:val="4"/>
                <w:szCs w:val="4"/>
              </w:rPr>
            </w:r>
          </w:p>
        </w:tc>
      </w:tr>
      <w:tr>
        <w:trPr/>
        <w:tc>
          <w:tcPr>
            <w:tcW w:w="6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w:t>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1,042,404,634 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1,001,526,645 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w:t>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1,043,311,636 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1,003,831,325 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(1)Represents non-cash foreign currency remeasurement adjustment.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84785"/>
                <wp:effectExtent l="0" t="0" r="0" b="0"/>
                <wp:wrapNone/>
                <wp:docPr id="52" name="Frame51"/>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LIQUIDITY AND CAPITAL RESOURCES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our available cash and cash-equivalents balance, short-term investments, capacity under our Revolving Credit Facility and proceeds available from outstanding forward sale agreements were as follows:</w:t>
      </w:r>
    </w:p>
    <w:tbl>
      <w:tblPr>
        <w:tblW w:w="7131" w:type="dxa"/>
        <w:jc w:val="left"/>
        <w:tblInd w:w="0" w:type="dxa"/>
        <w:tblLayout w:type="fixed"/>
        <w:tblCellMar>
          <w:top w:w="28" w:type="dxa"/>
          <w:left w:w="28" w:type="dxa"/>
          <w:bottom w:w="28" w:type="dxa"/>
          <w:right w:w="28" w:type="dxa"/>
        </w:tblCellMar>
      </w:tblPr>
      <w:tblGrid>
        <w:gridCol w:w="2094"/>
        <w:gridCol w:w="1844"/>
        <w:gridCol w:w="1852"/>
        <w:gridCol w:w="211"/>
        <w:gridCol w:w="976"/>
        <w:gridCol w:w="154"/>
      </w:tblGrid>
      <w:tr>
        <w:trPr/>
        <w:tc>
          <w:tcPr>
            <w:tcW w:w="2094" w:type="dxa"/>
            <w:tcBorders/>
            <w:vAlign w:val="center"/>
          </w:tcPr>
          <w:p>
            <w:pPr>
              <w:pStyle w:val="TableContents"/>
              <w:bidi w:val="0"/>
              <w:spacing w:before="0" w:after="283"/>
              <w:jc w:val="left"/>
              <w:rPr>
                <w:sz w:val="4"/>
                <w:szCs w:val="4"/>
              </w:rPr>
            </w:pPr>
            <w:r>
              <w:rPr>
                <w:sz w:val="4"/>
                <w:szCs w:val="4"/>
              </w:rPr>
            </w:r>
          </w:p>
        </w:tc>
        <w:tc>
          <w:tcPr>
            <w:tcW w:w="1844"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u w:val="single"/>
              </w:rPr>
            </w:pPr>
            <w:r>
              <w:rPr>
                <w:rFonts w:ascii="Times New Roman;sans-serif" w:hAnsi="Times New Roman;sans-serif"/>
                <w:b/>
                <w:i/>
                <w:color w:val="000000"/>
                <w:sz w:val="18"/>
                <w:u w:val="single"/>
              </w:rPr>
              <w:t>(In thousands)</w:t>
            </w:r>
          </w:p>
        </w:tc>
        <w:tc>
          <w:tcPr>
            <w:tcW w:w="13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31, 2024</w:t>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investments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Capacity under Revolving Credit Facility </w:t>
            </w:r>
            <w:r>
              <w:rPr>
                <w:rFonts w:ascii="Times New Roman;sans-serif" w:hAnsi="Times New Roman;sans-serif"/>
                <w:b w:val="false"/>
                <w:i/>
                <w:color w:val="000000"/>
                <w:sz w:val="13"/>
              </w:rPr>
              <w:t>(1)</w:t>
            </w:r>
            <w:r>
              <w:rPr>
                <w:color w:val="000000"/>
              </w:rPr>
              <w:t xml:space="preserve"> </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2,329,860 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5790" w:type="dxa"/>
            <w:gridSpan w:val="3"/>
            <w:tcBorders/>
            <w:shd w:fill="FFFFFF" w:val="clear"/>
            <w:tcMar>
              <w:top w:w="0" w:type="dxa"/>
              <w:left w:w="0" w:type="dxa"/>
              <w:bottom w:w="0" w:type="dxa"/>
              <w:right w:w="0" w:type="dxa"/>
            </w:tcMar>
            <w:vAlign w:val="center"/>
          </w:tcPr>
          <w:p>
            <w:pPr>
              <w:pStyle w:val="TableContents"/>
              <w:bidi w:val="0"/>
              <w:spacing w:lineRule="auto" w:line="276" w:before="0" w:after="0"/>
              <w:jc w:val="left"/>
              <w:rPr/>
            </w:pPr>
            <w:r>
              <w:rPr>
                <w:rFonts w:ascii="Times New Roman;sans-serif" w:hAnsi="Times New Roman;sans-serif"/>
                <w:b w:val="false"/>
                <w:color w:val="000000"/>
                <w:sz w:val="20"/>
              </w:rPr>
              <w:t xml:space="preserve">Net proceeds available from settlement of Forward Sale Agreements </w:t>
            </w:r>
            <w:r>
              <w:rPr>
                <w:rFonts w:ascii="Times New Roman;sans-serif" w:hAnsi="Times New Roman;sans-serif"/>
                <w:b w:val="false"/>
                <w:i/>
                <w:color w:val="000000"/>
                <w:sz w:val="13"/>
              </w:rPr>
              <w:t>(2)</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3,527,450 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ind w:left="0" w:right="0" w:hanging="360"/>
        <w:jc w:val="both"/>
        <w:rPr/>
      </w:pPr>
      <w:r>
        <w:rPr>
          <w:rFonts w:ascii="Times New Roman;sans-serif" w:hAnsi="Times New Roman;sans-serif"/>
          <w:b w:val="false"/>
          <w:i/>
          <w:color w:val="231F20"/>
          <w:sz w:val="16"/>
        </w:rPr>
        <w:t>(1)</w:t>
      </w:r>
      <w:r>
        <w:rPr>
          <w:rFonts w:ascii="Times New Roman;sans-serif" w:hAnsi="Times New Roman;sans-serif"/>
          <w:b w:val="false"/>
          <w:i/>
          <w:color w:val="000000"/>
          <w:sz w:val="16"/>
        </w:rPr>
        <w:t xml:space="preserve">In addition, the Revolving Credit Facility includes the option to increase the revolving loan commitments by up to $1.0 billion to the extent that any one or more lenders (from the syndicate or otherwise) agree to provide such additional credit extensions. </w:t>
      </w:r>
    </w:p>
    <w:p>
      <w:pPr>
        <w:pStyle w:val="TextBody"/>
        <w:bidi w:val="0"/>
        <w:spacing w:lineRule="auto" w:line="288" w:before="0" w:after="0"/>
        <w:ind w:left="0" w:right="0" w:hanging="360"/>
        <w:jc w:val="both"/>
        <w:rPr>
          <w:rFonts w:ascii="Times New Roman;sans-serif" w:hAnsi="Times New Roman;sans-serif"/>
          <w:b w:val="false"/>
          <w:i/>
          <w:color w:val="000000"/>
          <w:sz w:val="16"/>
        </w:rPr>
      </w:pPr>
      <w:r>
        <w:rPr>
          <w:rFonts w:ascii="Times New Roman;sans-serif" w:hAnsi="Times New Roman;sans-serif"/>
          <w:b w:val="false"/>
          <w:i/>
          <w:color w:val="000000"/>
          <w:sz w:val="16"/>
        </w:rPr>
        <w:t xml:space="preserve">(2)Assumes the physical settlement of the 22,856,855 shares remaining to be settled as of March 31, 2024 under our at-the-market forward sale agreements at a forward sales price of $29.87, calculated as of March 31, 2024.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and proceeds from future issuances of debt and equity securities (including issuances under the ATM Program) for the next 12 months and in future periods. </w:t>
      </w:r>
    </w:p>
    <w:p>
      <w:pPr>
        <w:pStyle w:val="TextBody"/>
        <w:bidi w:val="0"/>
        <w:spacing w:lineRule="auto" w:line="288" w:before="180" w:after="283"/>
        <w:jc w:val="both"/>
        <w:rPr/>
      </w:pPr>
      <w:r>
        <w:rPr>
          <w:rFonts w:ascii="Times New Roman;sans-serif" w:hAnsi="Times New Roman;sans-serif"/>
          <w:b w:val="false"/>
          <w:color w:val="000000"/>
          <w:sz w:val="20"/>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inflationary environment, higher interest rates,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hyperlink w:anchor="i44afc6c18e6e47969829c5a05199c239_106">
        <w:r>
          <w:rPr>
            <w:rStyle w:val="InternetLink"/>
            <w:rFonts w:ascii="Times New Roman;sans-serif" w:hAnsi="Times New Roman;sans-serif"/>
            <w:b w:val="false"/>
            <w:color w:val="0000FF"/>
            <w:sz w:val="20"/>
            <w:u w:val="single"/>
          </w:rPr>
          <w:t>Part II. Item 1A. Risk Factors</w:t>
        </w:r>
      </w:hyperlink>
      <w:r>
        <w:rPr>
          <w:color w:val="000000"/>
        </w:rPr>
        <w:t xml:space="preserve"> </w:t>
      </w:r>
      <w:r>
        <w:rPr>
          <w:rFonts w:ascii="Times New Roman;sans-serif" w:hAnsi="Times New Roman;sans-serif"/>
          <w:b w:val="false"/>
          <w:color w:val="000000"/>
          <w:sz w:val="20"/>
        </w:rPr>
        <w:t xml:space="preserve">herein from our </w:t>
      </w:r>
      <w:hyperlink r:id="rId6">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and uncertainties related to the macroeconomic environment. We will continue to analyze which sources of capital are most advantageous to us at any particular point in time, but financing through the capital markets may not be consistently available on terms we deem attractive, or at all. </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Material Cash Requirements</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Contractual Obligations</w:t>
      </w:r>
    </w:p>
    <w:p>
      <w:pPr>
        <w:pStyle w:val="TextBody"/>
        <w:bidi w:val="0"/>
        <w:spacing w:lineRule="auto" w:line="288" w:before="180" w:after="283"/>
        <w:jc w:val="both"/>
        <w:rPr/>
      </w:pPr>
      <w:r>
        <w:rPr>
          <w:rFonts w:ascii="Times New Roman;sans-serif" w:hAnsi="Times New Roman;sans-serif"/>
          <w:b w:val="false"/>
          <w:color w:val="000000"/>
          <w:sz w:val="20"/>
        </w:rPr>
        <w:t xml:space="preserve">Our short-term obligations consist primarily of regular interest payments on our debt obligations, dividends to our common stockholders, distributions to the VICI OP Unit holders,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hyperlink w:anchor="i44afc6c18e6e47969829c5a05199c239_79">
        <w:r>
          <w:rPr>
            <w:rStyle w:val="InternetLink"/>
            <w:rFonts w:ascii="Times New Roman;sans-serif" w:hAnsi="Times New Roman;sans-serif"/>
            <w:b w:val="false"/>
            <w:color w:val="0000FF"/>
            <w:sz w:val="20"/>
            <w:u w:val="single"/>
          </w:rPr>
          <w:t>Note 10 - Commitments and Contingent Liabilities</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long-term obligations consist primarily of principal payments on our outstanding debt obligations and future funding commitments under our lease and loan agreements. As of March 31, 2024, we have $17.1 billion of debt obligations outstanding of which $750.0 million matures on February 15, 2025, $500.0 million matures on May 15, 2025 and $800.0 million matures on June 15, 2025. For a summary of principal debt balances and their maturity dates and principal terms, refer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84785"/>
                <wp:effectExtent l="0" t="0" r="0" b="0"/>
                <wp:wrapNone/>
                <wp:docPr id="53" name="Frame52"/>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pPr>
      <w:r>
        <w:rPr>
          <w:rFonts w:ascii="Times New Roman;sans-serif" w:hAnsi="Times New Roman;sans-serif"/>
          <w:b w:val="false"/>
          <w:color w:val="000000"/>
          <w:sz w:val="20"/>
        </w:rPr>
        <w:t xml:space="preserve">to </w:t>
      </w:r>
      <w:hyperlink w:anchor="i44afc6c18e6e47969829c5a05199c239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 xml:space="preserve">. For a summary of our future funding commitments under our loan portfolio, refer to </w:t>
      </w:r>
      <w:hyperlink w:anchor="i44afc6c18e6e47969829c5a05199c239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pPr>
      <w:r>
        <w:rPr>
          <w:rFonts w:ascii="Times New Roman;sans-serif" w:hAnsi="Times New Roman;sans-serif"/>
          <w:b w:val="false"/>
          <w:color w:val="000000"/>
          <w:sz w:val="20"/>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hyperlink w:anchor="i44afc6c18e6e47969829c5a05199c239_61">
        <w:r>
          <w:rPr>
            <w:rStyle w:val="InternetLink"/>
            <w:rFonts w:ascii="Times New Roman;sans-serif" w:hAnsi="Times New Roman;sans-serif"/>
            <w:b w:val="false"/>
            <w:color w:val="0000FF"/>
            <w:sz w:val="20"/>
            <w:u w:val="single"/>
          </w:rPr>
          <w:t>Note 4 - Real Estate Portfolio</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Information concerning our material contractual obligations and commitments to make future payments under contracts such as our indebtedness, future funding commitments under our loans and Partner Property Growth Fund and future contractual operating commitments (such as future lease payments under our corporate lease) are included in the following table as of March 31, 2024. Amounts in this table omit, among other things, non-contractual commitments and items such as dividends and recurring or non-recurring operating expenses and other expenditures, including acquisitions and other investments:</w:t>
      </w:r>
    </w:p>
    <w:tbl>
      <w:tblPr>
        <w:tblW w:w="11728" w:type="dxa"/>
        <w:jc w:val="left"/>
        <w:tblInd w:w="0" w:type="dxa"/>
        <w:tblLayout w:type="fixed"/>
        <w:tblCellMar>
          <w:top w:w="28" w:type="dxa"/>
          <w:left w:w="28" w:type="dxa"/>
          <w:bottom w:w="28" w:type="dxa"/>
          <w:right w:w="28" w:type="dxa"/>
        </w:tblCellMar>
      </w:tblPr>
      <w:tblGrid>
        <w:gridCol w:w="230"/>
        <w:gridCol w:w="158"/>
        <w:gridCol w:w="146"/>
        <w:gridCol w:w="597"/>
        <w:gridCol w:w="357"/>
        <w:gridCol w:w="247"/>
        <w:gridCol w:w="109"/>
        <w:gridCol w:w="109"/>
        <w:gridCol w:w="109"/>
        <w:gridCol w:w="211"/>
        <w:gridCol w:w="1081"/>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1081"/>
        <w:gridCol w:w="154"/>
      </w:tblGrid>
      <w:tr>
        <w:trPr/>
        <w:tc>
          <w:tcPr>
            <w:tcW w:w="230"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Payments Due By Period</w:t>
            </w:r>
          </w:p>
        </w:tc>
      </w:tr>
      <w:tr>
        <w:trPr/>
        <w:tc>
          <w:tcPr>
            <w:tcW w:w="17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 (remaining)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2027</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2028 and Thereafter</w:t>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Unsecured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MGM Grand/Mandalay Bay JV CMBS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Revolving Credit Facility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6" w:type="dxa"/>
            <w:gridSpan w:val="3"/>
            <w:tcBorders/>
            <w:vAlign w:val="center"/>
          </w:tcPr>
          <w:p>
            <w:pPr>
              <w:pStyle w:val="TableContents"/>
              <w:bidi w:val="0"/>
              <w:spacing w:before="0" w:after="283"/>
              <w:jc w:val="left"/>
              <w:rPr>
                <w:sz w:val="4"/>
                <w:szCs w:val="4"/>
              </w:rPr>
            </w:pPr>
            <w:r>
              <w:rPr>
                <w:sz w:val="4"/>
                <w:szCs w:val="4"/>
              </w:rPr>
            </w:r>
          </w:p>
        </w:tc>
      </w:tr>
      <w:tr>
        <w:trPr/>
        <w:tc>
          <w:tcPr>
            <w:tcW w:w="1735"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Scheduled interest payments </w:t>
            </w:r>
            <w:r>
              <w:rPr>
                <w:rFonts w:ascii="Times New Roman;sans-serif" w:hAnsi="Times New Roman;sans-serif"/>
                <w:b w:val="false"/>
                <w:i/>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5,827,702 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683,972 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3,277,684 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contractual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22,947,842 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562,429 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2,787,269 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14,927,684 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Leases and contracts </w:t>
            </w:r>
            <w:r>
              <w:rPr>
                <w:rFonts w:ascii="Times New Roman;sans-serif" w:hAnsi="Times New Roman;sans-serif"/>
                <w:b w:val="false"/>
                <w:i/>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Future funding commitments – loan investments and Partner Property Growth Fund </w:t>
            </w:r>
            <w:r>
              <w:rPr>
                <w:rFonts w:ascii="Times New Roman;sans-serif" w:hAnsi="Times New Roman;sans-serif"/>
                <w:b w:val="false"/>
                <w:i/>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Golf course operating lease and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office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leases and contract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685,230 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46,930 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contractual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24,212,151 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1,247,659 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3,193,417 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2,725,075 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2,071,386 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14,974,614 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Estimated interest payments on variable interest debt under our Revolving Credit Facility are based on the CDOR and SONIA rates as of March 31, 2024.</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(2) Excludes ground and use leases which are paid directly by our tenants to the primary lease holder.</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(3) The allocation of our future funding commitments is based on construction draw schedules, commitment funding dates, expiration dates or other information, as applicable; however, we may be obligated to fund these commitments earlier than such applicable date. Amounts include the $400.0 million future funding commitment required in connection with the Venetian Capital Investment.</w:t>
      </w:r>
    </w:p>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Additional Funding Requirements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put-call agreements and Partner Property Growth Fund. As of March 31, 2024, we had $1.0 billion of additional potential future funding commitments under the Property Growth Fund Agreement entered into with Apollo in connection with the Venetian Resort acquisition (and subsequent to quarter end, on May 1, 2024, in connection with the Venetian Capital Investment the previous agreement in the amount of $1.0 billion was terminated, and our obligation pursuant to which Apollo has the option, but not the obligation, to draw our future funds, was reduced to $300.0), the use of which are at the discretion of our tenants and will be dependent upon independent decisions made by our tenants with respect to any capital improvement projects and the source of funds for such projects, as well as the total funding ultimately provided under such arrangements.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84785"/>
                <wp:effectExtent l="0" t="0" r="0" b="0"/>
                <wp:wrapNone/>
                <wp:docPr id="54" name="Frame53"/>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Cash Flow Analysis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summarizes our cash flows for the three months ended March 31, 2024 and 2023:</w:t>
      </w:r>
    </w:p>
    <w:tbl>
      <w:tblPr>
        <w:tblW w:w="10205" w:type="dxa"/>
        <w:jc w:val="left"/>
        <w:tblInd w:w="0" w:type="dxa"/>
        <w:tblLayout w:type="fixed"/>
        <w:tblCellMar>
          <w:top w:w="28" w:type="dxa"/>
          <w:left w:w="28" w:type="dxa"/>
          <w:bottom w:w="28" w:type="dxa"/>
          <w:right w:w="28" w:type="dxa"/>
        </w:tblCellMar>
      </w:tblPr>
      <w:tblGrid>
        <w:gridCol w:w="508"/>
        <w:gridCol w:w="445"/>
        <w:gridCol w:w="445"/>
        <w:gridCol w:w="1662"/>
        <w:gridCol w:w="1484"/>
        <w:gridCol w:w="1504"/>
        <w:gridCol w:w="211"/>
        <w:gridCol w:w="826"/>
        <w:gridCol w:w="109"/>
        <w:gridCol w:w="109"/>
        <w:gridCol w:w="109"/>
        <w:gridCol w:w="109"/>
        <w:gridCol w:w="212"/>
        <w:gridCol w:w="833"/>
        <w:gridCol w:w="109"/>
        <w:gridCol w:w="109"/>
        <w:gridCol w:w="109"/>
        <w:gridCol w:w="109"/>
        <w:gridCol w:w="212"/>
        <w:gridCol w:w="833"/>
        <w:gridCol w:w="158"/>
      </w:tblGrid>
      <w:tr>
        <w:trPr/>
        <w:tc>
          <w:tcPr>
            <w:tcW w:w="508"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4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i/>
                <w:color w:val="000000"/>
                <w:sz w:val="16"/>
                <w:u w:val="single"/>
              </w:rPr>
            </w:pPr>
            <w:r>
              <w:rPr>
                <w:rFonts w:ascii="Times New Roman;sans-serif" w:hAnsi="Times New Roman;sans-serif"/>
                <w:b/>
                <w:i/>
                <w:color w:val="000000"/>
                <w:sz w:val="16"/>
                <w:u w:val="single"/>
              </w:rPr>
              <w:t>(In thousands)</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Variance</w:t>
            </w:r>
          </w:p>
        </w:tc>
      </w:tr>
      <w:tr>
        <w:trPr/>
        <w:tc>
          <w:tcPr>
            <w:tcW w:w="6048"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Provided by 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21,706 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investing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(1,468,856)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1,359,696 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(Used in) provided by financing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(1,457,270)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Effect of exchange rate changes on cash, cash equivalents and restricted cash </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(75,996)</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beginning of period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313,641 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end of period</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485,318 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247,673 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237,645 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Operating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increased $21.7 million for the three months ended March 31, 2024 compared with the three months ended March 31, 2023. The increase is primarily driven by an increase in cash rental payments from the addition of the remaining 49.9% of the MGM Grand/Mandalay Bay lease agreement in January 2023, the Rocky Gap Casino component of the Century Master Lease in July 2023, the Century Canadian portfolio component of the Century Master Lease in September 2023, the master lease agreement with Bowlero in October 2023 and the lease agreement with Chelsea Piers in December 2023.</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Investing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decreased $1,359.7 million for the three months ended March 31, 2024 compared with the three months ended March 31, 2023.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Disbursements to fund investments in our loan and securities portfolio in the amount of $71.7 million;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Investments in short-term investments of </w:t>
      </w:r>
      <w:r>
        <w:rPr>
          <w:rFonts w:ascii="Times New Roman;sans-serif" w:hAnsi="Times New Roman;sans-serif"/>
          <w:b w:val="false"/>
          <w:color w:val="000000"/>
          <w:sz w:val="20"/>
        </w:rPr>
        <w:t>$29.6 million;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Caruthersville Property Growth Fund investment in the amount of </w:t>
      </w:r>
      <w:r>
        <w:rPr>
          <w:rFonts w:ascii="Times New Roman;sans-serif" w:hAnsi="Times New Roman;sans-serif"/>
          <w:b w:val="false"/>
          <w:color w:val="000000"/>
          <w:sz w:val="20"/>
        </w:rPr>
        <w:t>$5.9 million.</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During the </w:t>
      </w:r>
      <w:r>
        <w:rPr>
          <w:rFonts w:ascii="Times New Roman;sans-serif" w:hAnsi="Times New Roman;sans-serif"/>
          <w:b w:val="false"/>
          <w:color w:val="000000"/>
          <w:sz w:val="20"/>
        </w:rPr>
        <w:t>three months ended March 31, 2023</w:t>
      </w:r>
      <w:r>
        <w:rPr>
          <w:rFonts w:ascii="Times New Roman;sans-serif" w:hAnsi="Times New Roman;sans-serif"/>
          <w:b w:val="false"/>
          <w:color w:val="000000"/>
          <w:sz w:val="20"/>
          <w:shd w:fill="FFFFFF" w:val="clear"/>
        </w:rPr>
        <w:t xml:space="preserve">, the primary sources and uses of cash from investing activities included: </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Net payments of </w:t>
      </w:r>
      <w:r>
        <w:rPr>
          <w:rFonts w:ascii="Times New Roman;sans-serif" w:hAnsi="Times New Roman;sans-serif"/>
          <w:b w:val="false"/>
          <w:color w:val="000000"/>
          <w:sz w:val="20"/>
        </w:rPr>
        <w:t>$1,266.9 million</w:t>
      </w:r>
      <w:r>
        <w:rPr>
          <w:rFonts w:ascii="Times New Roman;sans-serif" w:hAnsi="Times New Roman;sans-serif"/>
          <w:b w:val="false"/>
          <w:color w:val="000000"/>
          <w:sz w:val="20"/>
          <w:shd w:fill="FFFFFF" w:val="clear"/>
        </w:rPr>
        <w:t>, including acquisition costs, in connection with the MGM Grand/Mandalay Bay JV Interest Acquisition;</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Maturities of short-term investments of </w:t>
      </w:r>
      <w:r>
        <w:rPr>
          <w:rFonts w:ascii="Times New Roman;sans-serif" w:hAnsi="Times New Roman;sans-serif"/>
          <w:b w:val="false"/>
          <w:color w:val="000000"/>
          <w:sz w:val="20"/>
        </w:rPr>
        <w:t>$217.3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Disbursements to fund investments in our loan and securities portfolio in the amount of </w:t>
      </w:r>
      <w:r>
        <w:rPr>
          <w:rFonts w:ascii="Times New Roman;sans-serif" w:hAnsi="Times New Roman;sans-serif"/>
          <w:b w:val="false"/>
          <w:color w:val="000000"/>
          <w:sz w:val="20"/>
        </w:rPr>
        <w:t>$209.3 million</w:t>
      </w:r>
      <w:r>
        <w:rPr>
          <w:rFonts w:ascii="Times New Roman;sans-serif" w:hAnsi="Times New Roman;sans-serif"/>
          <w:b w:val="false"/>
          <w:color w:val="000000"/>
          <w:sz w:val="20"/>
          <w:shd w:fill="FFFFFF" w:val="clear"/>
        </w:rPr>
        <w:t>;</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for </w:t>
      </w:r>
      <w:r>
        <w:rPr>
          <w:rFonts w:ascii="Times New Roman;sans-serif" w:hAnsi="Times New Roman;sans-serif"/>
          <w:b w:val="false"/>
          <w:color w:val="000000"/>
          <w:sz w:val="20"/>
        </w:rPr>
        <w:t>the acquisition of the portfolio of assets leased to PURE Canadian Gaming, Corp.</w:t>
      </w:r>
      <w:r>
        <w:rPr>
          <w:color w:val="000000"/>
          <w:shd w:fill="FFFFFF" w:val="clear"/>
        </w:rPr>
        <w:t xml:space="preserve"> </w:t>
      </w:r>
      <w:r>
        <w:rPr>
          <w:rFonts w:ascii="Times New Roman;sans-serif" w:hAnsi="Times New Roman;sans-serif"/>
          <w:b w:val="false"/>
          <w:color w:val="000000"/>
          <w:sz w:val="20"/>
          <w:shd w:fill="FFFFFF" w:val="clear"/>
        </w:rPr>
        <w:t xml:space="preserve">for a total cost of </w:t>
      </w:r>
      <w:r>
        <w:rPr>
          <w:rFonts w:ascii="Times New Roman;sans-serif" w:hAnsi="Times New Roman;sans-serif"/>
          <w:b w:val="false"/>
          <w:color w:val="000000"/>
          <w:sz w:val="20"/>
        </w:rPr>
        <w:t>$202.7 million</w:t>
      </w:r>
      <w:r>
        <w:rPr>
          <w:rFonts w:ascii="Times New Roman;sans-serif" w:hAnsi="Times New Roman;sans-serif"/>
          <w:b w:val="false"/>
          <w:color w:val="000000"/>
          <w:sz w:val="20"/>
          <w:shd w:fill="FFFFFF" w:val="clear"/>
        </w:rPr>
        <w:t>, including acquisition costs; and</w:t>
      </w:r>
    </w:p>
    <w:p>
      <w:pPr>
        <w:pStyle w:val="TextBody"/>
        <w:bidi w:val="0"/>
        <w:spacing w:lineRule="auto" w:line="288" w:before="120" w:after="283"/>
        <w:ind w:left="0" w:right="0" w:hanging="360"/>
        <w:jc w:val="both"/>
        <w:rPr/>
      </w:pPr>
      <w:r>
        <w:rPr>
          <w:color w:val="000000"/>
          <w:shd w:fill="FFFFFF" w:val="clear"/>
        </w:rPr>
        <w:t>•</w:t>
      </w:r>
      <w:r>
        <w:rPr>
          <w:rFonts w:ascii="Times New Roman;sans-serif" w:hAnsi="Times New Roman;sans-serif"/>
          <w:b w:val="false"/>
          <w:color w:val="000000"/>
          <w:sz w:val="20"/>
          <w:shd w:fill="FFFFFF" w:val="clear"/>
        </w:rPr>
        <w:t xml:space="preserve">Payments to fund the Caruthersville Property Growth Fund investment in the amount of </w:t>
      </w:r>
      <w:r>
        <w:rPr>
          <w:rFonts w:ascii="Times New Roman;sans-serif" w:hAnsi="Times New Roman;sans-serif"/>
          <w:b w:val="false"/>
          <w:color w:val="000000"/>
          <w:sz w:val="20"/>
        </w:rPr>
        <w:t>$6.1 million</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84785"/>
                <wp:effectExtent l="0" t="0" r="0" b="0"/>
                <wp:wrapNone/>
                <wp:docPr id="55" name="Frame54"/>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Cash Flows from Financing Activities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decreased $1,457.3 million for the three months ended March 31, 2024, compared with the three months ended March 31, 2023.</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primary sources and uses of cash in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from the issuance of the March 2024 Notes in the amount of $1,028.5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the outstanding (i) $1,024.2 million in aggregate principal amount of the 5.625% Senior Notes due 2024 and (ii) $25.8 million in aggregate principal amount of the 5.625% MGP OP Notes due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$434.8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$7.7 million to non-controlling interests;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$5.0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Payments of debt issuance costs of $2.8 million.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2023, the primary sources and uses of cash from financing activities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Net proceeds of $1,272.3 million from the issuance of an aggregate 40,592,592 shares of our common stock pursuant to the full physical settlement of the then-outstanding forward sale agreements;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Dividend payments of $382.6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Draw of $352.7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Repayment of $250.0 million on our Revolving Credit Facility;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Repurchase of shares of common stock for tax withholding in connection with the vesting of employee stock compensation of $4.6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Distributions of $2.3 million to non-controlling interest.</w:t>
      </w:r>
    </w:p>
    <w:p>
      <w:pPr>
        <w:pStyle w:val="TextBody"/>
        <w:bidi w:val="0"/>
        <w:spacing w:lineRule="auto" w:line="288" w:before="240" w:after="283"/>
        <w:jc w:val="left"/>
        <w:rPr>
          <w:rFonts w:ascii="Times New Roman;sans-serif" w:hAnsi="Times New Roman;sans-serif"/>
          <w:b/>
          <w:color w:val="000000"/>
          <w:sz w:val="22"/>
        </w:rPr>
      </w:pPr>
      <w:r>
        <w:rPr>
          <w:rFonts w:ascii="Times New Roman;sans-serif" w:hAnsi="Times New Roman;sans-serif"/>
          <w:b/>
          <w:color w:val="000000"/>
          <w:sz w:val="22"/>
        </w:rPr>
        <w:t>Debt</w:t>
      </w:r>
    </w:p>
    <w:p>
      <w:pPr>
        <w:pStyle w:val="TextBody"/>
        <w:bidi w:val="0"/>
        <w:spacing w:lineRule="auto" w:line="288" w:before="180" w:after="283"/>
        <w:jc w:val="both"/>
        <w:rPr/>
      </w:pPr>
      <w:r>
        <w:rPr>
          <w:rFonts w:ascii="Times New Roman;sans-serif" w:hAnsi="Times New Roman;sans-serif"/>
          <w:b w:val="false"/>
          <w:color w:val="000000"/>
          <w:sz w:val="20"/>
        </w:rPr>
        <w:t xml:space="preserve">For a summary of our debt obligations as of March 31, 2024, refer to </w:t>
      </w:r>
      <w:hyperlink w:anchor="i44afc6c18e6e47969829c5a05199c239_70">
        <w:r>
          <w:rPr>
            <w:rStyle w:val="InternetLink"/>
            <w:rFonts w:ascii="Times New Roman;sans-serif" w:hAnsi="Times New Roman;sans-serif"/>
            <w:b w:val="false"/>
            <w:color w:val="0000FF"/>
            <w:sz w:val="20"/>
            <w:u w:val="single"/>
          </w:rPr>
          <w:t>Note 7 - Debt</w:t>
        </w:r>
      </w:hyperlink>
      <w:r>
        <w:rPr>
          <w:rFonts w:ascii="Times New Roman;sans-serif" w:hAnsi="Times New Roman;sans-serif"/>
          <w:b w:val="false"/>
          <w:color w:val="000000"/>
          <w:sz w:val="20"/>
        </w:rPr>
        <w: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Covenants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March 31, 2024, we were in compliance with all debt-related covenants.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Distribution Policy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make regular quarterly distributions to holders of shares of our common stock. Dividends declared (on a per share basis) during the three months ended March 31, 2024 and 2023 were as follows:</w:t>
      </w:r>
    </w:p>
    <w:tbl>
      <w:tblPr>
        <w:tblW w:w="9262" w:type="dxa"/>
        <w:jc w:val="left"/>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55"/>
        <w:gridCol w:w="955"/>
        <w:gridCol w:w="970"/>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62"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2024</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7,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4,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2024 –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0.4150 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tbl>
      <w:tblPr>
        <w:tblW w:w="9217" w:type="dxa"/>
        <w:jc w:val="center"/>
        <w:tblInd w:w="0" w:type="dxa"/>
        <w:tblLayout w:type="fixed"/>
        <w:tblCellMar>
          <w:top w:w="28" w:type="dxa"/>
          <w:left w:w="28" w:type="dxa"/>
          <w:bottom w:w="28" w:type="dxa"/>
          <w:right w:w="28" w:type="dxa"/>
        </w:tblCellMar>
      </w:tblPr>
      <w:tblGrid>
        <w:gridCol w:w="510"/>
        <w:gridCol w:w="448"/>
        <w:gridCol w:w="451"/>
        <w:gridCol w:w="109"/>
        <w:gridCol w:w="109"/>
        <w:gridCol w:w="109"/>
        <w:gridCol w:w="464"/>
        <w:gridCol w:w="464"/>
        <w:gridCol w:w="467"/>
        <w:gridCol w:w="109"/>
        <w:gridCol w:w="109"/>
        <w:gridCol w:w="109"/>
        <w:gridCol w:w="394"/>
        <w:gridCol w:w="394"/>
        <w:gridCol w:w="396"/>
        <w:gridCol w:w="109"/>
        <w:gridCol w:w="109"/>
        <w:gridCol w:w="109"/>
        <w:gridCol w:w="940"/>
        <w:gridCol w:w="940"/>
        <w:gridCol w:w="955"/>
        <w:gridCol w:w="109"/>
        <w:gridCol w:w="109"/>
        <w:gridCol w:w="109"/>
        <w:gridCol w:w="211"/>
        <w:gridCol w:w="721"/>
        <w:gridCol w:w="154"/>
      </w:tblGrid>
      <w:tr>
        <w:trPr/>
        <w:tc>
          <w:tcPr>
            <w:tcW w:w="510"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1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 2023</w:t>
            </w:r>
          </w:p>
        </w:tc>
      </w:tr>
      <w:tr>
        <w:trPr/>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Declaration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Record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Payment Date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Period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Dividend</w:t>
            </w:r>
          </w:p>
        </w:tc>
      </w:tr>
      <w:tr>
        <w:trPr/>
        <w:tc>
          <w:tcPr>
            <w:tcW w:w="14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9,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23,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April 6,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1, 2023 - March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0.3900 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8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84785"/>
                <wp:effectExtent l="0" t="0" r="0" b="0"/>
                <wp:wrapNone/>
                <wp:docPr id="56" name="Frame55"/>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40"/>
        <w:jc w:val="both"/>
        <w:rPr>
          <w:rFonts w:ascii="Times New Roman;sans-serif" w:hAnsi="Times New Roman;sans-serif"/>
          <w:b w:val="false"/>
          <w:color w:val="000000"/>
          <w:sz w:val="20"/>
        </w:rPr>
      </w:pPr>
      <w:r>
        <w:rPr>
          <w:rFonts w:ascii="Times New Roman;sans-serif" w:hAnsi="Times New Roman;sans-serif"/>
          <w:b w:val="false"/>
          <w:color w:val="000000"/>
          <w:sz w:val="20"/>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pStyle w:val="TextBody"/>
        <w:bidi w:val="0"/>
        <w:spacing w:lineRule="auto" w:line="288" w:before="180" w:after="283"/>
        <w:jc w:val="both"/>
        <w:rPr>
          <w:rFonts w:ascii="Times New Roman;sans-serif" w:hAnsi="Times New Roman;sans-serif"/>
          <w:b/>
          <w:color w:val="000000"/>
          <w:sz w:val="22"/>
        </w:rPr>
      </w:pPr>
      <w:r>
        <w:rPr>
          <w:rFonts w:ascii="Times New Roman;sans-serif" w:hAnsi="Times New Roman;sans-serif"/>
          <w:b/>
          <w:color w:val="000000"/>
          <w:sz w:val="22"/>
        </w:rPr>
        <w:t>Critical Accounting Policies and Estimates</w:t>
      </w:r>
    </w:p>
    <w:p>
      <w:pPr>
        <w:pStyle w:val="TextBody"/>
        <w:bidi w:val="0"/>
        <w:spacing w:lineRule="auto" w:line="288" w:before="180" w:after="283"/>
        <w:jc w:val="both"/>
        <w:rPr/>
      </w:pPr>
      <w:r>
        <w:rPr>
          <w:rFonts w:ascii="Times New Roman;sans-serif" w:hAnsi="Times New Roman;sans-serif"/>
          <w:b w:val="false"/>
          <w:color w:val="000000"/>
          <w:sz w:val="20"/>
        </w:rPr>
        <w:t xml:space="preserve">A complete discussion of our critical accounting policies and estimates is included in our </w:t>
      </w:r>
      <w:hyperlink r:id="rId7">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There have been no significant changes in our critical policies and estimates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Interest Rate Risk</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interest rate risk management objective is to limit the impact of future interest rate changes on our earnings and cash flows. To achieve this objective, our consolidated subsidiaries primarily borrow on a fixed-rate basis for longer-term debt issuances. As of March 31, 2024, we had $17.1 billion aggregate principal amount of outstanding indebtedness, of which 99.0% has fixed rate interest and 1.0% has a variable interest rate, representing the US$170.1 million outstanding balance under the Revolving Credit Facility (denominated in CAD and GBP). As of March 31, 2024, a one percent increase or decrease in the annual interest rate on our variable rate borrowings would increase or decrease our annual cash interest expense by approximately $1.7 million using the applicable exchange rate as of March 31, 2024.</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exposed to interest rate risk between the time we enter into a transaction and the time we finance the related transaction with long-term fixed-rate debt. In addition, when that long-term debt matures, we may have to refinance such debt at a higher interest rate. In a rising interest rate environment, we have from time to time and may in the future seek to mitigate that risk by utilizing forward-starting interest rate swap agreements, treasury locks and other derivative instruments. Market interest rates are sensitive to many factors that are beyond our control.</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Capital Markets Risks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84785"/>
                <wp:effectExtent l="0" t="0" r="0" b="0"/>
                <wp:wrapNone/>
                <wp:docPr id="57" name="Frame56"/>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Inc.</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VICI’s internal control over financial reporting (as defined in Rules 13a-15(f) and 15d-15(f) under the Exchange Act) that occurred during the three months ended March 31, 2024, that have materially affected, or are reasonably likely to materially affect, VICI’s internal control over financial reporting.</w:t>
      </w:r>
    </w:p>
    <w:p>
      <w:pPr>
        <w:pStyle w:val="TextBody"/>
        <w:bidi w:val="0"/>
        <w:spacing w:lineRule="auto" w:line="288" w:before="180" w:after="283"/>
        <w:jc w:val="both"/>
        <w:rPr>
          <w:rFonts w:ascii="Times New Roman;sans-serif" w:hAnsi="Times New Roman;sans-serif"/>
          <w:b/>
          <w:color w:val="000000"/>
          <w:sz w:val="20"/>
        </w:rPr>
      </w:pPr>
      <w:r>
        <w:rPr>
          <w:rFonts w:ascii="Times New Roman;sans-serif" w:hAnsi="Times New Roman;sans-serif"/>
          <w:b/>
          <w:color w:val="000000"/>
          <w:sz w:val="20"/>
        </w:rPr>
        <w:t>VICI Properties L.P.</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Evaluation of Disclosure Controls and Procedures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VICI LP’s management has evaluated, under the supervision and with the participation of VICI LP’s principal executive officer and principal financial officer, the effectiveness of VIC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pStyle w:val="TextBody"/>
        <w:bidi w:val="0"/>
        <w:spacing w:lineRule="auto" w:line="288" w:before="180" w:after="283"/>
        <w:jc w:val="both"/>
        <w:rPr>
          <w:rFonts w:ascii="Times New Roman;sans-serif" w:hAnsi="Times New Roman;sans-serif"/>
          <w:b/>
          <w:i/>
          <w:color w:val="000000"/>
          <w:sz w:val="20"/>
        </w:rPr>
      </w:pPr>
      <w:r>
        <w:rPr>
          <w:rFonts w:ascii="Times New Roman;sans-serif" w:hAnsi="Times New Roman;sans-serif"/>
          <w:b/>
          <w:i/>
          <w:color w:val="000000"/>
          <w:sz w:val="20"/>
        </w:rPr>
        <w:t>Changes in Internal Control Over Financial Reporting</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in VICI LP’s internal control over financial reporting (as defined in Rules 13a-15(f) and 15d-15(f) under the Exchange Act) that occurred during the three months ended March 31, 2024, that have materially affected, or are reasonably likely to materially affect, VICI LP’s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84785"/>
                <wp:effectExtent l="0" t="0" r="0" b="0"/>
                <wp:wrapNone/>
                <wp:docPr id="58" name="Frame57"/>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4"/>
        </w:rPr>
      </w:pPr>
      <w:r>
        <w:rPr>
          <w:rFonts w:ascii="Times New Roman;sans-serif" w:hAnsi="Times New Roman;sans-serif"/>
          <w:b/>
          <w:color w:val="000000"/>
          <w:sz w:val="24"/>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both"/>
        <w:rPr>
          <w:rFonts w:ascii="Times New Roman;sans-serif" w:hAnsi="Times New Roman;sans-serif"/>
          <w:b/>
          <w:color w:val="000000"/>
          <w:sz w:val="24"/>
        </w:rPr>
      </w:pPr>
      <w:r>
        <w:rPr>
          <w:rFonts w:ascii="Times New Roman;sans-serif" w:hAnsi="Times New Roman;sans-serif"/>
          <w:b/>
          <w:color w:val="000000"/>
          <w:sz w:val="24"/>
        </w:rPr>
        <w:t>Item 1.        Legal Proceedings</w:t>
      </w:r>
    </w:p>
    <w:p>
      <w:pPr>
        <w:pStyle w:val="TextBody"/>
        <w:bidi w:val="0"/>
        <w:spacing w:before="0" w:after="0"/>
        <w:jc w:val="left"/>
        <w:rPr/>
      </w:pPr>
      <w:r>
        <w:rPr/>
      </w:r>
    </w:p>
    <w:p>
      <w:pPr>
        <w:pStyle w:val="TextBody"/>
        <w:bidi w:val="0"/>
        <w:spacing w:lineRule="auto" w:line="268" w:before="0" w:after="0"/>
        <w:jc w:val="both"/>
        <w:rPr/>
      </w:pPr>
      <w:r>
        <w:rPr>
          <w:rFonts w:ascii="Times New Roman;sans-serif" w:hAnsi="Times New Roman;sans-serif"/>
          <w:b w:val="false"/>
          <w:color w:val="000000"/>
          <w:sz w:val="20"/>
        </w:rPr>
        <w:t xml:space="preserve">The information contained under the heading “Litigation” in </w:t>
      </w:r>
      <w:hyperlink w:anchor="i44afc6c18e6e47969829c5a05199c239_79">
        <w:r>
          <w:rPr>
            <w:rStyle w:val="InternetLink"/>
            <w:rFonts w:ascii="Times New Roman;sans-serif" w:hAnsi="Times New Roman;sans-serif"/>
            <w:b w:val="false"/>
            <w:color w:val="0000FF"/>
            <w:sz w:val="20"/>
            <w:u w:val="single"/>
          </w:rPr>
          <w:t>Note 10 - Commitments and Contingent Liabilities</w:t>
        </w:r>
      </w:hyperlink>
      <w:r>
        <w:rPr>
          <w:color w:val="000000"/>
        </w:rPr>
        <w:t xml:space="preserve"> </w:t>
      </w:r>
      <w:r>
        <w:rPr>
          <w:rFonts w:ascii="Times New Roman;sans-serif" w:hAnsi="Times New Roman;sans-serif"/>
          <w:b w:val="false"/>
          <w:color w:val="000000"/>
          <w:sz w:val="20"/>
        </w:rPr>
        <w:t xml:space="preserve">to our Financial Statements included in this report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1A.    Risk Factors</w:t>
      </w:r>
    </w:p>
    <w:p>
      <w:pPr>
        <w:pStyle w:val="TextBody"/>
        <w:bidi w:val="0"/>
        <w:spacing w:lineRule="auto" w:line="288" w:before="180" w:after="283"/>
        <w:jc w:val="both"/>
        <w:rPr/>
      </w:pPr>
      <w:r>
        <w:rPr>
          <w:rFonts w:ascii="Times New Roman;sans-serif" w:hAnsi="Times New Roman;sans-serif"/>
          <w:b w:val="false"/>
          <w:color w:val="000000"/>
          <w:sz w:val="20"/>
        </w:rPr>
        <w:t xml:space="preserve">A description of certain factors that may affect our future results and risk factors is set forth in our </w:t>
      </w:r>
      <w:hyperlink r:id="rId8">
        <w:r>
          <w:rPr>
            <w:rStyle w:val="InternetLink"/>
            <w:rFonts w:ascii="Times New Roman;sans-serif" w:hAnsi="Times New Roman;sans-serif"/>
            <w:b w:val="false"/>
            <w:color w:val="0000FF"/>
            <w:sz w:val="20"/>
            <w:u w:val="single"/>
          </w:rPr>
          <w:t>Annual Report on Form 10-K for the year ended December 31, 2023</w:t>
        </w:r>
      </w:hyperlink>
      <w:r>
        <w:rPr>
          <w:rFonts w:ascii="Times New Roman;sans-serif" w:hAnsi="Times New Roman;sans-serif"/>
          <w:b w:val="false"/>
          <w:color w:val="000000"/>
          <w:sz w:val="20"/>
        </w:rPr>
        <w:t>, and is incorporated by reference into this Item 1A. There have been no material changes to those factors for the three months ended March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2.     Unregistered Sales of Equity Securities and Use of Proceeds</w:t>
      </w:r>
    </w:p>
    <w:p>
      <w:pPr>
        <w:pStyle w:val="TextBody"/>
        <w:bidi w:val="0"/>
        <w:spacing w:lineRule="auto" w:line="288" w:before="180" w:after="60"/>
        <w:jc w:val="left"/>
        <w:rPr>
          <w:rFonts w:ascii="Times New Roman;sans-serif" w:hAnsi="Times New Roman;sans-serif"/>
          <w:b/>
          <w:color w:val="000000"/>
          <w:sz w:val="20"/>
        </w:rPr>
      </w:pPr>
      <w:r>
        <w:rPr>
          <w:rFonts w:ascii="Times New Roman;sans-serif" w:hAnsi="Times New Roman;sans-serif"/>
          <w:b/>
          <w:color w:val="000000"/>
          <w:sz w:val="20"/>
        </w:rPr>
        <w:t>(a) Unregistered Sales of Equity Securities and Use of Proceeds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(b) Use of Proceeds from Registered Securities</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pStyle w:val="TextBody"/>
        <w:bidi w:val="0"/>
        <w:spacing w:lineRule="auto" w:line="288" w:before="240" w:after="60"/>
        <w:jc w:val="left"/>
        <w:rPr>
          <w:rFonts w:ascii="Times New Roman;sans-serif" w:hAnsi="Times New Roman;sans-serif"/>
          <w:b/>
          <w:color w:val="000000"/>
          <w:sz w:val="20"/>
        </w:rPr>
      </w:pPr>
      <w:r>
        <w:rPr>
          <w:rFonts w:ascii="Times New Roman;sans-serif" w:hAnsi="Times New Roman;sans-serif"/>
          <w:b/>
          <w:color w:val="000000"/>
          <w:sz w:val="20"/>
        </w:rPr>
        <w:t>(c) Issuer Purchases of Equity Securities</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Inc.</w:t>
      </w:r>
    </w:p>
    <w:p>
      <w:pPr>
        <w:pStyle w:val="TextBody"/>
        <w:bidi w:val="0"/>
        <w:spacing w:lineRule="auto" w:line="288" w:before="240" w:after="283"/>
        <w:jc w:val="both"/>
        <w:rPr/>
      </w:pPr>
      <w:r>
        <w:rPr>
          <w:rFonts w:ascii="Times New Roman;sans-serif" w:hAnsi="Times New Roman;sans-serif"/>
          <w:b w:val="false"/>
          <w:color w:val="000000"/>
          <w:sz w:val="20"/>
          <w:shd w:fill="FFFFFF" w:val="clear"/>
        </w:rPr>
        <w:t>During the three months ended March 31, 2024,</w:t>
      </w:r>
      <w:r>
        <w:rPr>
          <w:color w:val="000000"/>
        </w:rPr>
        <w:t xml:space="preserve"> </w:t>
      </w:r>
      <w:r>
        <w:rPr>
          <w:rFonts w:ascii="Times New Roman;sans-serif" w:hAnsi="Times New Roman;sans-serif"/>
          <w:b w:val="false"/>
          <w:color w:val="000000"/>
          <w:sz w:val="20"/>
        </w:rPr>
        <w:t>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March 31, 2024:</w:t>
      </w:r>
    </w:p>
    <w:tbl>
      <w:tblPr>
        <w:tblW w:w="10205" w:type="dxa"/>
        <w:jc w:val="left"/>
        <w:tblInd w:w="0" w:type="dxa"/>
        <w:tblLayout w:type="fixed"/>
        <w:tblCellMar>
          <w:top w:w="28" w:type="dxa"/>
          <w:left w:w="28" w:type="dxa"/>
          <w:bottom w:w="28" w:type="dxa"/>
          <w:right w:w="28" w:type="dxa"/>
        </w:tblCellMar>
      </w:tblPr>
      <w:tblGrid>
        <w:gridCol w:w="624"/>
        <w:gridCol w:w="499"/>
        <w:gridCol w:w="505"/>
        <w:gridCol w:w="109"/>
        <w:gridCol w:w="109"/>
        <w:gridCol w:w="109"/>
        <w:gridCol w:w="638"/>
        <w:gridCol w:w="466"/>
        <w:gridCol w:w="468"/>
        <w:gridCol w:w="109"/>
        <w:gridCol w:w="109"/>
        <w:gridCol w:w="109"/>
        <w:gridCol w:w="289"/>
        <w:gridCol w:w="866"/>
        <w:gridCol w:w="149"/>
        <w:gridCol w:w="109"/>
        <w:gridCol w:w="109"/>
        <w:gridCol w:w="109"/>
        <w:gridCol w:w="689"/>
        <w:gridCol w:w="689"/>
        <w:gridCol w:w="691"/>
        <w:gridCol w:w="109"/>
        <w:gridCol w:w="109"/>
        <w:gridCol w:w="109"/>
        <w:gridCol w:w="678"/>
        <w:gridCol w:w="678"/>
        <w:gridCol w:w="968"/>
      </w:tblGrid>
      <w:tr>
        <w:trPr/>
        <w:tc>
          <w:tcPr>
            <w:tcW w:w="624"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5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Number Of Shares Purchased As Part Of </w:t>
              <w:br/>
              <w:t>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Maximum Number Of Shares That </w:t>
              <w:br/>
              <w:t>May Yet Be Purchased Under The Plans Or Programs</w:t>
            </w:r>
          </w:p>
        </w:tc>
      </w:tr>
      <w:tr>
        <w:trPr/>
        <w:tc>
          <w:tcPr>
            <w:tcW w:w="16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through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February 1, 2024 through February 29, 2024 </w:t>
            </w:r>
            <w:r>
              <w:rPr>
                <w:rFonts w:ascii="Times New Roman;sans-serif" w:hAnsi="Times New Roman;sans-serif"/>
                <w:b w:val="false"/>
                <w:i/>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168,556 </w:t>
            </w:r>
          </w:p>
        </w:tc>
        <w:tc>
          <w:tcPr>
            <w:tcW w:w="4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through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168,556</w:t>
            </w:r>
            <w:r>
              <w:rPr>
                <w:color w:val="000000"/>
              </w:rPr>
              <w:t> </w:t>
            </w:r>
          </w:p>
        </w:tc>
        <w:tc>
          <w:tcPr>
            <w:tcW w:w="4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20"/>
              </w:rPr>
              <w:t>29.64</w:t>
            </w:r>
            <w:r>
              <w:rPr>
                <w:color w:val="000000"/>
              </w:rPr>
              <w:t>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rFonts w:ascii="Times New Roman;sans-serif" w:hAnsi="Times New Roman;sans-serif"/>
          <w:b w:val="false"/>
          <w:color w:val="000000"/>
          <w:sz w:val="12"/>
        </w:rPr>
      </w:pPr>
      <w:r>
        <w:rPr>
          <w:rFonts w:ascii="Times New Roman;sans-serif" w:hAnsi="Times New Roman;sans-serif"/>
          <w:b w:val="false"/>
          <w:color w:val="000000"/>
          <w:sz w:val="12"/>
        </w:rPr>
        <w:t>__________________________</w:t>
      </w:r>
    </w:p>
    <w:p>
      <w:pPr>
        <w:pStyle w:val="TextBody"/>
        <w:bidi w:val="0"/>
        <w:spacing w:lineRule="auto" w:line="288" w:before="0" w:after="0"/>
        <w:jc w:val="both"/>
        <w:rPr>
          <w:rFonts w:ascii="Times New Roman;sans-serif" w:hAnsi="Times New Roman;sans-serif"/>
          <w:b w:val="false"/>
          <w:i/>
          <w:color w:val="000000"/>
          <w:sz w:val="16"/>
        </w:rPr>
      </w:pPr>
      <w:r>
        <w:rPr>
          <w:rFonts w:ascii="Times New Roman;sans-serif" w:hAnsi="Times New Roman;sans-serif"/>
          <w:b w:val="false"/>
          <w:i/>
          <w:color w:val="000000"/>
          <w:sz w:val="16"/>
        </w:rPr>
        <w:t>(1) 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pStyle w:val="TextBody"/>
        <w:bidi w:val="0"/>
        <w:spacing w:lineRule="auto" w:line="288" w:before="240" w:after="60"/>
        <w:jc w:val="left"/>
        <w:rPr>
          <w:rFonts w:ascii="Times New Roman;sans-serif" w:hAnsi="Times New Roman;sans-serif"/>
          <w:b/>
          <w:i/>
          <w:color w:val="000000"/>
          <w:sz w:val="20"/>
        </w:rPr>
      </w:pPr>
      <w:r>
        <w:rPr>
          <w:rFonts w:ascii="Times New Roman;sans-serif" w:hAnsi="Times New Roman;sans-serif"/>
          <w:b/>
          <w:i/>
          <w:color w:val="000000"/>
          <w:sz w:val="20"/>
        </w:rPr>
        <w:t>VICI Properties L.P.</w:t>
      </w:r>
    </w:p>
    <w:p>
      <w:pPr>
        <w:pStyle w:val="TextBody"/>
        <w:bidi w:val="0"/>
        <w:spacing w:lineRule="auto" w:line="288" w:before="240" w:after="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VICI LP did not repurchase any equity securities registered pursuant to Section 12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3.Defaults Upon Senior Securities</w:t>
      </w:r>
    </w:p>
    <w:p>
      <w:pPr>
        <w:pStyle w:val="TextBody"/>
        <w:bidi w:val="0"/>
        <w:spacing w:lineRule="auto" w:line="288" w:before="180" w:after="60"/>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4.Mine Safety Disclosures</w:t>
      </w:r>
    </w:p>
    <w:p>
      <w:pPr>
        <w:pStyle w:val="TextBody"/>
        <w:bidi w:val="0"/>
        <w:spacing w:lineRule="auto" w:line="288" w:before="180" w:after="60"/>
        <w:ind w:left="0" w:right="0" w:hanging="144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84785"/>
                <wp:effectExtent l="0" t="0" r="0" b="0"/>
                <wp:wrapNone/>
                <wp:docPr id="59" name="Frame58"/>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center"/>
        <w:rPr/>
      </w:pPr>
      <w:r>
        <w:rPr/>
      </w:r>
    </w:p>
    <w:p>
      <w:pPr>
        <w:pStyle w:val="TextBody"/>
        <w:bidi w:val="0"/>
        <w:spacing w:before="180" w:after="283"/>
        <w:jc w:val="both"/>
        <w:rPr/>
      </w:pPr>
      <w:r>
        <w:rPr/>
      </w:r>
    </w:p>
    <w:p>
      <w:pPr>
        <w:pStyle w:val="TextBody"/>
        <w:bidi w:val="0"/>
        <w:spacing w:lineRule="auto" w:line="288" w:before="240" w:after="283"/>
        <w:ind w:left="0" w:right="0" w:hanging="1440"/>
        <w:jc w:val="both"/>
        <w:rPr>
          <w:rFonts w:ascii="Times New Roman;sans-serif" w:hAnsi="Times New Roman;sans-serif"/>
          <w:b/>
          <w:color w:val="000000"/>
          <w:sz w:val="24"/>
        </w:rPr>
      </w:pPr>
      <w:r>
        <w:rPr>
          <w:rFonts w:ascii="Times New Roman;sans-serif" w:hAnsi="Times New Roman;sans-serif"/>
          <w:b/>
          <w:color w:val="000000"/>
          <w:sz w:val="24"/>
        </w:rPr>
        <w:t>Item 5.Other Information</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March 31, 2024,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ans-serif" w:hAnsi="Times New Roman;sans-serif"/>
          <w:b/>
          <w:color w:val="000000"/>
          <w:sz w:val="24"/>
        </w:rPr>
        <w:t>Item 6.</w:t>
      </w:r>
      <w:r>
        <w:rPr>
          <w:rFonts w:ascii="Times New Roman;sans-serif" w:hAnsi="Times New Roman;sans-serif"/>
          <w:b/>
          <w:color w:val="000000"/>
          <w:sz w:val="24"/>
        </w:rPr>
        <w:t>Exhibits</w:t>
      </w:r>
    </w:p>
    <w:tbl>
      <w:tblPr>
        <w:tblW w:w="10205" w:type="dxa"/>
        <w:jc w:val="left"/>
        <w:tblInd w:w="0" w:type="dxa"/>
        <w:tblLayout w:type="fixed"/>
        <w:tblCellMar>
          <w:top w:w="28" w:type="dxa"/>
          <w:left w:w="28" w:type="dxa"/>
          <w:bottom w:w="28" w:type="dxa"/>
          <w:right w:w="28" w:type="dxa"/>
        </w:tblCellMar>
      </w:tblPr>
      <w:tblGrid>
        <w:gridCol w:w="271"/>
        <w:gridCol w:w="239"/>
        <w:gridCol w:w="240"/>
        <w:gridCol w:w="109"/>
        <w:gridCol w:w="109"/>
        <w:gridCol w:w="109"/>
        <w:gridCol w:w="1779"/>
        <w:gridCol w:w="1615"/>
        <w:gridCol w:w="1540"/>
        <w:gridCol w:w="109"/>
        <w:gridCol w:w="109"/>
        <w:gridCol w:w="109"/>
        <w:gridCol w:w="297"/>
        <w:gridCol w:w="297"/>
        <w:gridCol w:w="298"/>
        <w:gridCol w:w="109"/>
        <w:gridCol w:w="109"/>
        <w:gridCol w:w="109"/>
        <w:gridCol w:w="170"/>
        <w:gridCol w:w="170"/>
        <w:gridCol w:w="171"/>
        <w:gridCol w:w="116"/>
        <w:gridCol w:w="116"/>
        <w:gridCol w:w="116"/>
        <w:gridCol w:w="210"/>
        <w:gridCol w:w="210"/>
        <w:gridCol w:w="211"/>
        <w:gridCol w:w="116"/>
        <w:gridCol w:w="116"/>
        <w:gridCol w:w="116"/>
        <w:gridCol w:w="215"/>
        <w:gridCol w:w="215"/>
        <w:gridCol w:w="216"/>
        <w:gridCol w:w="164"/>
      </w:tblGrid>
      <w:tr>
        <w:trPr/>
        <w:tc>
          <w:tcPr>
            <w:tcW w:w="27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79" w:type="dxa"/>
            <w:tcBorders/>
            <w:vAlign w:val="center"/>
          </w:tcPr>
          <w:p>
            <w:pPr>
              <w:pStyle w:val="TableContents"/>
              <w:bidi w:val="0"/>
              <w:spacing w:before="0" w:after="283"/>
              <w:jc w:val="left"/>
              <w:rPr>
                <w:sz w:val="4"/>
                <w:szCs w:val="4"/>
              </w:rPr>
            </w:pPr>
            <w:r>
              <w:rPr>
                <w:sz w:val="4"/>
                <w:szCs w:val="4"/>
              </w:rPr>
            </w:r>
          </w:p>
        </w:tc>
        <w:tc>
          <w:tcPr>
            <w:tcW w:w="1615"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Filed Herewith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9">
              <w:r>
                <w:rPr>
                  <w:rStyle w:val="InternetLink"/>
                  <w:rFonts w:ascii="Times New Roman;sans-serif" w:hAnsi="Times New Roman;sans-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ans-serif" w:hAnsi="Times New Roman;sans-serif"/>
                  <w:b w:val="false"/>
                  <w:color w:val="0000FF"/>
                  <w:sz w:val="20"/>
                  <w:u w:val="single"/>
                </w:rPr>
                <w:t>Second Supplemental Indenture, dated as of March 18, 2024, between VICI Properties L.P. and UMB Bank, National Association, as trustee.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1">
              <w:r>
                <w:rPr>
                  <w:rStyle w:val="InternetLink"/>
                  <w:rFonts w:ascii="Times New Roman;sans-serif" w:hAnsi="Times New Roman;sans-serif"/>
                  <w:b w:val="false"/>
                  <w:color w:val="0000FF"/>
                  <w:sz w:val="20"/>
                  <w:u w:val="single"/>
                </w:rPr>
                <w:t>4.2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Global Note representing the 5.750% Senior Notes due 2034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13">
              <w:r>
                <w:rPr>
                  <w:rStyle w:val="InternetLink"/>
                  <w:rFonts w:ascii="Times New Roman;sans-serif" w:hAnsi="Times New Roman;sans-serif"/>
                  <w:b w:val="false"/>
                  <w:color w:val="0000FF"/>
                  <w:sz w:val="20"/>
                  <w:u w:val="single"/>
                </w:rPr>
                <w:t>4.3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Form of Global Note representing the 6.125% Senior Notes due 2054 (included in Exhibit 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8-K</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3/18/2024</w:t>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11xviciprope.htm">
              <w:r>
                <w:rPr>
                  <w:rStyle w:val="InternetLink"/>
                  <w:rFonts w:ascii="Times New Roman;sans-serif" w:hAnsi="Times New Roman;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11xviciprope.htm">
              <w:r>
                <w:rPr>
                  <w:rStyle w:val="InternetLink"/>
                  <w:rFonts w:ascii="Times New Roman;sans-serif" w:hAnsi="Times New Roman;sans-serif"/>
                  <w:b w:val="false"/>
                  <w:color w:val="0000FF"/>
                  <w:sz w:val="20"/>
                  <w:u w:val="single"/>
                </w:rPr>
                <w:t>VICI Properties Inc.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12xviciprope.htm">
              <w:r>
                <w:rPr>
                  <w:rStyle w:val="InternetLink"/>
                  <w:rFonts w:ascii="Times New Roman;sans-serif" w:hAnsi="Times New Roman;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12xviciprope.htm">
              <w:r>
                <w:rPr>
                  <w:rStyle w:val="InternetLink"/>
                  <w:rFonts w:ascii="Times New Roman;sans-serif" w:hAnsi="Times New Roman;sans-serif"/>
                  <w:b w:val="false"/>
                  <w:color w:val="0000FF"/>
                  <w:sz w:val="20"/>
                  <w:u w:val="single"/>
                </w:rPr>
                <w:t>VICI Properties Inc.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13xviciprope.htm">
              <w:r>
                <w:rPr>
                  <w:rStyle w:val="InternetLink"/>
                  <w:rFonts w:ascii="Times New Roman;sans-serif" w:hAnsi="Times New Roman;sans-serif"/>
                  <w:b w:val="false"/>
                  <w:color w:val="0000FF"/>
                  <w:sz w:val="20"/>
                  <w:u w:val="single"/>
                </w:rPr>
                <w:t>31.3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13xviciprope.htm">
              <w:r>
                <w:rPr>
                  <w:rStyle w:val="InternetLink"/>
                  <w:rFonts w:ascii="Times New Roman;sans-serif" w:hAnsi="Times New Roman;sans-serif"/>
                  <w:b w:val="false"/>
                  <w:color w:val="0000FF"/>
                  <w:sz w:val="20"/>
                  <w:u w:val="single"/>
                </w:rPr>
                <w:t>VICI Properties L.P. Certification of Principal Executive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14xviciprope.htm">
              <w:r>
                <w:rPr>
                  <w:rStyle w:val="InternetLink"/>
                  <w:rFonts w:ascii="Times New Roman;sans-serif" w:hAnsi="Times New Roman;sans-serif"/>
                  <w:b w:val="false"/>
                  <w:color w:val="0000FF"/>
                  <w:sz w:val="20"/>
                  <w:u w:val="single"/>
                </w:rPr>
                <w:t>31.4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14xviciprope.htm">
              <w:r>
                <w:rPr>
                  <w:rStyle w:val="InternetLink"/>
                  <w:rFonts w:ascii="Times New Roman;sans-serif" w:hAnsi="Times New Roman;sans-serif"/>
                  <w:b w:val="false"/>
                  <w:color w:val="0000FF"/>
                  <w:sz w:val="20"/>
                  <w:u w:val="single"/>
                </w:rPr>
                <w:t>VICI Properties L.P. Certification of Principal Financial Officer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21xviciprope.htm">
              <w:r>
                <w:rPr>
                  <w:rStyle w:val="InternetLink"/>
                  <w:rFonts w:ascii="Times New Roman;sans-serif" w:hAnsi="Times New Roman;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21xviciprope.htm">
              <w:r>
                <w:rPr>
                  <w:rStyle w:val="InternetLink"/>
                  <w:rFonts w:ascii="Times New Roman;sans-serif" w:hAnsi="Times New Roman;sans-serif"/>
                  <w:b w:val="false"/>
                  <w:color w:val="0000FF"/>
                  <w:sz w:val="20"/>
                  <w:u w:val="single"/>
                </w:rPr>
                <w:t>VICI Properties Inc.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22xviciprope.htm">
              <w:r>
                <w:rPr>
                  <w:rStyle w:val="InternetLink"/>
                  <w:rFonts w:ascii="Times New Roman;sans-serif" w:hAnsi="Times New Roman;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22xviciprope.htm">
              <w:r>
                <w:rPr>
                  <w:rStyle w:val="InternetLink"/>
                  <w:rFonts w:ascii="Times New Roman;sans-serif" w:hAnsi="Times New Roman;sans-serif"/>
                  <w:b w:val="false"/>
                  <w:color w:val="0000FF"/>
                  <w:sz w:val="20"/>
                  <w:u w:val="single"/>
                </w:rPr>
                <w:t>VICI Properties Inc.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23xviciprope.htm">
              <w:r>
                <w:rPr>
                  <w:rStyle w:val="InternetLink"/>
                  <w:rFonts w:ascii="Times New Roman;sans-serif" w:hAnsi="Times New Roman;sans-serif"/>
                  <w:b w:val="false"/>
                  <w:color w:val="0000FF"/>
                  <w:sz w:val="20"/>
                  <w:u w:val="single"/>
                </w:rPr>
                <w:t>32.3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23xviciprope.htm">
              <w:r>
                <w:rPr>
                  <w:rStyle w:val="InternetLink"/>
                  <w:rFonts w:ascii="Times New Roman;sans-serif" w:hAnsi="Times New Roman;sans-serif"/>
                  <w:b w:val="false"/>
                  <w:color w:val="0000FF"/>
                  <w:sz w:val="20"/>
                  <w:u w:val="single"/>
                </w:rPr>
                <w:t>VICI Properties L.P. Certification of Principal Executive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viciq12024exh324xviciprope.htm">
              <w:r>
                <w:rPr>
                  <w:rStyle w:val="InternetLink"/>
                  <w:rFonts w:ascii="Times New Roman;sans-serif" w:hAnsi="Times New Roman;sans-serif"/>
                  <w:b w:val="false"/>
                  <w:color w:val="0000FF"/>
                  <w:sz w:val="20"/>
                  <w:u w:val="single"/>
                </w:rPr>
                <w:t>32.4</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viciq12024exh324xviciprope.htm">
              <w:r>
                <w:rPr>
                  <w:rStyle w:val="InternetLink"/>
                  <w:rFonts w:ascii="Times New Roman;sans-serif" w:hAnsi="Times New Roman;sans-serif"/>
                  <w:b w:val="false"/>
                  <w:color w:val="0000FF"/>
                  <w:sz w:val="20"/>
                  <w:u w:val="single"/>
                </w:rPr>
                <w:t>VICI Properties L.P. Certification of Principal Financial Officer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7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0" w:after="0"/>
        <w:jc w:val="both"/>
        <w:rPr/>
      </w:pPr>
      <w:hyperlink w:anchor="i44afc6c18e6e47969829c5a05199c239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center"/>
        <w:rPr>
          <w:rFonts w:ascii="Times New Roman;sans-serif" w:hAnsi="Times New Roman;sans-serif"/>
          <w:b/>
          <w:color w:val="000000"/>
          <w:sz w:val="22"/>
        </w:rPr>
      </w:pPr>
      <w:r>
        <w:rPr>
          <w:rFonts w:ascii="Times New Roman;sans-serif" w:hAnsi="Times New Roman;sans-serif"/>
          <w:b/>
          <w:color w:val="000000"/>
          <w:sz w:val="22"/>
        </w:rPr>
        <w:t>SIGNATURES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20" w:after="283"/>
        <w:jc w:val="both"/>
        <w:rPr>
          <w:color w:val="000000"/>
        </w:rPr>
      </w:pPr>
      <w:r>
        <w:rPr>
          <w:color w:val="000000"/>
        </w:rPr>
        <w:t>                        </w:t>
      </w:r>
    </w:p>
    <w:tbl>
      <w:tblPr>
        <w:tblW w:w="7974" w:type="dxa"/>
        <w:jc w:val="left"/>
        <w:tblInd w:w="0" w:type="dxa"/>
        <w:tblLayout w:type="fixed"/>
        <w:tblCellMar>
          <w:top w:w="28" w:type="dxa"/>
          <w:left w:w="28" w:type="dxa"/>
          <w:bottom w:w="28" w:type="dxa"/>
          <w:right w:w="28" w:type="dxa"/>
        </w:tblCellMar>
      </w:tblPr>
      <w:tblGrid>
        <w:gridCol w:w="964"/>
        <w:gridCol w:w="849"/>
        <w:gridCol w:w="857"/>
        <w:gridCol w:w="174"/>
        <w:gridCol w:w="174"/>
        <w:gridCol w:w="174"/>
        <w:gridCol w:w="1047"/>
        <w:gridCol w:w="1047"/>
        <w:gridCol w:w="981"/>
        <w:gridCol w:w="174"/>
        <w:gridCol w:w="174"/>
        <w:gridCol w:w="174"/>
        <w:gridCol w:w="347"/>
        <w:gridCol w:w="347"/>
        <w:gridCol w:w="4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97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INC.</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943" w:type="dxa"/>
        <w:jc w:val="left"/>
        <w:tblInd w:w="0" w:type="dxa"/>
        <w:tblLayout w:type="fixed"/>
        <w:tblCellMar>
          <w:top w:w="28" w:type="dxa"/>
          <w:left w:w="28" w:type="dxa"/>
          <w:bottom w:w="28" w:type="dxa"/>
          <w:right w:w="28" w:type="dxa"/>
        </w:tblCellMar>
      </w:tblPr>
      <w:tblGrid>
        <w:gridCol w:w="964"/>
        <w:gridCol w:w="849"/>
        <w:gridCol w:w="857"/>
        <w:gridCol w:w="169"/>
        <w:gridCol w:w="169"/>
        <w:gridCol w:w="169"/>
        <w:gridCol w:w="1020"/>
        <w:gridCol w:w="1020"/>
        <w:gridCol w:w="1034"/>
        <w:gridCol w:w="169"/>
        <w:gridCol w:w="169"/>
        <w:gridCol w:w="169"/>
        <w:gridCol w:w="347"/>
        <w:gridCol w:w="347"/>
        <w:gridCol w:w="491"/>
      </w:tblGrid>
      <w:tr>
        <w:trPr/>
        <w:tc>
          <w:tcPr>
            <w:tcW w:w="96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r>
      <w:tr>
        <w:trPr/>
        <w:tc>
          <w:tcPr>
            <w:tcW w:w="794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2"/>
              </w:rPr>
            </w:pPr>
            <w:r>
              <w:rPr>
                <w:rFonts w:ascii="Times New Roman;sans-serif" w:hAnsi="Times New Roman;sans-serif"/>
                <w:b/>
                <w:color w:val="000000"/>
                <w:sz w:val="22"/>
              </w:rPr>
              <w:t>VICI PROPERTIES L.P.</w:t>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Signature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Title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Date</w:t>
            </w:r>
          </w:p>
        </w:tc>
      </w:tr>
      <w:tr>
        <w:trPr/>
        <w:tc>
          <w:tcPr>
            <w:tcW w:w="26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Director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r>
      <w:tr>
        <w:trPr/>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Gabriel F. Wasserman</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31.1</w:t>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84785"/>
                <wp:effectExtent l="0" t="0" r="0" b="0"/>
                <wp:wrapNone/>
                <wp:docPr id="61" name="Frame60"/>
                <a:graphic xmlns:a="http://schemas.openxmlformats.org/drawingml/2006/main">
                  <a:graphicData uri="http://schemas.microsoft.com/office/word/2010/wordprocessingShape">
                    <wps:wsp>
                      <wps:cNvSpPr txBox="1"/>
                      <wps:spPr>
                        <a:xfrm>
                          <a:off x="0" y="0"/>
                          <a:ext cx="6480175" cy="184785"/>
                        </a:xfrm>
                        <a:prstGeom prst="rect"/>
                        <a:solidFill>
                          <a:srgbClr val="FFFFFF"/>
                        </a:solidFill>
                      </wps:spPr>
                      <wps:txb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55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lineRule="auto" w:line="288" w:before="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82"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31.2</w:t>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289560"/>
                <wp:effectExtent l="0" t="0" r="0" b="0"/>
                <wp:wrapNone/>
                <wp:docPr id="62" name="Frame61"/>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Inc.;</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19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31.3</w:t>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289560"/>
                <wp:effectExtent l="0" t="0" r="0" b="0"/>
                <wp:wrapNone/>
                <wp:docPr id="63" name="Frame62"/>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Edward B. Pitoniak,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482"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31.4</w:t>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289560"/>
                <wp:effectExtent l="0" t="0" r="0" b="0"/>
                <wp:wrapNone/>
                <wp:docPr id="64" name="Frame63"/>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David Kieske, certify that: </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VICI Properties L.P.;</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8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180" w:after="283"/>
        <w:jc w:val="left"/>
        <w:rPr>
          <w:color w:val="000000"/>
        </w:rPr>
      </w:pPr>
      <w:r>
        <w:rPr>
          <w:color w:val="000000"/>
        </w:rPr>
        <w:t> </w:t>
      </w:r>
    </w:p>
    <w:tbl>
      <w:tblPr>
        <w:tblW w:w="4197"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32.1</w:t>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289560"/>
                <wp:effectExtent l="0" t="0" r="0" b="0"/>
                <wp:wrapNone/>
                <wp:docPr id="65" name="Frame64"/>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482"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spacing w:before="180" w:after="283"/>
        <w:jc w:val="both"/>
        <w:rPr/>
      </w:pPr>
      <w:r>
        <w:rPr/>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32.2</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289560"/>
                <wp:effectExtent l="0" t="0" r="0" b="0"/>
                <wp:wrapNone/>
                <wp:docPr id="66" name="Frame65"/>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Inc. (the “Company”),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Company for the quarterly period ended March 31,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Company. </w:t>
      </w:r>
    </w:p>
    <w:tbl>
      <w:tblPr>
        <w:tblW w:w="4197"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32.3</w:t>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289560"/>
                <wp:effectExtent l="0" t="0" r="0" b="0"/>
                <wp:wrapNone/>
                <wp:docPr id="67" name="Frame66"/>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482"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97"/>
        <w:gridCol w:w="697"/>
        <w:gridCol w:w="990"/>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990"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Edward B. Pitoniak</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Executive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180" w:after="283"/>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80" w:after="283"/>
        <w:jc w:val="right"/>
        <w:rPr>
          <w:rFonts w:ascii="Times New Roman;sans-serif" w:hAnsi="Times New Roman;sans-serif"/>
          <w:b/>
          <w:color w:val="000000"/>
          <w:sz w:val="22"/>
        </w:rPr>
      </w:pPr>
      <w:r>
        <w:rPr>
          <w:rFonts w:ascii="Times New Roman;sans-serif" w:hAnsi="Times New Roman;sans-serif"/>
          <w:b/>
          <w:color w:val="000000"/>
          <w:sz w:val="22"/>
        </w:rPr>
        <w:t>Exhibit 32.4</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289560"/>
                <wp:effectExtent l="0" t="0" r="0" b="0"/>
                <wp:wrapNone/>
                <wp:docPr id="68" name="Frame67"/>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425.15pt;mso-position-horizontal:left;mso-position-horizontal-relative:text">
                <v:textbox>
                  <w:txbxContent>
                    <w:p>
                      <w:pPr>
                        <w:pStyle w:val="TextBody"/>
                        <w:bidi w:val="0"/>
                        <w:spacing w:before="180" w:after="283"/>
                        <w:jc w:val="both"/>
                        <w:rPr/>
                      </w:pPr>
                      <w:r>
                        <w:rPr/>
                      </w:r>
                    </w:p>
                  </w:txbxContent>
                </v:textbox>
                <w10:wrap type="none"/>
              </v:rect>
            </w:pict>
          </mc:Fallback>
        </mc:AlternateContent>
      </w:r>
    </w:p>
    <w:p>
      <w:pPr>
        <w:pStyle w:val="TextBody"/>
        <w:bidi w:val="0"/>
        <w:spacing w:before="180" w:after="283"/>
        <w:jc w:val="both"/>
        <w:rPr/>
      </w:pPr>
      <w:r>
        <w:rPr/>
      </w:r>
    </w:p>
    <w:p>
      <w:pPr>
        <w:pStyle w:val="TextBody"/>
        <w:bidi w:val="0"/>
        <w:spacing w:lineRule="auto" w:line="288"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w:t>
      </w:r>
    </w:p>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18 U.S.C. § 1350, as created by Section 906 of the Sarbanes-Oxley Act of 2002, the undersigned officer of VICI Properties L.P. (the “Partnership”), hereby certifies, to such officer's knowledge, that: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w:t>
      </w:r>
      <w:r>
        <w:rPr>
          <w:rFonts w:ascii="Times New Roman;sans-serif" w:hAnsi="Times New Roman;sans-serif"/>
          <w:b w:val="false"/>
          <w:color w:val="000000"/>
          <w:sz w:val="20"/>
        </w:rPr>
        <w:t xml:space="preserve">the accompanying Quarterly Report on Form 10-Q of the Partnership for the quarterly period ended March 31, 2024 (the “Report”) fully complies with the requirements of Section 13(a) or Section 15(d), as applicable, of the Securities Exchange Act of 1934, as amended; and </w:t>
      </w:r>
    </w:p>
    <w:p>
      <w:pPr>
        <w:pStyle w:val="TextBody"/>
        <w:bidi w:val="0"/>
        <w:spacing w:lineRule="auto" w:line="288" w:before="180" w:after="283"/>
        <w:ind w:left="0" w:right="0" w:firstLine="450"/>
        <w:jc w:val="both"/>
        <w:rPr/>
      </w:pPr>
      <w:r>
        <w:rPr>
          <w:rFonts w:ascii="Times New Roman;sans-serif" w:hAnsi="Times New Roman;sans-serif"/>
          <w:b w:val="false"/>
          <w:color w:val="000000"/>
          <w:sz w:val="20"/>
        </w:rPr>
        <w:t>(ii)</w:t>
      </w:r>
      <w:r>
        <w:rPr>
          <w:rFonts w:ascii="Times New Roman;sans-serif" w:hAnsi="Times New Roman;sans-serif"/>
          <w:b w:val="false"/>
          <w:color w:val="000000"/>
          <w:sz w:val="20"/>
        </w:rPr>
        <w:t xml:space="preserve">the information contained in the Report fairly presents, in all material respects, the financial condition and results of operations of the Partnership. </w:t>
      </w:r>
    </w:p>
    <w:tbl>
      <w:tblPr>
        <w:tblW w:w="4197" w:type="dxa"/>
        <w:jc w:val="center"/>
        <w:tblInd w:w="0" w:type="dxa"/>
        <w:tblLayout w:type="fixed"/>
        <w:tblCellMar>
          <w:top w:w="28" w:type="dxa"/>
          <w:left w:w="28" w:type="dxa"/>
          <w:bottom w:w="28" w:type="dxa"/>
          <w:right w:w="28" w:type="dxa"/>
        </w:tblCellMar>
      </w:tblPr>
      <w:tblGrid>
        <w:gridCol w:w="200"/>
        <w:gridCol w:w="177"/>
        <w:gridCol w:w="178"/>
        <w:gridCol w:w="379"/>
        <w:gridCol w:w="379"/>
        <w:gridCol w:w="381"/>
        <w:gridCol w:w="134"/>
        <w:gridCol w:w="134"/>
        <w:gridCol w:w="136"/>
        <w:gridCol w:w="615"/>
        <w:gridCol w:w="615"/>
        <w:gridCol w:w="86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1, 2024</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David A. Kieske</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Chief Financial Officer</w:t>
            </w:r>
          </w:p>
        </w:tc>
      </w:tr>
    </w:tbl>
    <w:p>
      <w:pPr>
        <w:pStyle w:val="TextBody"/>
        <w:bidi w:val="0"/>
        <w:spacing w:lineRule="auto" w:line="288" w:before="18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 </w:t>
      </w:r>
    </w:p>
    <w:p>
      <w:pPr>
        <w:pStyle w:val="TextBody"/>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289560"/>
                <wp:effectExtent l="0" t="0" r="0" b="0"/>
                <wp:wrapNone/>
                <wp:docPr id="69" name="Frame68"/>
                <a:graphic xmlns:a="http://schemas.openxmlformats.org/drawingml/2006/main">
                  <a:graphicData uri="http://schemas.microsoft.com/office/word/2010/wordprocessingShape">
                    <wps:wsp>
                      <wps:cNvSpPr txBox="1"/>
                      <wps:spPr>
                        <a:xfrm>
                          <a:off x="0" y="0"/>
                          <a:ext cx="6480175" cy="289560"/>
                        </a:xfrm>
                        <a:prstGeom prst="rect"/>
                        <a:solidFill>
                          <a:srgbClr val="FFFFFF"/>
                        </a:solidFill>
                      </wps:spPr>
                      <wps:txbx>
                        <w:txbxContent>
                          <w:p>
                            <w:pPr>
                              <w:pStyle w:val="TextBody"/>
                              <w:bidi w:val="0"/>
                              <w:spacing w:before="180" w:after="283"/>
                              <w:jc w:val="both"/>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80" w:after="283"/>
                        <w:jc w:val="both"/>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hyperlink" Target="https://www.sec.gov/ix?doc=/Archives/edgar/data/1705696/000170569624000033/vici-20231231.htm" TargetMode="External"/><Relationship Id="rId4" Type="http://schemas.openxmlformats.org/officeDocument/2006/relationships/hyperlink" Target="https://www.sec.gov/ix?doc=/Archives/edgar/data/1705696/000170569624000033/vici-20231231.htm" TargetMode="External"/><Relationship Id="rId5" Type="http://schemas.openxmlformats.org/officeDocument/2006/relationships/hyperlink" Target="https://www.sec.gov/ix?doc=/Archives/edgar/data/1705696/000170569624000033/vici-20231231.htm" TargetMode="External"/><Relationship Id="rId6" Type="http://schemas.openxmlformats.org/officeDocument/2006/relationships/hyperlink" Target="https://www.sec.gov/ix?doc=/Archives/edgar/data/1705696/000170569624000033/vici-20231231.htm" TargetMode="External"/><Relationship Id="rId7" Type="http://schemas.openxmlformats.org/officeDocument/2006/relationships/hyperlink" Target="https://www.sec.gov/ix?doc=/Archives/edgar/data/1705696/000170569624000033/vici-20231231.htm" TargetMode="External"/><Relationship Id="rId8" Type="http://schemas.openxmlformats.org/officeDocument/2006/relationships/hyperlink" Target="https://www.sec.gov/ix?doc=/Archives/edgar/data/1705696/000170569624000033/vici-20231231.htm" TargetMode="External"/><Relationship Id="rId9" Type="http://schemas.openxmlformats.org/officeDocument/2006/relationships/hyperlink" Target="https://www.sec.gov/Archives/edgar/data/1705696/000110465924035576/tm249036d1_ex4-2.htm" TargetMode="External"/><Relationship Id="rId10" Type="http://schemas.openxmlformats.org/officeDocument/2006/relationships/hyperlink" Target="https://www.sec.gov/Archives/edgar/data/1705696/000110465924035576/tm249036d1_ex4-2.htm" TargetMode="External"/><Relationship Id="rId11" Type="http://schemas.openxmlformats.org/officeDocument/2006/relationships/hyperlink" Target="https://www.sec.gov/Archives/edgar/data/1705696/000110465924035576/tm249036d1_ex4-2.htm" TargetMode="External"/><Relationship Id="rId12" Type="http://schemas.openxmlformats.org/officeDocument/2006/relationships/hyperlink" Target="https://www.sec.gov/Archives/edgar/data/1705696/000110465924035576/tm249036d1_ex4-2.htm" TargetMode="External"/><Relationship Id="rId13" Type="http://schemas.openxmlformats.org/officeDocument/2006/relationships/hyperlink" Target="https://www.sec.gov/Archives/edgar/data/1705696/000110465924035576/tm249036d1_ex4-2.htm" TargetMode="External"/><Relationship Id="rId14" Type="http://schemas.openxmlformats.org/officeDocument/2006/relationships/hyperlink" Target="https://www.sec.gov/Archives/edgar/data/1705696/000110465924035576/tm249036d1_ex4-2.htm" TargetMode="External"/><Relationship Id="rId15" Type="http://schemas.openxmlformats.org/officeDocument/2006/relationships/fontTable" Target="fontTable.xml"/><Relationship Id="rId1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30731</Words>
  <Characters>171661</Characters>
  <CharactersWithSpaces>200195</CharactersWithSpaces>
  <Paragraphs>3896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