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8" w:lineRule="exact"/>
        <w:rPr>
          <w:sz w:val="24"/>
          <w:szCs w:val="24"/>
          <w:color w:val="auto"/>
        </w:rPr>
      </w:pPr>
    </w:p>
    <w:p>
      <w:pPr>
        <w:ind w:left="1120"/>
        <w:spacing w:after="0"/>
        <w:rPr>
          <w:sz w:val="20"/>
          <w:szCs w:val="20"/>
          <w:color w:val="auto"/>
        </w:rPr>
      </w:pPr>
      <w:r>
        <w:rPr>
          <w:rFonts w:ascii="Arial" w:cs="Arial" w:eastAsia="Arial" w:hAnsi="Arial"/>
          <w:sz w:val="13"/>
          <w:szCs w:val="13"/>
          <w:b w:val="1"/>
          <w:bCs w:val="1"/>
          <w:color w:val="auto"/>
        </w:rPr>
        <w:t>(Mark One)</w:t>
      </w:r>
    </w:p>
    <w:p>
      <w:pPr>
        <w:spacing w:after="0" w:line="44" w:lineRule="exact"/>
        <w:rPr>
          <w:sz w:val="24"/>
          <w:szCs w:val="24"/>
          <w:color w:val="auto"/>
        </w:rPr>
      </w:pPr>
    </w:p>
    <w:p>
      <w:pPr>
        <w:jc w:val="center"/>
        <w:ind w:left="4140" w:right="1840" w:hanging="2849"/>
        <w:spacing w:after="0" w:line="275" w:lineRule="auto"/>
        <w:tabs>
          <w:tab w:leader="none" w:pos="1674"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jc w:val="center"/>
        <w:ind w:left="3800" w:right="1500" w:hanging="2455"/>
        <w:spacing w:after="0" w:line="316" w:lineRule="auto"/>
        <w:tabs>
          <w:tab w:leader="none" w:pos="1681"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000-55791</w:t>
      </w:r>
    </w:p>
    <w:p>
      <w:pPr>
        <w:spacing w:after="0" w:line="14"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jc w:val="center"/>
        <w:spacing w:after="0"/>
        <w:rPr>
          <w:sz w:val="20"/>
          <w:szCs w:val="20"/>
          <w:color w:val="auto"/>
        </w:rPr>
      </w:pPr>
      <w:r>
        <w:rPr>
          <w:rFonts w:ascii="Arial" w:cs="Arial" w:eastAsia="Arial" w:hAnsi="Arial"/>
          <w:sz w:val="32"/>
          <w:szCs w:val="32"/>
          <w:b w:val="1"/>
          <w:bCs w:val="1"/>
          <w:color w:val="auto"/>
        </w:rPr>
        <w:t>VICI PROPERTIES INC.</w:t>
      </w:r>
    </w:p>
    <w:p>
      <w:pPr>
        <w:jc w:val="center"/>
        <w:spacing w:after="0" w:line="236" w:lineRule="auto"/>
        <w:rPr>
          <w:sz w:val="20"/>
          <w:szCs w:val="20"/>
          <w:color w:val="auto"/>
        </w:rPr>
      </w:pPr>
      <w:r>
        <w:rPr>
          <w:rFonts w:ascii="Arial" w:cs="Arial" w:eastAsia="Arial" w:hAnsi="Arial"/>
          <w:sz w:val="16"/>
          <w:szCs w:val="16"/>
          <w:b w:val="1"/>
          <w:bCs w:val="1"/>
          <w:color w:val="auto"/>
        </w:rPr>
        <w:t>(Exact name of registrant as specified in its charter)</w:t>
      </w:r>
    </w:p>
    <w:p>
      <w:pPr>
        <w:spacing w:after="0" w:line="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________________________________________________</w:t>
      </w:r>
    </w:p>
    <w:p>
      <w:pPr>
        <w:sectPr>
          <w:pgSz w:w="11900" w:h="16838" w:orient="portrait"/>
          <w:cols w:equalWidth="0" w:num="1">
            <w:col w:w="11420"/>
          </w:cols>
          <w:pgMar w:left="240" w:top="850" w:right="239" w:bottom="1440" w:gutter="0" w:footer="0" w:header="0"/>
        </w:sectPr>
      </w:pPr>
    </w:p>
    <w:p>
      <w:pPr>
        <w:spacing w:after="0" w:line="217" w:lineRule="exact"/>
        <w:rPr>
          <w:sz w:val="24"/>
          <w:szCs w:val="24"/>
          <w:color w:val="auto"/>
        </w:rPr>
      </w:pPr>
    </w:p>
    <w:p>
      <w:pPr>
        <w:ind w:left="30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81-4177147</w:t>
      </w:r>
    </w:p>
    <w:p>
      <w:pPr>
        <w:spacing w:after="0" w:line="100" w:lineRule="exact"/>
        <w:rPr>
          <w:sz w:val="24"/>
          <w:szCs w:val="24"/>
          <w:color w:val="auto"/>
        </w:rPr>
      </w:pPr>
    </w:p>
    <w:p>
      <w:pPr>
        <w:sectPr>
          <w:pgSz w:w="11900" w:h="16838" w:orient="portrait"/>
          <w:cols w:equalWidth="0" w:num="2">
            <w:col w:w="6940" w:space="720"/>
            <w:col w:w="3760"/>
          </w:cols>
          <w:pgMar w:left="240" w:top="850" w:right="239" w:bottom="1440" w:gutter="0" w:footer="0" w:header="0"/>
          <w:type w:val="continuous"/>
        </w:sectPr>
      </w:pPr>
    </w:p>
    <w:p>
      <w:pPr>
        <w:ind w:left="15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52" w:lineRule="exact"/>
        <w:rPr>
          <w:sz w:val="24"/>
          <w:szCs w:val="24"/>
          <w:color w:val="auto"/>
        </w:rPr>
      </w:pPr>
    </w:p>
    <w:p>
      <w:pPr>
        <w:sectPr>
          <w:pgSz w:w="11900" w:h="16838" w:orient="portrait"/>
          <w:cols w:equalWidth="0" w:num="2">
            <w:col w:w="6220" w:space="720"/>
            <w:col w:w="4480"/>
          </w:cols>
          <w:pgMar w:left="240" w:top="85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8329 W. Sunset Road, Suite 210 Las Vegas, Nevada 89113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(702) 820-3800</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9" w:lineRule="exact"/>
        <w:rPr>
          <w:sz w:val="24"/>
          <w:szCs w:val="24"/>
          <w:color w:val="auto"/>
        </w:rPr>
      </w:pPr>
    </w:p>
    <w:tbl>
      <w:tblPr>
        <w:tblLayout w:type="fixed"/>
        <w:tblInd w:w="1220" w:type="dxa"/>
        <w:tblCellMar>
          <w:top w:w="0" w:type="dxa"/>
          <w:left w:w="0" w:type="dxa"/>
          <w:bottom w:w="0" w:type="dxa"/>
          <w:right w:w="0" w:type="dxa"/>
        </w:tblCellMar>
      </w:tblPr>
      <w:tr>
        <w:trPr>
          <w:trHeight w:val="210"/>
        </w:trPr>
        <w:tc>
          <w:tcPr>
            <w:tcW w:w="46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Title of each class</w:t>
            </w: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17"/>
        </w:trPr>
        <w:tc>
          <w:tcPr>
            <w:tcW w:w="46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Common stock, $0.01 par value</w:t>
            </w:r>
          </w:p>
        </w:tc>
        <w:tc>
          <w:tcPr>
            <w:tcW w:w="434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420"/>
          </w:cols>
          <w:pgMar w:left="240" w:top="850" w:right="239" w:bottom="1440" w:gutter="0" w:footer="0" w:header="0"/>
          <w:type w:val="continuous"/>
        </w:sectPr>
      </w:pPr>
    </w:p>
    <w:p>
      <w:pPr>
        <w:spacing w:after="0" w:line="95"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o</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55" w:lineRule="exact"/>
        <w:rPr>
          <w:sz w:val="24"/>
          <w:szCs w:val="24"/>
          <w:color w:val="auto"/>
        </w:rPr>
      </w:pPr>
    </w:p>
    <w:p>
      <w:pPr>
        <w:sectPr>
          <w:pgSz w:w="11900" w:h="16838" w:orient="portrait"/>
          <w:cols w:equalWidth="0" w:num="2">
            <w:col w:w="7500" w:space="160"/>
            <w:col w:w="3760"/>
          </w:cols>
          <w:pgMar w:left="240" w:top="850" w:right="239" w:bottom="1440" w:gutter="0" w:footer="0" w:header="0"/>
          <w:type w:val="continuous"/>
        </w:sect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No x</w:t>
      </w:r>
    </w:p>
    <w:p>
      <w:pPr>
        <w:spacing w:after="0" w:line="55" w:lineRule="exact"/>
        <w:rPr>
          <w:sz w:val="24"/>
          <w:szCs w:val="24"/>
          <w:color w:val="auto"/>
        </w:rPr>
      </w:pPr>
    </w:p>
    <w:p>
      <w:pPr>
        <w:sectPr>
          <w:pgSz w:w="11900" w:h="16838" w:orient="portrait"/>
          <w:cols w:equalWidth="0" w:num="2">
            <w:col w:w="7640" w:space="140"/>
            <w:col w:w="3640"/>
          </w:cols>
          <w:pgMar w:left="240" w:top="850" w:right="239" w:bottom="1440" w:gutter="0" w:footer="0" w:header="0"/>
          <w:type w:val="continuous"/>
        </w:sect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 w:lineRule="exact"/>
        <w:rPr>
          <w:sz w:val="24"/>
          <w:szCs w:val="24"/>
          <w:color w:val="auto"/>
        </w:rPr>
      </w:pPr>
    </w:p>
    <w:p>
      <w:pPr>
        <w:jc w:val="both"/>
        <w:ind w:right="20" w:firstLine="324"/>
        <w:spacing w:after="0" w:line="303"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9960" w:type="dxa"/>
            <w:vAlign w:val="bottom"/>
            <w:gridSpan w:val="4"/>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920" w:type="dxa"/>
            <w:vAlign w:val="bottom"/>
          </w:tcPr>
          <w:p>
            <w:pPr>
              <w:spacing w:after="0"/>
              <w:rPr>
                <w:sz w:val="15"/>
                <w:szCs w:val="15"/>
                <w:color w:val="auto"/>
              </w:rPr>
            </w:pPr>
          </w:p>
        </w:tc>
      </w:tr>
      <w:tr>
        <w:trPr>
          <w:trHeight w:val="312"/>
        </w:trPr>
        <w:tc>
          <w:tcPr>
            <w:tcW w:w="174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420"/>
              <w:spacing w:after="0"/>
              <w:rPr>
                <w:sz w:val="20"/>
                <w:szCs w:val="20"/>
                <w:color w:val="auto"/>
              </w:rPr>
            </w:pPr>
            <w:r>
              <w:rPr>
                <w:rFonts w:ascii="Arial" w:cs="Arial" w:eastAsia="Arial" w:hAnsi="Arial"/>
                <w:sz w:val="14"/>
                <w:szCs w:val="14"/>
                <w:color w:val="auto"/>
              </w:rPr>
              <w:t>o</w:t>
            </w:r>
          </w:p>
        </w:tc>
        <w:tc>
          <w:tcPr>
            <w:tcW w:w="3700" w:type="dxa"/>
            <w:vAlign w:val="bottom"/>
          </w:tcPr>
          <w:p>
            <w:pPr>
              <w:spacing w:after="0"/>
              <w:rPr>
                <w:sz w:val="24"/>
                <w:szCs w:val="24"/>
                <w:color w:val="auto"/>
              </w:rPr>
            </w:pPr>
          </w:p>
        </w:tc>
        <w:tc>
          <w:tcPr>
            <w:tcW w:w="4000" w:type="dxa"/>
            <w:vAlign w:val="bottom"/>
          </w:tcPr>
          <w:p>
            <w:pPr>
              <w:ind w:left="98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860"/>
              <w:spacing w:after="0"/>
              <w:rPr>
                <w:sz w:val="20"/>
                <w:szCs w:val="20"/>
                <w:color w:val="auto"/>
              </w:rPr>
            </w:pPr>
            <w:r>
              <w:rPr>
                <w:rFonts w:ascii="Arial" w:cs="Arial" w:eastAsia="Arial" w:hAnsi="Arial"/>
                <w:sz w:val="10"/>
                <w:szCs w:val="10"/>
                <w:color w:val="auto"/>
                <w:w w:val="71"/>
              </w:rPr>
              <w:t>o</w:t>
            </w:r>
          </w:p>
        </w:tc>
      </w:tr>
      <w:tr>
        <w:trPr>
          <w:trHeight w:val="203"/>
        </w:trPr>
        <w:tc>
          <w:tcPr>
            <w:tcW w:w="174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420"/>
              <w:spacing w:after="0"/>
              <w:rPr>
                <w:sz w:val="20"/>
                <w:szCs w:val="20"/>
                <w:color w:val="auto"/>
              </w:rPr>
            </w:pPr>
            <w:r>
              <w:rPr>
                <w:rFonts w:ascii="Arial" w:cs="Arial" w:eastAsia="Arial" w:hAnsi="Arial"/>
                <w:sz w:val="14"/>
                <w:szCs w:val="14"/>
                <w:color w:val="auto"/>
              </w:rPr>
              <w:t>x</w:t>
            </w:r>
          </w:p>
        </w:tc>
        <w:tc>
          <w:tcPr>
            <w:tcW w:w="3700" w:type="dxa"/>
            <w:vAlign w:val="bottom"/>
          </w:tcPr>
          <w:p>
            <w:pPr>
              <w:ind w:left="40"/>
              <w:spacing w:after="0"/>
              <w:rPr>
                <w:sz w:val="20"/>
                <w:szCs w:val="20"/>
                <w:color w:val="auto"/>
              </w:rPr>
            </w:pPr>
            <w:r>
              <w:rPr>
                <w:rFonts w:ascii="Arial" w:cs="Arial" w:eastAsia="Arial" w:hAnsi="Arial"/>
                <w:sz w:val="14"/>
                <w:szCs w:val="14"/>
                <w:color w:val="auto"/>
              </w:rPr>
              <w:t>(Do not check if a smaller reporting company)</w:t>
            </w:r>
          </w:p>
        </w:tc>
        <w:tc>
          <w:tcPr>
            <w:tcW w:w="4000" w:type="dxa"/>
            <w:vAlign w:val="bottom"/>
          </w:tcPr>
          <w:p>
            <w:pPr>
              <w:ind w:left="98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860"/>
              <w:spacing w:after="0"/>
              <w:rPr>
                <w:sz w:val="20"/>
                <w:szCs w:val="20"/>
                <w:color w:val="auto"/>
              </w:rPr>
            </w:pPr>
            <w:r>
              <w:rPr>
                <w:rFonts w:ascii="Arial" w:cs="Arial" w:eastAsia="Arial" w:hAnsi="Arial"/>
                <w:sz w:val="10"/>
                <w:szCs w:val="10"/>
                <w:color w:val="auto"/>
                <w:w w:val="71"/>
              </w:rPr>
              <w:t>o</w:t>
            </w:r>
          </w:p>
        </w:tc>
      </w:tr>
      <w:tr>
        <w:trPr>
          <w:trHeight w:val="270"/>
        </w:trPr>
        <w:tc>
          <w:tcPr>
            <w:tcW w:w="1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4000" w:type="dxa"/>
            <w:vAlign w:val="bottom"/>
          </w:tcPr>
          <w:p>
            <w:pPr>
              <w:ind w:left="980"/>
              <w:spacing w:after="0"/>
              <w:rPr>
                <w:sz w:val="20"/>
                <w:szCs w:val="20"/>
                <w:color w:val="auto"/>
              </w:rPr>
            </w:pPr>
            <w:r>
              <w:rPr>
                <w:rFonts w:ascii="Arial" w:cs="Arial" w:eastAsia="Arial" w:hAnsi="Arial"/>
                <w:sz w:val="14"/>
                <w:szCs w:val="14"/>
                <w:color w:val="auto"/>
              </w:rPr>
              <w:t>Emerging growth company</w:t>
            </w:r>
          </w:p>
        </w:tc>
        <w:tc>
          <w:tcPr>
            <w:tcW w:w="920" w:type="dxa"/>
            <w:vAlign w:val="bottom"/>
          </w:tcPr>
          <w:p>
            <w:pPr>
              <w:ind w:left="860"/>
              <w:spacing w:after="0"/>
              <w:rPr>
                <w:sz w:val="20"/>
                <w:szCs w:val="20"/>
                <w:color w:val="auto"/>
              </w:rPr>
            </w:pPr>
            <w:r>
              <w:rPr>
                <w:rFonts w:ascii="Arial" w:cs="Arial" w:eastAsia="Arial" w:hAnsi="Arial"/>
                <w:sz w:val="10"/>
                <w:szCs w:val="10"/>
                <w:color w:val="auto"/>
                <w:w w:val="71"/>
              </w:rPr>
              <w:t>o</w:t>
            </w:r>
          </w:p>
        </w:tc>
      </w:tr>
    </w:tbl>
    <w:p>
      <w:pPr>
        <w:spacing w:after="0" w:line="47" w:lineRule="exact"/>
        <w:rPr>
          <w:sz w:val="24"/>
          <w:szCs w:val="24"/>
          <w:color w:val="auto"/>
        </w:rPr>
      </w:pPr>
    </w:p>
    <w:p>
      <w:pPr>
        <w:jc w:val="both"/>
        <w:ind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left="340"/>
        <w:spacing w:after="0"/>
        <w:tabs>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tab/>
        <w:t>No x</w:t>
      </w:r>
    </w:p>
    <w:p>
      <w:pPr>
        <w:spacing w:after="0" w:line="55"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As of June 30, 2017 (the last day of the registrant’s most recently completed second fiscal quarter), the registrant’s common stock was not listed on any exchange or over-the-counter market. The registrant’s common stock was first publicly traded on the OTC Markets Group, Inc.’s “Grey Market” on October 18, 2017 and began trading on the New York Stock Exchange on February 1, 2018. As of February 28, 2018, the aggregate market value of the common stock held by non-affiliates of the registrant was approximately $7.23 billion.</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28, 2018, the registrant had 370,128,832 shares of common stock outstanding.</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54"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Portions of the registrant’s definitive proxy statement for its 2018 annual meeting of stockholders are incorporated by reference into Part III of this Annual Report on Form 10-K. Such proxy statement, or an amendment to this Annual Report on Form 10-K, will be filed with the U.S. Securities and Exchange Commission within 120 days after the end of the calendar year to which this report relates.</w:t>
      </w:r>
    </w:p>
    <w:p>
      <w:pPr>
        <w:sectPr>
          <w:pgSz w:w="11900" w:h="16838" w:orient="portrait"/>
          <w:cols w:equalWidth="0" w:num="1">
            <w:col w:w="11420"/>
          </w:cols>
          <w:pgMar w:left="240" w:top="85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60" w:type="dxa"/>
            <w:vAlign w:val="bottom"/>
            <w:gridSpan w:val="14"/>
          </w:tcPr>
          <w:p>
            <w:pPr>
              <w:ind w:left="6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gridSpan w:val="7"/>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
        </w:trPr>
        <w:tc>
          <w:tcPr>
            <w:tcW w:w="458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2160" w:type="dxa"/>
            <w:vAlign w:val="bottom"/>
            <w:tcBorders>
              <w:top w:val="single" w:sz="8" w:color="auto"/>
              <w:bottom w:val="single" w:sz="8" w:color="auto"/>
            </w:tcBorders>
            <w:gridSpan w:val="6"/>
            <w:vMerge w:val="restart"/>
          </w:tcPr>
          <w:p>
            <w:pPr>
              <w:spacing w:after="0"/>
              <w:rPr>
                <w:sz w:val="4"/>
                <w:szCs w:val="4"/>
                <w:color w:val="auto"/>
              </w:rPr>
            </w:pPr>
          </w:p>
        </w:tc>
        <w:tc>
          <w:tcPr>
            <w:tcW w:w="3700" w:type="dxa"/>
            <w:vAlign w:val="bottom"/>
            <w:gridSpan w:val="8"/>
            <w:vMerge w:val="restart"/>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580" w:type="dxa"/>
            <w:vAlign w:val="bottom"/>
            <w:gridSpan w:val="14"/>
            <w:vMerge w:val="continue"/>
          </w:tcPr>
          <w:p>
            <w:pPr>
              <w:spacing w:after="0"/>
              <w:rPr>
                <w:sz w:val="19"/>
                <w:szCs w:val="19"/>
                <w:color w:val="auto"/>
              </w:rPr>
            </w:pPr>
          </w:p>
        </w:tc>
        <w:tc>
          <w:tcPr>
            <w:tcW w:w="2160" w:type="dxa"/>
            <w:vAlign w:val="bottom"/>
            <w:gridSpan w:val="6"/>
            <w:vMerge w:val="continue"/>
          </w:tcPr>
          <w:p>
            <w:pPr>
              <w:spacing w:after="0"/>
              <w:rPr>
                <w:sz w:val="19"/>
                <w:szCs w:val="19"/>
                <w:color w:val="auto"/>
              </w:rPr>
            </w:pPr>
          </w:p>
        </w:tc>
        <w:tc>
          <w:tcPr>
            <w:tcW w:w="3700" w:type="dxa"/>
            <w:vAlign w:val="bottom"/>
            <w:gridSpan w:val="8"/>
            <w:vMerge w:val="continue"/>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0" w:type="dxa"/>
            <w:vAlign w:val="bottom"/>
          </w:tcPr>
          <w:p>
            <w:pPr>
              <w:spacing w:after="0"/>
              <w:rPr>
                <w:sz w:val="21"/>
                <w:szCs w:val="21"/>
                <w:color w:val="auto"/>
              </w:rPr>
            </w:pPr>
          </w:p>
        </w:tc>
        <w:tc>
          <w:tcPr>
            <w:tcW w:w="1260" w:type="dxa"/>
            <w:vAlign w:val="bottom"/>
            <w:gridSpan w:val="2"/>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Item 1 – Business</w:t>
              </w:r>
            </w:hyperlink>
          </w:p>
        </w:tc>
        <w:tc>
          <w:tcPr>
            <w:tcW w:w="8240" w:type="dxa"/>
            <w:vAlign w:val="bottom"/>
            <w:gridSpan w:val="25"/>
          </w:tcPr>
          <w:p>
            <w:pPr>
              <w:spacing w:after="0"/>
              <w:rPr>
                <w:sz w:val="21"/>
                <w:szCs w:val="21"/>
                <w:color w:val="auto"/>
              </w:rPr>
            </w:pPr>
          </w:p>
        </w:tc>
        <w:tc>
          <w:tcPr>
            <w:tcW w:w="560" w:type="dxa"/>
            <w:vAlign w:val="bottom"/>
            <w:gridSpan w:val="5"/>
          </w:tcPr>
          <w:p>
            <w:pPr>
              <w:jc w:val="center"/>
              <w:ind w:left="27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1660" w:type="dxa"/>
            <w:vAlign w:val="bottom"/>
            <w:gridSpan w:val="4"/>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1A – Risk Factors</w:t>
              </w:r>
            </w:hyperlink>
          </w:p>
        </w:tc>
        <w:tc>
          <w:tcPr>
            <w:tcW w:w="7840" w:type="dxa"/>
            <w:vAlign w:val="bottom"/>
            <w:gridSpan w:val="23"/>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1B – Unresolved Staff Comments</w:t>
              </w:r>
            </w:hyperlink>
          </w:p>
        </w:tc>
        <w:tc>
          <w:tcPr>
            <w:tcW w:w="560" w:type="dxa"/>
            <w:vAlign w:val="bottom"/>
            <w:gridSpan w:val="5"/>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278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 Properties</w:t>
              </w:r>
            </w:hyperlink>
          </w:p>
        </w:tc>
        <w:tc>
          <w:tcPr>
            <w:tcW w:w="6720" w:type="dxa"/>
            <w:vAlign w:val="bottom"/>
            <w:gridSpan w:val="16"/>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1960" w:type="dxa"/>
            <w:vAlign w:val="bottom"/>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Item 3 – Legal Proceedings</w:t>
              </w:r>
            </w:hyperlink>
          </w:p>
        </w:tc>
        <w:tc>
          <w:tcPr>
            <w:tcW w:w="7540" w:type="dxa"/>
            <w:vAlign w:val="bottom"/>
            <w:gridSpan w:val="22"/>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500" w:type="dxa"/>
            <w:vAlign w:val="bottom"/>
            <w:gridSpan w:val="2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 Mine Safety Disclosures</w:t>
              </w:r>
            </w:hyperlink>
          </w:p>
        </w:tc>
        <w:tc>
          <w:tcPr>
            <w:tcW w:w="560" w:type="dxa"/>
            <w:vAlign w:val="bottom"/>
            <w:gridSpan w:val="5"/>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w:t>
              </w:r>
            </w:hyperlink>
          </w:p>
        </w:tc>
        <w:tc>
          <w:tcPr>
            <w:tcW w:w="2380" w:type="dxa"/>
            <w:vAlign w:val="bottom"/>
            <w:tcBorders>
              <w:top w:val="single" w:sz="8" w:color="0000EE"/>
            </w:tcBorders>
            <w:gridSpan w:val="8"/>
          </w:tcPr>
          <w:p>
            <w:pPr>
              <w:spacing w:after="0"/>
              <w:rPr>
                <w:sz w:val="24"/>
                <w:szCs w:val="24"/>
                <w:color w:val="auto"/>
              </w:rPr>
            </w:pPr>
          </w:p>
        </w:tc>
        <w:tc>
          <w:tcPr>
            <w:tcW w:w="7120" w:type="dxa"/>
            <w:vAlign w:val="bottom"/>
            <w:gridSpan w:val="19"/>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8960" w:type="dxa"/>
            <w:vAlign w:val="bottom"/>
            <w:gridSpan w:val="26"/>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5 – Market for the Registrant’s Common Equity, Related Stockholder Matters and Issuer Purchases of Equity Securities</w:t>
              </w:r>
            </w:hyperlink>
          </w:p>
        </w:tc>
        <w:tc>
          <w:tcPr>
            <w:tcW w:w="540" w:type="dxa"/>
            <w:vAlign w:val="bottom"/>
          </w:tcPr>
          <w:p>
            <w:pPr>
              <w:spacing w:after="0"/>
              <w:rPr>
                <w:sz w:val="19"/>
                <w:szCs w:val="19"/>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8960" w:type="dxa"/>
            <w:vAlign w:val="bottom"/>
            <w:gridSpan w:val="2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 – Selected Financial Data</w:t>
              </w:r>
            </w:hyperlink>
          </w:p>
        </w:tc>
        <w:tc>
          <w:tcPr>
            <w:tcW w:w="540" w:type="dxa"/>
            <w:vAlign w:val="bottom"/>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080" w:type="dxa"/>
            <w:vAlign w:val="bottom"/>
            <w:gridSpan w:val="22"/>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7 – Management’s Discussion and Analysis of Financial Condition and Results of Operations</w:t>
              </w:r>
            </w:hyperlink>
          </w:p>
        </w:tc>
        <w:tc>
          <w:tcPr>
            <w:tcW w:w="2420" w:type="dxa"/>
            <w:vAlign w:val="bottom"/>
            <w:gridSpan w:val="5"/>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080" w:type="dxa"/>
            <w:vAlign w:val="bottom"/>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7A – Quantitative and Qualitative Disclosures About Market Risk</w:t>
              </w:r>
            </w:hyperlink>
          </w:p>
        </w:tc>
        <w:tc>
          <w:tcPr>
            <w:tcW w:w="2420" w:type="dxa"/>
            <w:vAlign w:val="bottom"/>
            <w:gridSpan w:val="5"/>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510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8 – Financial Statements and Supplementary Data</w:t>
              </w:r>
            </w:hyperlink>
          </w:p>
        </w:tc>
        <w:tc>
          <w:tcPr>
            <w:tcW w:w="4400" w:type="dxa"/>
            <w:vAlign w:val="bottom"/>
            <w:gridSpan w:val="9"/>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80" w:type="dxa"/>
            <w:vAlign w:val="bottom"/>
            <w:gridSpan w:val="2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VICI Properties Inc. Consolidated Financial Statements</w:t>
              </w:r>
            </w:hyperlink>
          </w:p>
        </w:tc>
        <w:tc>
          <w:tcPr>
            <w:tcW w:w="560" w:type="dxa"/>
            <w:vAlign w:val="bottom"/>
            <w:gridSpan w:val="5"/>
          </w:tcPr>
          <w:p>
            <w:pPr>
              <w:jc w:val="center"/>
              <w:ind w:left="290"/>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20" w:type="dxa"/>
            <w:vAlign w:val="bottom"/>
            <w:gridSpan w:val="20"/>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Caesars Entertainment Outdoor (Debtor-in-Possession) Combined Financial Statements</w:t>
              </w:r>
            </w:hyperlink>
          </w:p>
        </w:tc>
        <w:tc>
          <w:tcPr>
            <w:tcW w:w="2960" w:type="dxa"/>
            <w:vAlign w:val="bottom"/>
            <w:gridSpan w:val="6"/>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0" w:type="dxa"/>
            <w:vAlign w:val="bottom"/>
            <w:gridSpan w:val="2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Combined Statement of Investments of Real Estate Assets to be Contributed to VICI Properties Inc.</w:t>
              </w:r>
            </w:hyperlink>
          </w:p>
        </w:tc>
        <w:tc>
          <w:tcPr>
            <w:tcW w:w="2080" w:type="dxa"/>
            <w:vAlign w:val="bottom"/>
            <w:gridSpan w:val="3"/>
          </w:tcPr>
          <w:p>
            <w:pPr>
              <w:spacing w:after="0"/>
              <w:rPr>
                <w:sz w:val="21"/>
                <w:szCs w:val="21"/>
                <w:color w:val="auto"/>
              </w:rPr>
            </w:pPr>
          </w:p>
        </w:tc>
        <w:tc>
          <w:tcPr>
            <w:tcW w:w="560" w:type="dxa"/>
            <w:vAlign w:val="bottom"/>
            <w:gridSpan w:val="5"/>
          </w:tcPr>
          <w:p>
            <w:pPr>
              <w:jc w:val="center"/>
              <w:ind w:left="29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71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Item 9 – Changes in and Disagreements with Accountants on Accounting and Financial Disclosure</w:t>
              </w:r>
            </w:hyperlink>
          </w:p>
        </w:tc>
        <w:tc>
          <w:tcPr>
            <w:tcW w:w="2400" w:type="dxa"/>
            <w:vAlign w:val="bottom"/>
            <w:gridSpan w:val="4"/>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25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03">
              <w:r>
                <w:rPr>
                  <w:rFonts w:ascii="Arial" w:cs="Arial" w:eastAsia="Arial" w:hAnsi="Arial"/>
                  <w:sz w:val="18"/>
                  <w:szCs w:val="18"/>
                  <w:color w:val="0000EE"/>
                  <w:w w:val="88"/>
                </w:rPr>
                <w:t>Item 9A – Controls and Procedures</w:t>
              </w:r>
            </w:hyperlink>
          </w:p>
        </w:tc>
        <w:tc>
          <w:tcPr>
            <w:tcW w:w="6980" w:type="dxa"/>
            <w:vAlign w:val="bottom"/>
            <w:gridSpan w:val="17"/>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9500" w:type="dxa"/>
            <w:vAlign w:val="bottom"/>
            <w:gridSpan w:val="2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9B – Other Information</w:t>
              </w:r>
            </w:hyperlink>
          </w:p>
        </w:tc>
        <w:tc>
          <w:tcPr>
            <w:tcW w:w="920" w:type="dxa"/>
            <w:vAlign w:val="bottom"/>
            <w:gridSpan w:val="7"/>
          </w:tcPr>
          <w:p>
            <w:pPr>
              <w:jc w:val="cente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c>
          <w:tcPr>
            <w:tcW w:w="0" w:type="dxa"/>
            <w:vAlign w:val="bottom"/>
          </w:tcPr>
          <w:p>
            <w:pPr>
              <w:spacing w:after="0"/>
              <w:rPr>
                <w:sz w:val="1"/>
                <w:szCs w:val="1"/>
                <w:color w:val="auto"/>
              </w:rPr>
            </w:pPr>
          </w:p>
        </w:tc>
      </w:tr>
      <w:tr>
        <w:trPr>
          <w:trHeight w:val="291"/>
        </w:trPr>
        <w:tc>
          <w:tcPr>
            <w:tcW w:w="940" w:type="dxa"/>
            <w:vAlign w:val="bottom"/>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Part III</w:t>
              </w:r>
            </w:hyperlink>
          </w:p>
        </w:tc>
        <w:tc>
          <w:tcPr>
            <w:tcW w:w="2060" w:type="dxa"/>
            <w:vAlign w:val="bottom"/>
            <w:tcBorders>
              <w:top w:val="single" w:sz="8" w:color="0000EE"/>
            </w:tcBorders>
            <w:gridSpan w:val="6"/>
          </w:tcPr>
          <w:p>
            <w:pPr>
              <w:spacing w:after="0"/>
              <w:rPr>
                <w:sz w:val="24"/>
                <w:szCs w:val="24"/>
                <w:color w:val="auto"/>
              </w:rPr>
            </w:pPr>
          </w:p>
        </w:tc>
        <w:tc>
          <w:tcPr>
            <w:tcW w:w="7440" w:type="dxa"/>
            <w:vAlign w:val="bottom"/>
            <w:gridSpan w:val="21"/>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spacing w:after="0"/>
              <w:rPr>
                <w:sz w:val="19"/>
                <w:szCs w:val="19"/>
                <w:color w:val="auto"/>
              </w:rPr>
            </w:pPr>
          </w:p>
        </w:tc>
        <w:tc>
          <w:tcPr>
            <w:tcW w:w="9500" w:type="dxa"/>
            <w:vAlign w:val="bottom"/>
            <w:gridSpan w:val="27"/>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10 – Directors, Executive Officers and Corporate Governance</w:t>
              </w:r>
            </w:hyperlink>
          </w:p>
        </w:tc>
        <w:tc>
          <w:tcPr>
            <w:tcW w:w="920" w:type="dxa"/>
            <w:vAlign w:val="bottom"/>
            <w:gridSpan w:val="7"/>
          </w:tcPr>
          <w:p>
            <w:pPr>
              <w:jc w:val="center"/>
              <w:spacing w:after="0"/>
              <w:rPr>
                <w:rFonts w:ascii="Arial" w:cs="Arial" w:eastAsia="Arial" w:hAnsi="Arial"/>
                <w:sz w:val="18"/>
                <w:szCs w:val="18"/>
                <w:color w:val="0000EE"/>
                <w:w w:val="93"/>
              </w:rPr>
            </w:pPr>
            <w:hyperlink w:anchor="page103">
              <w:r>
                <w:rPr>
                  <w:rFonts w:ascii="Arial" w:cs="Arial" w:eastAsia="Arial" w:hAnsi="Arial"/>
                  <w:sz w:val="18"/>
                  <w:szCs w:val="18"/>
                  <w:color w:val="0000EE"/>
                  <w:w w:val="93"/>
                </w:rPr>
                <w:t>101</w:t>
              </w:r>
            </w:hyperlink>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4800" w:type="dxa"/>
            <w:vAlign w:val="bottom"/>
            <w:tcBorders>
              <w:top w:val="single" w:sz="8" w:color="0000EE"/>
            </w:tcBorders>
            <w:gridSpan w:val="1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11 – Executive Compensation</w:t>
              </w:r>
            </w:hyperlink>
          </w:p>
        </w:tc>
        <w:tc>
          <w:tcPr>
            <w:tcW w:w="4700" w:type="dxa"/>
            <w:vAlign w:val="bottom"/>
            <w:gridSpan w:val="10"/>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0000EE"/>
            </w:tcBorders>
            <w:gridSpan w:val="5"/>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50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12 – Security Ownership of Certain Beneficial Owners and Management and Related Stockholder Matters</w:t>
              </w:r>
            </w:hyperlink>
          </w:p>
        </w:tc>
        <w:tc>
          <w:tcPr>
            <w:tcW w:w="920" w:type="dxa"/>
            <w:vAlign w:val="bottom"/>
            <w:gridSpan w:val="7"/>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616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13 – Certain Relationships and Related Transactions, and Director Independence</w:t>
              </w:r>
            </w:hyperlink>
          </w:p>
        </w:tc>
        <w:tc>
          <w:tcPr>
            <w:tcW w:w="1840" w:type="dxa"/>
            <w:vAlign w:val="bottom"/>
            <w:tcBorders>
              <w:top w:val="single" w:sz="8" w:color="0000EE"/>
            </w:tcBorders>
            <w:gridSpan w:val="5"/>
          </w:tcPr>
          <w:p>
            <w:pPr>
              <w:spacing w:after="0"/>
              <w:rPr>
                <w:sz w:val="21"/>
                <w:szCs w:val="21"/>
                <w:color w:val="auto"/>
              </w:rPr>
            </w:pPr>
          </w:p>
        </w:tc>
        <w:tc>
          <w:tcPr>
            <w:tcW w:w="150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Pr>
          <w:p>
            <w:pPr>
              <w:spacing w:after="0"/>
              <w:rPr>
                <w:sz w:val="21"/>
                <w:szCs w:val="21"/>
                <w:color w:val="auto"/>
              </w:rPr>
            </w:pPr>
          </w:p>
        </w:tc>
        <w:tc>
          <w:tcPr>
            <w:tcW w:w="9500" w:type="dxa"/>
            <w:vAlign w:val="bottom"/>
            <w:gridSpan w:val="2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Item 14 – Principal Accounting Fees and Services</w:t>
              </w:r>
            </w:hyperlink>
          </w:p>
        </w:tc>
        <w:tc>
          <w:tcPr>
            <w:tcW w:w="920" w:type="dxa"/>
            <w:vAlign w:val="bottom"/>
            <w:gridSpan w:val="7"/>
          </w:tcPr>
          <w:p>
            <w:pPr>
              <w:jc w:val="cente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102</w:t>
              </w:r>
            </w:hyperlink>
          </w:p>
        </w:tc>
        <w:tc>
          <w:tcPr>
            <w:tcW w:w="0" w:type="dxa"/>
            <w:vAlign w:val="bottom"/>
          </w:tcPr>
          <w:p>
            <w:pPr>
              <w:spacing w:after="0"/>
              <w:rPr>
                <w:sz w:val="1"/>
                <w:szCs w:val="1"/>
                <w:color w:val="auto"/>
              </w:rPr>
            </w:pPr>
          </w:p>
        </w:tc>
      </w:tr>
      <w:tr>
        <w:trPr>
          <w:trHeight w:val="291"/>
        </w:trPr>
        <w:tc>
          <w:tcPr>
            <w:tcW w:w="940" w:type="dxa"/>
            <w:vAlign w:val="bottom"/>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Part IV</w:t>
              </w:r>
            </w:hyperlink>
          </w:p>
        </w:tc>
        <w:tc>
          <w:tcPr>
            <w:tcW w:w="3580" w:type="dxa"/>
            <w:vAlign w:val="bottom"/>
            <w:tcBorders>
              <w:top w:val="single" w:sz="8" w:color="0000EE"/>
            </w:tcBorders>
            <w:gridSpan w:val="12"/>
          </w:tcPr>
          <w:p>
            <w:pPr>
              <w:spacing w:after="0"/>
              <w:rPr>
                <w:sz w:val="24"/>
                <w:szCs w:val="24"/>
                <w:color w:val="auto"/>
              </w:rPr>
            </w:pPr>
          </w:p>
        </w:tc>
        <w:tc>
          <w:tcPr>
            <w:tcW w:w="5920" w:type="dxa"/>
            <w:vAlign w:val="bottom"/>
            <w:gridSpan w:val="15"/>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tcPr>
          <w:p>
            <w:pPr>
              <w:spacing w:after="0"/>
              <w:rPr>
                <w:sz w:val="22"/>
                <w:szCs w:val="22"/>
                <w:color w:val="auto"/>
              </w:rPr>
            </w:pPr>
          </w:p>
        </w:tc>
        <w:tc>
          <w:tcPr>
            <w:tcW w:w="38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15 – Exhibits and Financial Statement Schedules</w:t>
              </w:r>
            </w:hyperlink>
          </w:p>
        </w:tc>
        <w:tc>
          <w:tcPr>
            <w:tcW w:w="5640" w:type="dxa"/>
            <w:vAlign w:val="bottom"/>
            <w:gridSpan w:val="13"/>
          </w:tcPr>
          <w:p>
            <w:pPr>
              <w:spacing w:after="0"/>
              <w:rPr>
                <w:sz w:val="22"/>
                <w:szCs w:val="22"/>
                <w:color w:val="auto"/>
              </w:rPr>
            </w:pPr>
          </w:p>
        </w:tc>
        <w:tc>
          <w:tcPr>
            <w:tcW w:w="920" w:type="dxa"/>
            <w:vAlign w:val="bottom"/>
            <w:gridSpan w:val="7"/>
          </w:tcPr>
          <w:p>
            <w:pPr>
              <w:jc w:val="center"/>
              <w:spacing w:after="0"/>
              <w:rPr>
                <w:sz w:val="20"/>
                <w:szCs w:val="20"/>
                <w:color w:val="auto"/>
              </w:rPr>
            </w:pPr>
            <w:r>
              <w:rPr>
                <w:rFonts w:ascii="Arial" w:cs="Arial" w:eastAsia="Arial" w:hAnsi="Arial"/>
                <w:sz w:val="18"/>
                <w:szCs w:val="18"/>
                <w:color w:val="0000EE"/>
                <w:w w:val="93"/>
              </w:rPr>
              <w:t>103</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7180" w:type="dxa"/>
            <w:vAlign w:val="bottom"/>
            <w:gridSpan w:val="2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0000EE"/>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40" w:type="dxa"/>
            <w:vAlign w:val="bottom"/>
          </w:tcPr>
          <w:p>
            <w:pPr>
              <w:spacing w:after="0"/>
              <w:rPr>
                <w:sz w:val="22"/>
                <w:szCs w:val="22"/>
                <w:color w:val="auto"/>
              </w:rPr>
            </w:pPr>
          </w:p>
        </w:tc>
        <w:tc>
          <w:tcPr>
            <w:tcW w:w="23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Item 16 – Form 10-K Summary</w:t>
              </w:r>
            </w:hyperlink>
          </w:p>
        </w:tc>
        <w:tc>
          <w:tcPr>
            <w:tcW w:w="7180" w:type="dxa"/>
            <w:vAlign w:val="bottom"/>
            <w:gridSpan w:val="20"/>
          </w:tcPr>
          <w:p>
            <w:pPr>
              <w:spacing w:after="0"/>
              <w:rPr>
                <w:sz w:val="22"/>
                <w:szCs w:val="22"/>
                <w:color w:val="auto"/>
              </w:rPr>
            </w:pPr>
          </w:p>
        </w:tc>
        <w:tc>
          <w:tcPr>
            <w:tcW w:w="600" w:type="dxa"/>
            <w:vAlign w:val="bottom"/>
            <w:gridSpan w:val="6"/>
          </w:tcPr>
          <w:p>
            <w:pPr>
              <w:jc w:val="center"/>
              <w:ind w:left="230"/>
              <w:spacing w:after="0"/>
              <w:rPr>
                <w:rFonts w:ascii="Arial" w:cs="Arial" w:eastAsia="Arial" w:hAnsi="Arial"/>
                <w:sz w:val="18"/>
                <w:szCs w:val="18"/>
                <w:color w:val="0000EE"/>
                <w:w w:val="93"/>
              </w:rPr>
            </w:pPr>
            <w:hyperlink w:anchor="page115">
              <w:r>
                <w:rPr>
                  <w:rFonts w:ascii="Arial" w:cs="Arial" w:eastAsia="Arial" w:hAnsi="Arial"/>
                  <w:sz w:val="18"/>
                  <w:szCs w:val="18"/>
                  <w:color w:val="0000EE"/>
                  <w:w w:val="93"/>
                </w:rPr>
                <w:t>113</w:t>
              </w:r>
            </w:hyperlink>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40" w:type="dxa"/>
            <w:vAlign w:val="bottom"/>
            <w:gridSpan w:val="2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0000EE"/>
            </w:tcBorders>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10440" w:type="dxa"/>
            <w:vAlign w:val="bottom"/>
            <w:gridSpan w:val="2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Signatures</w:t>
              </w:r>
            </w:hyperlink>
          </w:p>
        </w:tc>
        <w:tc>
          <w:tcPr>
            <w:tcW w:w="320" w:type="dxa"/>
            <w:vAlign w:val="bottom"/>
          </w:tcPr>
          <w:p>
            <w:pPr>
              <w:spacing w:after="0"/>
              <w:rPr>
                <w:sz w:val="24"/>
                <w:szCs w:val="24"/>
                <w:color w:val="auto"/>
              </w:rPr>
            </w:pPr>
          </w:p>
        </w:tc>
        <w:tc>
          <w:tcPr>
            <w:tcW w:w="280" w:type="dxa"/>
            <w:vAlign w:val="bottom"/>
            <w:tcBorders>
              <w:bottom w:val="single" w:sz="8" w:color="0000EE"/>
            </w:tcBorders>
            <w:gridSpan w:val="5"/>
          </w:tcPr>
          <w:p>
            <w:pPr>
              <w:jc w:val="center"/>
              <w:spacing w:after="0"/>
              <w:rPr>
                <w:rFonts w:ascii="Arial" w:cs="Arial" w:eastAsia="Arial" w:hAnsi="Arial"/>
                <w:sz w:val="18"/>
                <w:szCs w:val="18"/>
                <w:color w:val="0000EE"/>
                <w:w w:val="93"/>
              </w:rPr>
            </w:pPr>
            <w:hyperlink w:anchor="page116">
              <w:r>
                <w:rPr>
                  <w:rFonts w:ascii="Arial" w:cs="Arial" w:eastAsia="Arial" w:hAnsi="Arial"/>
                  <w:sz w:val="18"/>
                  <w:szCs w:val="18"/>
                  <w:color w:val="0000EE"/>
                  <w:w w:val="93"/>
                </w:rPr>
                <w:t>114</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80" w:top="666"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PART I</w:t>
      </w: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“VICI REIT,” “Company,” “we,” “our,” and “us” refer to VICI Properties Inc., unless otherwise stated or the context requires otherwise.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We refer to (i) our Consolidated Financial Statements as our “Financial Statements,” (ii) our Consolidated Statement of Operations as our “Statement of Operations,” and (iii) our Consolidated Balance Sheets as our “Balance Sheet.” References to numbered “Notes” refer to Notes to our Consolidated Financial Statements included in Item 8.</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October 6, 2017 (the “Formation Date”), and following the Formation Date, CEOC, LLC, a Delaware limited liability company and its subsidiaries. CEOC is a subsidiary of Caesars.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or “CEC” refers to Caesars Entertainment Corporation and its subsidiaries. “CRC” refers to Caesars Resort Collection, LLC, a Delaware limited liability company which is a subsidiary of Caesars.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“VICI PropCo” refers to VICI Properties 1 LLC, a Delaware limited liability company, which through its subsidiaries owns the real estate assets transferred by CEOC to VICI on the Formation Date and “CPLV” refers to the Caesars Palace Las Vegas facility located on the Las Vegas Strip, which was owned by CEOC prior to the Formation Date and whose related real estate assets were transferred by CEOC to us on the Formation Date.</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“HLV” refers to the real estate of Harrah’s Las Vegas Hotel &amp; Casino facility located on the Las Vegas Strip which we purchased from a subsidiary of CRC on December 22,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“CPLV Lease Agreement” refers to</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lease agreement for Caesars Palace Las Vegas; “Joliet Lease Agreement” refers to the lease agreement for the facilities in Joliet, Illinois; and the“Non-CPLV Lease Agreement” refers to the lease agreement for regional properties other than the facilities in Joliet, Illinois (together, the “Formation Lease Agreements”). “Lease Agreements” refers collectively to the CPLV Lease Agreement, the Non-CPLV Lease Agreement, the Joliet Lease Agreement and the HLV Lease Agreement, unless the context otherwise requires.</w:t>
      </w:r>
    </w:p>
    <w:p>
      <w:pPr>
        <w:spacing w:after="0" w:line="136"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consists of 20 market-leading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more than 36 million square feet, our well-maintained properties are located in nine states, contain nearly 14,500 hotel rooms and feature over 150 restaurants, bars and nightclubs. Our portfolio also includes approximately 34 acres of undeveloped land adjacent to the Las Vegas Strip that is leased to Caesars, which we may look to monetize as appropriate. We also own and operate four championship golf courses located near certain of our properties, two of which are in close proximity to the Las Vegas Strip. As a growth focused public real estate company, we expect our relationship with our partners will position us for the acquisition of additional properties across leisure and hospitality.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acquired from an affiliate of Caesars and then leased back the real estate assets of Harrah’s Las Vegas for approximately $1.14 billion, and we simultaneously sold to Caesars approximately 18.4 acres of undeveloped land located behind the LINQ Hotel &amp; Casino and Harrah’s Las Vegas for $73.6 million (the “Eastside Property”). Simultaneous with this transaction, VICI PropCo entered into a new credit facility (the “VICI PropCo Credit Facility”), comprised of a $2.2 billion senior secured term loan B facility (the “Term Loan B Facility”) and a $400.0 million senior secured revolving credit facility (the “Revolving Credit Facility”), and we used the proceeds from the Term Loan B Facility and drawings under the Revolving Credit Facility to refinance a portion of our outstanding long-term debt.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Caesars to invest in our properties, and in line with its commitment to build guest loyalty, we anticipate Caesars will continue to make strategic value-enhancing investments in our properties over time, helping to maintain their competitive position. In addition,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7" w:right="239" w:bottom="1440" w:gutter="0" w:footer="0" w:header="0"/>
        </w:sectPr>
      </w:pPr>
    </w:p>
    <w:bookmarkStart w:id="3" w:name="page4"/>
    <w:bookmarkEnd w:id="3"/>
    <w:p>
      <w:pPr>
        <w:jc w:val="both"/>
        <w:spacing w:after="0" w:line="277" w:lineRule="auto"/>
        <w:rPr>
          <w:sz w:val="20"/>
          <w:szCs w:val="20"/>
          <w:color w:val="auto"/>
        </w:rPr>
      </w:pPr>
      <w:r>
        <w:rPr>
          <w:rFonts w:ascii="Arial" w:cs="Arial" w:eastAsia="Arial" w:hAnsi="Arial"/>
          <w:sz w:val="18"/>
          <w:szCs w:val="18"/>
          <w:color w:val="auto"/>
        </w:rPr>
        <w:t>given our scale and deep industry knowledge, we believe we are well-positioned to execute highly complementary single-asset and portfolio acquisitions to augment growth.</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intend to elect and qualify to be taxed as a REIT for U.S. Federal income tax purposes commencing with our taxable year ended December 31, 2017. We believe our election of REIT status combined with the income generation from the Lease Agreements will enhance our ability to make distributions to our stockholders, providing investors with current income as well as long-term growth.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(which included 9,075,000 shares of common stock related to the overallotment option exercised by the underwriters in full) at an offering price of $20.00 per share for gross proceeds of $1,391.5 million, resulting in net proceeds of approximately $1,307.0 million after commissions and expenses. The Company utilized a portion of the net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effectively position us to execute our business and growth strategies: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portfolio of high-quality experiential gaming, hospitality, entertainment and leisure assets.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features Caesars Palace Las Vegas and Harrah’s Las Vegas and market-leading regional properties with significant scale. Our properties are well-maintained and leased to leading brands, such as Caesars, Horseshoe, Harrah’s and Bally’s. These brands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portfolio is anchored by our Las Vegas properties, Caesars Palace Las Vegas and Harrah’s Las Vegas, which are located at the center of the Strip. We believe Las Vegas is one of the most attractive travel destinations in the United States, with a record 42.9 million visitors in 2016, according to the Las Vegas Convention and Visitors Authority. We believe Las Vegas is a market characterized by steady economic growth and high consumer and business demand with limited new supply. Our Las Vegas properties, which are two of the most iconic entertainment facilities in Las Vegas, feature gaming entertainment, large-scale hotels, extensive food and beverage options, state-of-the-art convention facilities, retail outlets and entertainment showrooms. Our Las Vegas properties continue to benefit from positive macroeconomic trends, including, according to Caesars’ publicly available information, record visitation levels in 2016 and strong convention attendance, hotel occupancy and average daily rates, among other key indicators.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portfolio also includes market-leading regional resorts that we believe are benefiting from significant invested capital over recent years. The regional properties we own include award-winning land-based and dockside casinos, hotels and entertainment facilities that are market leaders within their respective regions. The properties operate primarily under the Caesars, Harrah’s, Horseshoe and Bally’s trademark and brand names, which, in many instances, have market-leading brand recognition.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Lease Agreements, the tenants are required to continue to invest in the properties, which we believe will enhance the value of our properties.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feature diversified sources of revenue on both a business and geographic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includes 20 geographically diverse casino resorts that serve numerous Metropolitan Statistical Areas (“MSAs”) nationally. This diversity reduces our exposure to adverse events that may affect any single market. This also allows our tenants to derive revenue from an economically diverse set of customers who work in a variety of industries. Additionally, although the Lease Agreements are with subsidiaries of Caesars, Caesars generates revenue from a diverse set of services that it offers its customers. These include gaming, food and beverage, entertainment, hospitality and other sources of revenue. We believe that this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geographic diversity and the diversity of revenue sources that our tenants derive from our leased properties improves the stability of rental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Lease Agreements provide a highly predictable base level of rent with embedded growth potential.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properties are 100% occupied pursuant to our long-term triple-net Lease Agreements with subsidiaries of Caesars, providing us with a predictable level of rental revenue to support future cash distributions to our stockholders. In October 2017, we entered into the Formation Lease Agreements and in December 2017, we entered into the HLV Lease Agreement.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Caesars is generally not permitted to remove individual properties from the Non-CPLV Lease Agreement and has the right, following certain casualty events or condemnations, to terminate the respective Lease Agreement with respect to affected properties. All of our casino resort properties are established assets with extensive operating histories. Based on historical performance of the properties, we expect that the properties will generate sufficient revenues for Caesars’ subsidiaries to pay to us all rent due under the Lease Agreements.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relationship with Caesars, including our contractual agreements with it and its applicable subsidiaries, will continue to drive significant benefits and mutual alignment of strategic interests in the future.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or CRC guarantees the payment obligations of our tenants under the Lease Agreements.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existing properties are leased to subsidiaries of Caesars. Caesars guarantees the payment obligations of our tenants under the Formation Lease Agreements and CRC, a subsidiary of Caesars, guarantees the payment obligations of our tenant under the HLV Lease Agreement. In addition to the properties leased from us, Caesars operates numerous other casino resorts, collectively comprising a nationally-recognized portfolio of brands, including Caesars, Harrah’s, Horseshoe and Bally’s, and operates its portfolio of properties (including the properties that are leased from us) using the Total Rewards® customer loyalty program. Core to Caesars’ cross market strategy, the Total Rewards® program is designed to encourage Caesars’ customers to direct a larger share of their entertainment spending to Caesars.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and independent board of directors with robust corporate governance</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an experienced management team 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30 years of experience in the REIT industry and experiential real estate companies, during which time they were able to drive controlled growth and diversification of significant real estate and gaming portfolios. Mr. Pitoniak’s service as an independent board member of public companies provides him with a unique and meaningful management perspective and will enable him to work as a trusted steward with our independent board of directors as a trusted steward of our extensive portfolio. Our independent board of directors, which is made of highly skilled and seasoned real estate, gaming and corporate professionals, was established to ensure that there was no overlap between our tenants and the companies with which our directors are affiliated. In addition, our board of directors is not staggered, with each of our directors subject to re-election annually. Robust corporate governance in the best interests of our stockholders is of central importance to the management of our company, as we have a separate Chairman of the Board and Chief Executive Officer and all members of our audit and finance committee qualify as an “audit committee financial expert” as defined by the SEC. Directors are elected in uncontested elections by the affirmative vote of a majority of the votes cast, and stockholder approval is required prior to, or in certain circumstances within twelve months following, the adoption by our board of a stockholder rights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all of our properties with the exception of the TRS golf courses were leased to Caesars.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Caesars is a leading owner and operator of gaming, entertainment and leisure properties. Caesars maintains a diverse brand portfolio with a wide range of options that appeal to a variety of gaming, travel and entertainment consumers. As of December 31, 2017, Caesars operates 48 properties, consisting of 20 owned and operated properties, eight properties that it manages on behalf of third parties and 20 properties that it leases from us. Caesars or CRC guarantee the lease payment obligations of the properties leased from us.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historical audited and unaudited financial statements of Caesars (which are not included or incorporated by reference in this Annual Report on Form 10-K), as the parent and guarantor of CEOC, our significant lessee, have been filed with the Securities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08" w:right="239" w:bottom="1440" w:gutter="0" w:footer="0" w:header="0"/>
        </w:sectPr>
      </w:pPr>
    </w:p>
    <w:bookmarkStart w:id="5" w:name="page6"/>
    <w:bookmarkEnd w:id="5"/>
    <w:p>
      <w:pPr>
        <w:jc w:val="both"/>
        <w:spacing w:after="0" w:line="302" w:lineRule="auto"/>
        <w:rPr>
          <w:sz w:val="20"/>
          <w:szCs w:val="20"/>
          <w:color w:val="auto"/>
        </w:rPr>
      </w:pPr>
      <w:r>
        <w:rPr>
          <w:rFonts w:ascii="Arial" w:cs="Arial" w:eastAsia="Arial" w:hAnsi="Arial"/>
          <w:sz w:val="16"/>
          <w:szCs w:val="16"/>
          <w:color w:val="auto"/>
        </w:rPr>
        <w:t xml:space="preserve">and Exchange Commission (“SEC”). Caesars files annual, quarterly and current reports and other information with the SEC. Please call the SEC at 1-800-SEC-0330 for further information on the public reference rooms. Caesars’ SEC filings are also available to the public from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We make no representation as to the accuracy or completeness of the information regarding Caesars that is available through the SEC’s website or otherwise made available by Caesars or any third party, and none of such information is incorporated by reference in this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Caesars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independent from Caesars. Although we currently lease all our gaming facilities to subsidiaries of Caesars, we anticipate diversifying our portfolio over time.</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we have a mutually beneficial relationship with Caesars, a leading owner and operator of gaming, entertainment and leisure properties. Our long-term triple-net Lease Agreements with subsidiaries of Caesars provide us with a highly predictable revenue stream with embedded growth potential. We believe our geographic diversification limits the effect of changes in any one market on our overall performance. We are focused on driving long-term total returns through managing assets and allocating capital diligently, maintaining a highly productive tenant base, capitalizing on strategic development and redevelopment opportunities, and optimizing our capital structure to support opportunistic growth.</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govern the ongoing relationship between us and Caesars and our respective subsidiaries, we entered into various agreements with Caesars and/or its subsidiaries as described herein. The summaries presented below are not complete and are qualified in their entirety by reference to the full text of the applicable agreements, which are included as exhibits to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Lease Agreements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derive substantially all of our revenues from rental revenue from the leases of our properties to certain subsidiaries of Caesars pursuant to the Lease Agreements, each of which are “triple-net” leases, pursuant to which the tenant bears responsibility for all property costs and expenses associated with ongoing maintenance and operation, including utilities, property taxes and insurance.</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leases provide for an initial term of 15 years, followed by four 5-year renewal options exercisable by the tenants, provided that for certain facilities the aggregate lease term, including renewals, may be cut back to the extent it would otherwise exceed 80% of the remaining useful life of the applicable leased property, solely at the option of the tenants. Caesars does not have any purchase option under the Lease Agreements, except with respect to the HLV Lease Agreement if we engage in certain transactions with entities deemed to be competitors, or the landlord under the lease otherwise becomes a competitor of Caesars.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CPLV Lease Agreement entered into on October 6, 2017, rent is $165.0 million for the first seven years, subject to an annual escalator commencing in the second year of the lease term. Beginning in the eighth year, a portion of the rent amount will be designated as variable rent and will be adjusted periodically, with the balance of the rent amount designated as base rent and continuing to be subject to the annual escalator. At each renewal term, the base rent amount will be set at fair market value for the rent but will not be less than the amount of base rent due from the tenant in the immediately preceding year nor will the base rent increase by more than 10% compared to the immediately preceding year.</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each of the Non-CPLV Lease Agreement and Joliet Lease Agreement entered into on October 6, 2017, rent is $433.3 million and $39.6 million, respectively, for the first seven years, subject to an annual escalator commencing in the sixth year of the lease term. With respect to the Joliet Lease Agreement, we are entitled to receive 80% of the rent thereunder pursuant to the operating agreement of our joint venture, Harrah’s Joliet Landco LLC. Beginning in the eighth year, a portion of each rent amount will be designated as variable rent and will be adjusted periodically, with the balance of the rent amount designated as base rent and continuing to be subject to the annual escalator. At each renewal term, each base rent amount will be set at fair market value for the rent but will not be less than the amount of base rent due from the applicable tenant in the immediately preceding year nor will such base rent increase by more than 10% compared to the immediately preceding year.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HLV Lease Agreement entered into on December 22, 2017, rent is $87.4 million for each of the first seven years of the lease term, subject to an annual escalator commencing in the second year of the lease term (subject to satisfaction of an EBITDAR to rent ratio commencing in the sixth year of the lease term). Beginning in the eighth year, a portion of the rent amount will be designated as variable rent and will be adjusted periodically. At each renewal term, the base rent amount will be set at fair market value for the rent but will not be less than the amount of base rent due from the tenant in the immediately preceding year nor will</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the base rent increase by more than 10% compared to the immediately preceding year. The payment obligations under the HLV Lease Agreement are guaranteed by CRC under the Guaranty of the Lease.</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Lease Agreements provide for portions of the rent to be designated as variable rent with periodic variable rent resets following the seventh year and tenth year of the leases and at the commencement of each renewal term based on the tenant’s net revenue from the facilities at such time.</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calendar year, CEOC must satisfy both of the following requirements (A) under the Non-CPLV Lease Agreement and Joliet Lease Agreement, expend a minimum of $100.0 million in capital expenditures (which may include certain expenditures incurred by a certain CEOC affiliate or with respect to certain other CEOC assets), which amount may be decreased under certain circumstances, such as removal of property from a Formation Lease Agreement due to casualty or condemnation or disposition of a material property, by an amount in proportion to the EBITDAR of the property being removed or disposed of, and (B) for each of the properties covered by the Formation Lease Agreements, expend an amount equal to at least 1% of actual net revenue (from the prior year) generated by the properties, as applicable, on capital expenditures that constitute installation or restoration and repair or other improvements of items with respect to the leased properties.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every rolling period of three years, CEOC must satisfy both of the following requirements: (A) under the Non-CPLV Lease Agreement and Joliet Lease Agreement, expend a minimum of $495.0 million in capital expenditures (which may include certain expenditures incurred by a certain CEOC affiliate or with respect to certain other CEOC assets), and (B) expend a minimum of $350.0 million in capital expenditures excluding capital expenditures for any services entity, foreign subsidiaries and unrestricted subsidiaries of CEOC, gaming equipment, corporate shared services and properties not included in the Formation Lease Agreements. These amounts, in each case, may be decreased under the same circumstances with respect to the annual requirement. Further, with respect to the requirement to expend a minimum of $350.0 million in capital expenditures, such capital expenditures will be allocated as follows: (i) $84.0 million to the facilities covered by the CPLV Lease Agreement; (ii) $255.0 million to the facilities covered by the Non-CPLV Lease Agreement and the Joliet Lease Agreement; and (iii) the balance to facilities covered by any Formation Lease Agreement in such proportion as CEOC may elect.</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HLV Lease Agreement requires the tenant thereunder to spend (x) $171 million in capital expenditures for the period commencing January 1, 2017 and ending December 31, 2021, and, (y) commencing in 2022, annually, 1% of the actual net revenue generated during the immediately prior year from such property on capital expenditures that constitute installation, restoration, repair, maintenance or replacement of physical improvements or other physical items with respect to the leased property under the HLV Lease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customary default remedies, if CEOC does not spend the full amount of the minimum capital expenditures as required under the applicable Formation Lease Agreement, we have the right to seek the remedy of specific performance to require CEOC to spend any such unspent amount or deposit such amounts in a reserve account. CEOC’s obligations to spend the minimum capital expenditures will constitute monetary obligations included in Caesars’ obligations as guarantor with respect to these Formation Lease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Guaranty</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Management and Lease Support Agreements, Caesars guarantees the payment and performance of all monetary obligations of CEOC and/or its subsidiaries under the Formation Lease Agreements and of the “User” under the Golf Course Use Agreement, subject to the following terms: (i) Caesars will be liable for the full amounts of the monetary obligations owed by our tenants and/or its subsidiaries in respect of the Formation Lease Agreements and of the “User” under the Golf Course Use Agreement (not merely for any deficiency amount), unless and until irrevocably paid in full; (ii) Caesars will have no obligation to make a payment with respect to the leases unless an event of default is continuing under the applicable Formation Lease Agreement; (iii) if an event of default under a Formation Lease Agreement occurs, Caesars will have no obligation to make a payment (other than payments in respect of such damages to which we are entitled due to a termination pursuant to the Formation Lease Agreements and enforcement costs), unless Caesars was given notice of the applicable default (or event or circumstance that is or would become a default) of our tenant and/or its subsidiaries under the CPLV Lease Agreement, the Non-CPLV Lease Agreement or Joliet Lease Agreement, as applicable, and, with respect to monetary defaults, did not cure such default within the period set forth in the agreements; (iv) Caesars’ and the Managers’ obligations with respect to each Management and Lease Support Agreement (including, without limitation, Caesars’ guaranty obligations with respect to a Formation Lease Agreement) will terminate in the event the applicable Formation Lease Agreement is terminated by us expressly in writing (or with our express written consent), except to the extent of any accrued and unpaid guaranty obligations through the date of such termination and such damages to which we are entitled due to such termination pursuant to the Formation Lease Agreements; and (v) Caesars’ obligations with respect to each</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6"/>
          <w:szCs w:val="16"/>
          <w:color w:val="auto"/>
        </w:rPr>
        <w:t>Management and Lease Support Agreement (including, without limitation, Caesars’ guaranty obligations with respect to a Formation Lease Agreement) will also terminate in the event (x) the Management and Lease Support Agreement is terminated by us, CEOC and/or its subsidiaries, the Manager and Caesars expressly in writing (or the parties’ express written consent), (y) a replacement Lease Agreement and Management and Lease Support Agreement are entered into by us, Caesars and/or its affiliates upon certain bankruptcy-related events (or if we elect in writing not to enter into such replacement agreements or such replacement agreements are not entered into as a direct and proximate result of our acts or failure to act in accordance with the Management and Lease Support Agreement provisions in respect of replacing such agreements) or (z) we terminate a Manager for cause (as defined in the Management and Lease Support Agreements) and an arbitrator appointed in accordance with the Management and Lease Support Agreements determines that cause did not exist. Notwithstanding the foregoing, Caesars’ guaranty obligations will continue (i) to the extent of any accrued and unpaid guaranty obligations through the date of termination of the guaranty and such damages to which we are entitled due to such termination pursuant to the Formation Lease Agreements and enforcement costs, (ii) during a two-year post-termination transition period during which the applicable Manager continues to act as manager and (iii) in all respects if the Managers are terminated for cause (as defined in the Management and Lease Support Agreements). Except as provided above, Caesars’ guaranty obligations under the Management and Lease Support Agreements will not terminate for any reason.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Caesars’ guaranty of the Formation Leases is not currently collateralized. However, in the event that CEOC’s first lien debt is (i) guaranteed by Caesars and such guaranty is secured by Caesars’ or certain of its subsidiaries’ assets, or (ii) secured by Caesars’ or certain of its subsidiaries’ assets, then, unless the collateral is limited to the equity interests in CEOC, the collateral securing any such first lien debt of CEOC shall also serve as collateral for Caesars’ guaranty obligations pursuant to the Management and Lease Support Agreements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such CEOC first lien debt under the security agreement and any other related instruments securing CEOC’s first lien debt or the Caesars guaranty in respect of CEOC’s first lien debt (or any Caesars guaranty in respect of any refinancing thereof) in order to provide a security interest in all collateral thereunder to secure Caesars’ obligations under the Management and Lease Support Agreements. Such security interest will automatically be released upon the earlier to occur of (i) the termination of the security interest granted by Caesars or its subsidiaries securing CEOC’s first lien debt (or Caesars’ guaranty thereof) and (ii) (x) the date on which Caesars’ guaranty obligations under the Management and Lease Support Agreements have been irrevocably paid or (y) to the extent Caesars’ guaranty obligation under the Management and Lease Support Agreement is terminated by the express terms of the Management and Lease Support Agreements, twelve months after such termination. Such security interest would be a “silent” security interest that provides us with a secured claim against Caesars while any such Caesars debt guaranty or pledge of assets remains in effect, but we will have no voting, enforcement or default related rights with respect to such debt guaranty or collateral, unless and until the earlier of (x) the occurrence of a default in respect of any of Caesars’ guaranty obligations with respect to the Lease Agreements, or (y) the occurrence of an event of default that would cause the holders of CEOC’s first lien debt to take enforcement action in respect of the security interest in Caesars’ or its subsidiaries’ assets, in which case we would have all rights afforded to a secured creditor with respect such assets of Caesars and its subsidiary, including all rights available to holders of CEOC’s first lien debt. We would be a party to such security agreement and all related instruments that provide for such rights. The collateral that secures Caesars’ guaranty obligations will be the same collateral that secures any such Caesars debt guaranty obligations at any time, and Caesars’ guaranty obligations will be secured by such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such Caesars debt guaranty obligations for so long as and at any time that such debt guaranty obligations are secured. Caesars will cause the parties benefitting from any security interest in Caesars’ or certain of its subsidiaries’ assets to enter into an intercreditor agreement containing, among other things, provisions governing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coverage of such collateral provisions and the “waterfall” by which any proceeds of, or collections on, the collateral will be distributed as between CEOC’s first lien debt and the lease guaranty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Covenants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Management and Lease Support Agreements contain customary terms and waivers of all suretyship and other defenses by Caesars and include a covenant by Caesars requiring that (a) a sale of certain material assets by Caesars be for fair market value consideration, on arm’s-length terms in certain cases, with the approval of Caesars’ board of directors, and (b) non-cash dividends by Caesars are permitted only to the extent such dividends would not reasonably be expected to result in Caesars’ inability to perform its guaranty obligations under the Management and Lease Support Agreements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until October 6, 2023, or, if earlier, (x) on the date on which Caesars’ guaranty obligations under the Management and Lease Support Agreements have been irrevocably paid or (y) to the extent Caesars’ guaranty obligation under the Management and Lease Support Agreements are terminated by the express terms of the Management and Lease Support Agreements, twelve months after such termination, Caesars may not directly or indirectly (i) declare or pay, or cause to be declared or paid, any dividend,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8" w:right="239" w:bottom="1440" w:gutter="0" w:footer="0" w:header="0"/>
        </w:sectPr>
      </w:pPr>
    </w:p>
    <w:bookmarkStart w:id="8" w:name="page9"/>
    <w:bookmarkEnd w:id="8"/>
    <w:p>
      <w:pPr>
        <w:jc w:val="both"/>
        <w:spacing w:after="0" w:line="284" w:lineRule="auto"/>
        <w:rPr>
          <w:sz w:val="20"/>
          <w:szCs w:val="20"/>
          <w:color w:val="auto"/>
        </w:rPr>
      </w:pPr>
      <w:r>
        <w:rPr>
          <w:rFonts w:ascii="Arial" w:cs="Arial" w:eastAsia="Arial" w:hAnsi="Arial"/>
          <w:sz w:val="16"/>
          <w:szCs w:val="16"/>
          <w:color w:val="auto"/>
        </w:rPr>
        <w:t>distribution, any other direct or indirect payment or transfer (in each case, in cash, stock, other property, a combination thereof or otherwise) with respect to any of Caesars’ capital stock or other equity interests, (ii) purchase or otherwise acquire or retire for value any of Caesars’ capital stock or other equity interests, or (iii) engage in any other transaction with any direct or indirect holder of Caesars’ capital stock or other equity interests, which is similar in purpose or effect to those described above. However, Caesars will be permitted to execute such transactions if (a) Caesars’ equity market capitalization after giving effect to such dividend, distribution, or other transaction is at least $5.5 billion, (b) the amount of such dividend, distribution, or other transaction (together with any and all other such dividends and distributions and other transactions made under this clause (b) but excluding, any dividends, distributions or other transactions to be made under clause (c) or (d) below in such fiscal year), does not exceed, in the aggregate, (x) 25% of the net proceeds, up to a cap of $25 million in any fiscal year, from the disposition of assets by Caesars and its subsidiaries and (y) $100 million from other sources in any fiscal year,</w:t>
      </w:r>
    </w:p>
    <w:p>
      <w:pPr>
        <w:spacing w:after="0" w:line="1" w:lineRule="exact"/>
        <w:rPr>
          <w:sz w:val="20"/>
          <w:szCs w:val="20"/>
          <w:color w:val="auto"/>
        </w:rPr>
      </w:pPr>
    </w:p>
    <w:p>
      <w:pPr>
        <w:jc w:val="both"/>
        <w:ind w:firstLine="8"/>
        <w:spacing w:after="0" w:line="268" w:lineRule="auto"/>
        <w:tabs>
          <w:tab w:leader="none" w:pos="269" w:val="left"/>
        </w:tabs>
        <w:numPr>
          <w:ilvl w:val="0"/>
          <w:numId w:val="3"/>
        </w:numPr>
        <w:rPr>
          <w:rFonts w:ascii="Arial" w:cs="Arial" w:eastAsia="Arial" w:hAnsi="Arial"/>
          <w:sz w:val="17"/>
          <w:szCs w:val="17"/>
          <w:color w:val="auto"/>
        </w:rPr>
      </w:pPr>
      <w:r>
        <w:rPr>
          <w:rFonts w:ascii="Arial" w:cs="Arial" w:eastAsia="Arial" w:hAnsi="Arial"/>
          <w:sz w:val="17"/>
          <w:szCs w:val="17"/>
          <w:color w:val="auto"/>
        </w:rPr>
        <w:t>Caesars’ equity market capitalization after giving effect to such dividend, distribution, or other transaction is at least $4.5 billion and such dividend, distribution or other transaction made under this clause (c) (excluding, any dividends, distributions or other transactions made under clause (b) above or clause (d) below in such fiscal year) is less than or equal to $125 million per annum and is funded solely by asset sale proceeds or (d) solely with respect to a transaction described in clause (a) above, the aggregate amount of such transactions (excluding transactions made under clause (b) or (c) above) is not more than $199.5 million. Similarly, until October 6, 2023, or earlier, (x) the date on which Caesars’ guaranty obligations under the Management and Lease Support Agreements have been irrevocably paid or (y) to the extent Caesars’ guaranty obligation under the Management and Lease Support Agreements are terminated by the express terms of the Management and Lease Support Agreements, twelve months after such termination, except in the case of the exceptions set forth under clauses (a) and (c) above, any net proceeds from the disposition of assets by Caesars or its subsidiaries in excess of $25 million that are directly or indirectly distributed to, or otherwise received by, Caesars in any fiscal year will not be used to fund any restricted payment of Caesars described above in clauses (i) through (iii)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entered into an amended and restated right of first refusal agreement with Caesars (the “Amended and Restated Right of First Refusal Agreement”), which contains a right of first refusal in our favor, pursuant to which we have the right to own (and cause to be leased to, and managed by, Caesars (or its affiliate or affiliates)) any domestic gaming facility located outside of Greater Las Vegas, proposed to be acquired or developed by Caesars (and/or its subsidiaries) that is not (i) then subject to a pre-existing lease, management agreement or other contractual restriction that was not entered into in contemplation of such acquisition or development and which (x) was entered into on arms’-length terms and (y) would not be terminated upon or prior to such transaction, (ii) a transaction for which the opco/propco structure would be prohibited by applicable laws, rules or regulations or which would require governmental consent, approval, license or authorization (unless already received), (iii) any transaction that does not consist of owning or acquiring a fee or leasehold interest in real property, (iv) a transaction in which Caesars and/or its subsidiaries will not own at least 50% of, or control, the entity that will own the gaming facility, (v) a transaction in which one or more third parties will own or acquire, in the aggregate, a beneficial economic interest of at least 30% in the applicable gaming facility, and such third parties are unable, or make a bona fide, good faith refusal, to enter into the opco/propco structure, (vi) a transaction in which Caesars or its subsidiaries proposes to acquire a then-existing gaming facility from Caesars or its subsidiaries, and (vii) a transaction with respect to any asset remaining in CEOC after the formation transactions. The Amended and Restated Right of First Refusal further provides us, subject to certain exclusions, the right to acquire (and lease to Caesars) any of the properties that Caesars has recently agreed to acquire from Centaur Holdings, LLC, should Caesars determine to sell any such properties. If we decline to exercise our right of first refusal, the Non-CPLV and Joliet Lease Agreements will provide for the establishment of a variable rent floor applicable to any non-CPLV facility with respect to which the new facility is located within a 30-mile radius of such facility leased thereunder and outside of Greater Las Vegas. If we exercise such right, we and Caesars (or its designee) will structure such transaction in a manner that allows the subject property to be owned by us and leased to Caesars (or its designee). In such event, Caesars (or its designee) will enter into a lease with respect to the subject property whereby (i) rent thereunder will be established based on formulas consistent with the EBITDAR coverage ratio (determined based on the prior 12 month period) with respect to the Lease Agreement then in effect and (ii) such other terms as are agreed by the parties.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by us that is not: (i) any asset that is then subject to a pre-existing lease, management agreement or other contractual restriction that was not entered into in contemplation of such acquisition and which (x) was entered into on arms’ length terms and (y) would not be terminated upon or prior to closing of such transaction, (ii) any transaction for which the opco/propco structure would be prohibited by applicable laws, rules or regulations or which would require 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7"/>
          <w:szCs w:val="17"/>
          <w:color w:val="auto"/>
        </w:rPr>
        <w:t>transaction in which we or our affiliates propose to acquire a then-existing gaming facility from ourselves or our affiliates. If Caesars (or its designee) exercises such right, we and Caesars (or its designee) will structure such transaction in a manner that allows the subject property to be owned by us and leased to Caesars (or its designee). In such event, Caesars (or its designee) will enter into a lease with respect to the additional property whereby (i) rent thereunder will be established based on formulas consistent with the adjusted EBITDA coverage ratio (as set forth in the Amended and Restated Right of First Refusal Agreement) with respect to the lease then in effect and (ii) such other terms as are agreed by the parties.</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rights of first refusal will not apply if (A) the Management and Lease Support Agreements have been terminated or have expired by their terms or with our consent, (B) Caesars (or a subsidiary thereof) is no longer managing the facilities, or (C) a change of control occurs with respect to either Caesars or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entered into certain call right agreements (the “Call Right Agreements”), which provide our Operating Partnership with the opportunity to acquire Harrah’s Atlantic City, Harrah’s New Orleans and Harrah’s Laughlin (“Option Properties”) from Caesars, as applicable. Our Operating Partnership can exercise the call rights within five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 quarter period for which financial statements are available to (y) the initial property lease rent to equal 1.67.</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such election, if the owner of the property determines that (i) the sale of the property would not be permitted under a debt agreement under which at least $100.0 million of indebtedness (individually or in the aggregate) is outstanding, (ii) the consummation of the call right would not be approved by the applicable gaming authorities or (iii) the property is not for any other reason deliverable to our Operating Partnership, the owner may propose one or more replacement properties and the material terms of the purchase and if such proposal is at least as economically beneficial to us as the exercise of the call right, the parties must proceed with the sale of that property and any dispute with respect to the same (including whether such proposal was a qualifying proposal) will be submitted to arbitration.</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exercise of the call right is not permissible because a debt agreement does not permit the sale and such limitation is not resolved within one year from exercise of the right and the owner has not made an alternative proposal, or has made an alternative proposal that is not at least as economically beneficial to us as the exercise of the call right, the owner must pay us an amount equal to the value of our loss, which, as of the Formation Date, was equal to $114.0 million, $84.0 million and $62.0 million for Harrah’s Atlantic City, Harrah’s New Orleans and Harrah’s Laughlin, respectively. These amounts will increase at a rate of 8.5% per annum, with annual compounding for the period from the date of each agreement until the date on which payment of the value loss amount is made.</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the exercise of the call right is not permissible due to a reason other than because of a debt limitation (including that the sale was not approved by the gaming authorities or the failure to obtain the consent of a landlord) and the owner has not made an alternative proposal, or has made an alternative proposal that is not at least as economically beneficial to us as the exercise of the call right, then the parties must use commercially reasonable efforts to resolve the issue until the earlier of (A) one year from the date of the exercise of the call right or (B) the date on which the parties determine that there is no reasonable chance that the issue will be resolved. If the applicable issue making the transaction impermissible is not resolved by the foregoing described deadline, the owner must use commercially reasonable efforts to sell the property to an alternative purchaser for the fair market value of the property. Upon the closing of any such alternative transaction, the net cash proceeds of the sale of the property will be allocated (i) first, to owner in an amount not to exceed the purchase price that would otherwise be determined in accordance with the applicable Call Right Agreement and (ii) any excess of such amount, to us (subject to any necessary approvals from applicable gaming authorities required for owner to pay, and us to receive, such funds).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exercise of the call right is permissible, the parties will use good faith, commercially reasonable efforts, for a period of ninety days following the delivery of the election notice to negotiate and enter into a sale agreement and conveyance and ancillary documents with respect to the applicable property together with a leaseback agreement.</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HLV Owner and certain subsidiaries of Caesars entered into a put-call agreement (the “Put-Call Agreement”) which provides for (i) a put right in favor of Caesars, which, if exercised, would result in the sale by Caesars to HLV Owner and simultaneous leaseback by HLV Owner to Caesars of a convention center (the “Eastside Convention Center Property”) that Caesars may construct on the Eastside Property (the “Put Right”), (ii) if Caesars exercises the put right and, among other things, the sale of the Eastside Convention Center Property to HLV Owner does not close for certain reasons more particularly described in the agreement, then a repurchase right in favor of Caesars, which, if exercised, would result in the sale by HLV Owner to Caesars of HLV (the “HLV Repurchase Right”) and (iii) a call right in favor of HLV Owner, which, if exercised, would result in the sale by Caesars to HLV Owner and simultaneous leaseback by HLV Owner to Caesars of the Eastside Convention Center Property (the “Call Right”). The Put Right may be exercised by Caesars during the period of time commencing on January 1, 2024 and ending on December 31, 2024. If applicable, the HLV Repurchase Right may be exercised by Caesars during a one year period commencing on the date upon which the closing under the Put Right transaction does not occur and ending on the day immediately preceding the first anniversary thereof. The purchase price for HLV would be an amount equal to 13 times the rent due under the HLV Lease Agreement for the most recently ended four consecutive fiscal quarter period for which financial statements are available as of the date of Caesars’ election to execute the HLV Repurchase Right. If applicable, the Call Right may be exercised by HLV Owner during the period of time commencing on January 1, 2027 and ending on December 31, 2027. The purchase price for the Eastside Convention Center Property is equal to thirteen times the rent due in connection with the leaseback thereof which will be determined pursuant to the formulas set forth in the Put-Call Agreement. The Put-Call Agreement also provides that the closing of the applicable transaction(s) would occur approximately 180 days after the entering into of the purchase and sale agreement. Simultaneously with the execution of the Put-Call Agreement: (x) CRC entered into a Guaranty, whereby CRC guaranteed Caesars’ obligations to pay certain liquidated damages amounts and perform certain obligations in connection with the construction of the convention center, and (y) VICI Properties 1 LLC, a Delaware limited liability company (“VICI 1”), entered into a Guaranty, whereby VICI 1 guaranteed HLV Owner’s obligations to pay certain liquidated damages amounts.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Use Agreement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the Golf Course Use Agreement, VICI Golf granted to CEOC and CES (collectively, the “users”) certain priority rights and privileges with respect to access and use of the following golf course properties: Rio Secco (Henderson, Nevada), Cascata (Boulder City, Nevada), Chariot Run (Laconia, Indiana) and Grand Bear (Saucier, Mississippi). Pursuant to the Golf Course Use Agreement, the users are granted specific rights and privileges to the golf courses, including (i) preferred access to tee times for guests of users’ casinos and/or hotels located within the same markets as the golf courses, (ii) preferred rates for guests of users’ casinos and/or hotels located within the same markets as the golf courses, and (iii) availability for golf tournaments and events at preferred rates and discounts. In addition, VICI Golf is required to reserve a certain number of tee times for users’ guests on any and all dates as well as make commercially reasonable efforts to place users’ guests once the aforementioned reserved tee times have been utilized and at all other times when tee time inventory is limited. Pursuant to the Golf Course Use Agreement, the users are required to use commercially reasonable efforts to refer to VICI Golf a minimum number of complimentary golf rounds per month at each of the golf courses. Payments under the Golf Course Use Agreement are comprised of a $10.0 million annual membership fee, $3.0 million of use fees and approximately $1.1 million of minimum rounds fees. The membership fee is subject to increase or decrease, as applicable, whenever rent under the Non-CPLV Lease Agreement is adjusted in accordance with the terms of the Non-CPLV Lease Agreement. The adjusted membership fee will be calculated based on the proportionate increase or decrease, as applicable, in rent under the Non-CPLV Lease Agreement. The use fees and minimum round fees are subject to an annual escalator equal to the greater of 2% and the increase in the Consumer Price Index from the prior year beginning at the times provided under the Golf Course Use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entered into a tax matters agreement (the “Tax Matters Agreement”), which addresses matters relating to the payment of taxes and entitlement to tax refunds by Caesars, CEOC, the Operating Partnership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To the extent that any matters contained in any tax return prepared by Caesars relate to our taxes, we have the right to review and comment on such items and, similarly, to the extent that any matters contained in any tax return prepared by us relate to CEOC’s taxes, Caesars has the right to review and comment on such items. Under the Tax Matters Agreement, Caesars has agreed to indemnify us for any taxes allocated to CEOC which we are required to pay pursuant to our tax returns and we have agreed to indemnify Caesars for any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62" w:right="23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6"/>
          <w:szCs w:val="16"/>
          <w:color w:val="auto"/>
        </w:rPr>
        <w:t>taxes allocated to us which Caesars or CEOC is required to pay pursuant to a Caesars or CEOC tax return. We have the right to participate in the contest of any matters relating to any Caesars or CEOC tax return that relate to matters for which we have indemnification responsibilities, and Caesars will have the right to participate in the contest of any matters relating to any of our tax returns that relate to matters for which Caesars has indemnification responsibilities.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Tax Matters Agreement sets forth the parties’ intent that certain transactions entered into as part of the Plan of Reorganization qualify as tax-free under the Code. The Tax Matters Agreement provides that Caesars, CEOC and we will not take certain actions which may be inconsistent with certain facts presented and representations made relating to the foregoing intended tax treatment without obtaining a supplemental ruling from the IRS or, if mutually agreed, an opinion of a nationally recognized law or accounting firm that such actions will not affect the foregoing intended tax treatment. The parties agreed generally not to file tax returns or take any other action (or refrain from taking action) in a manner inconsistent with the foregoing intended tax treatment. 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to qualify for the intended tax treatment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866130" cy="4587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458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08"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The following table summarizes the properties that we own as of December 31, 2017. Our properties are diversified across a range of primary uses, including gaming, hotel, convention, dining, entertainment, retail, golf course and other resort amenities and activities.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2"/>
          </w:tcPr>
          <w:p>
            <w:pPr>
              <w:ind w:left="240"/>
              <w:spacing w:after="0"/>
              <w:rPr>
                <w:sz w:val="20"/>
                <w:szCs w:val="20"/>
                <w:color w:val="auto"/>
              </w:rPr>
            </w:pPr>
            <w:r>
              <w:rPr>
                <w:rFonts w:ascii="Arial" w:cs="Arial" w:eastAsia="Arial" w:hAnsi="Arial"/>
                <w:sz w:val="16"/>
                <w:szCs w:val="16"/>
                <w:b w:val="1"/>
                <w:bCs w:val="1"/>
                <w:color w:val="auto"/>
              </w:rPr>
              <w:t>Approx. Structure Sq Ft</w:t>
            </w:r>
          </w:p>
        </w:tc>
        <w:tc>
          <w:tcPr>
            <w:tcW w:w="2120" w:type="dxa"/>
            <w:vAlign w:val="bottom"/>
          </w:tcPr>
          <w:p>
            <w:pPr>
              <w:spacing w:after="0"/>
              <w:rPr>
                <w:sz w:val="17"/>
                <w:szCs w:val="17"/>
                <w:color w:val="auto"/>
              </w:rPr>
            </w:pPr>
          </w:p>
        </w:tc>
      </w:tr>
      <w:tr>
        <w:trPr>
          <w:trHeight w:val="210"/>
        </w:trPr>
        <w:tc>
          <w:tcPr>
            <w:tcW w:w="4400" w:type="dxa"/>
            <w:vAlign w:val="bottom"/>
            <w:gridSpan w:val="2"/>
          </w:tcPr>
          <w:p>
            <w:pPr>
              <w:ind w:left="1580"/>
              <w:spacing w:after="0"/>
              <w:rPr>
                <w:sz w:val="20"/>
                <w:szCs w:val="20"/>
                <w:color w:val="auto"/>
              </w:rPr>
            </w:pPr>
            <w:r>
              <w:rPr>
                <w:rFonts w:ascii="Arial" w:cs="Arial" w:eastAsia="Arial" w:hAnsi="Arial"/>
                <w:sz w:val="16"/>
                <w:szCs w:val="16"/>
                <w:b w:val="1"/>
                <w:bCs w:val="1"/>
                <w:color w:val="auto"/>
              </w:rPr>
              <w:t>MSA / Property</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Location</w:t>
            </w:r>
          </w:p>
        </w:tc>
        <w:tc>
          <w:tcPr>
            <w:tcW w:w="2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(000’s)</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89"/>
              </w:rPr>
              <w:t>Hotel Rooms</w:t>
            </w:r>
          </w:p>
        </w:tc>
      </w:tr>
      <w:tr>
        <w:trPr>
          <w:trHeight w:val="33"/>
        </w:trPr>
        <w:tc>
          <w:tcPr>
            <w:tcW w:w="42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Las Vegas—Destination Gaming</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Caesars Palace Las Vegas</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8,579</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3,980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Harrah’s Las Vegas</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Las Vegas, NV</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4,100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2,530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Cascata Golf Course</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Boulder City, NV</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Rio Secco Golf Course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Henderson, NV</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San Francisco / Sacramento</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Harvey’s Lake Tahoe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Lake Tahoe, NV</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740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Harrah’s Reno</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Reno, NV</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1,371</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930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Harrah’s Lake Tahoe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Stateline, NV</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510</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Philadelphia</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Caesars Atlantic City</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1,140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Bally’s Atlantic City</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5"/>
              </w:rPr>
              <w:t>Atlantic City, NJ</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2,547</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1,250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Chicago</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Horseshoe Hammond</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Hammond, IN</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1,716</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4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color w:val="auto"/>
                <w:vertAlign w:val="superscript"/>
              </w:rPr>
              <w:t>(1)</w:t>
            </w:r>
          </w:p>
        </w:tc>
        <w:tc>
          <w:tcPr>
            <w:tcW w:w="25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Joliet, IL</w:t>
            </w: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shd w:val="clear" w:color="auto" w:fill="CCEEFF"/>
          </w:tcPr>
          <w:p>
            <w:pPr>
              <w:spacing w:after="0"/>
              <w:rPr>
                <w:sz w:val="23"/>
                <w:szCs w:val="23"/>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200</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Dallas</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Horseshoe Bossier City</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Harrah’s Louisiana Downs</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Bossier City, LA</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1,118</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Kansas City</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Harrah’s North Kansas City</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2"/>
              </w:rPr>
              <w:t>North Kansas City, MO</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1,435</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390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Memphis</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Horseshoe Tunica</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Robinsonville, MS</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1,008</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510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Tunica Roadhouse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Tunica Resorts, MS</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130</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Omaha</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Harrah’s Council Bluffs</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Horseshoe Council Bluffs</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Council Bluffs, IA</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632</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Nashville</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Harrah’s Metropolis</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Metropolis, IL</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474</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260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New Orleans</w:t>
            </w:r>
          </w:p>
        </w:tc>
        <w:tc>
          <w:tcPr>
            <w:tcW w:w="2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Harrah’s Gulf Coast</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rPr>
              <w:t>Biloxi, MS</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1,031</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w w:val="89"/>
              </w:rPr>
              <w:t>500</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Grand Bear Golf Course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Saucier, MS</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37"/>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Louisville, KY</w:t>
            </w: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Horseshoe Southern Indiana</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Elizabeth, IN</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500</w:t>
            </w:r>
          </w:p>
        </w:tc>
      </w:tr>
      <w:tr>
        <w:trPr>
          <w:trHeight w:val="237"/>
        </w:trPr>
        <w:tc>
          <w:tcPr>
            <w:tcW w:w="4400" w:type="dxa"/>
            <w:vAlign w:val="bottom"/>
            <w:gridSpan w:val="2"/>
          </w:tcPr>
          <w:p>
            <w:pPr>
              <w:ind w:left="460"/>
              <w:spacing w:after="0"/>
              <w:rPr>
                <w:sz w:val="20"/>
                <w:szCs w:val="20"/>
                <w:color w:val="auto"/>
              </w:rPr>
            </w:pPr>
            <w:r>
              <w:rPr>
                <w:rFonts w:ascii="Arial" w:cs="Arial" w:eastAsia="Arial" w:hAnsi="Arial"/>
                <w:sz w:val="16"/>
                <w:szCs w:val="16"/>
                <w:color w:val="auto"/>
              </w:rPr>
              <w:t>Bluegrass Downs</w:t>
            </w:r>
          </w:p>
        </w:tc>
        <w:tc>
          <w:tcPr>
            <w:tcW w:w="250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Paducah, KY</w:t>
            </w:r>
          </w:p>
        </w:tc>
        <w:tc>
          <w:tcPr>
            <w:tcW w:w="2140" w:type="dxa"/>
            <w:vAlign w:val="bottom"/>
          </w:tcPr>
          <w:p>
            <w:pPr>
              <w:jc w:val="center"/>
              <w:spacing w:after="0"/>
              <w:rPr>
                <w:sz w:val="20"/>
                <w:szCs w:val="20"/>
                <w:color w:val="auto"/>
              </w:rPr>
            </w:pPr>
            <w:r>
              <w:rPr>
                <w:rFonts w:ascii="Arial" w:cs="Arial" w:eastAsia="Arial" w:hAnsi="Arial"/>
                <w:sz w:val="16"/>
                <w:szCs w:val="16"/>
                <w:color w:val="auto"/>
                <w:w w:val="89"/>
              </w:rPr>
              <w:t>184</w:t>
            </w:r>
          </w:p>
        </w:tc>
        <w:tc>
          <w:tcPr>
            <w:tcW w:w="1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33"/>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44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Chariot Run Golf Course</w:t>
            </w:r>
          </w:p>
        </w:tc>
        <w:tc>
          <w:tcPr>
            <w:tcW w:w="2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Laconia, IN</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244"/>
        </w:trPr>
        <w:tc>
          <w:tcPr>
            <w:tcW w:w="440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2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24</w:t>
            </w:r>
          </w:p>
        </w:tc>
        <w:tc>
          <w:tcPr>
            <w:tcW w:w="140" w:type="dxa"/>
            <w:vAlign w:val="bottom"/>
          </w:tcPr>
          <w:p>
            <w:pPr>
              <w:spacing w:after="0"/>
              <w:rPr>
                <w:sz w:val="21"/>
                <w:szCs w:val="21"/>
                <w:color w:val="auto"/>
              </w:rPr>
            </w:pPr>
          </w:p>
        </w:tc>
        <w:tc>
          <w:tcPr>
            <w:tcW w:w="2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36,586</w:t>
            </w:r>
          </w:p>
        </w:tc>
        <w:tc>
          <w:tcPr>
            <w:tcW w:w="120" w:type="dxa"/>
            <w:vAlign w:val="bottom"/>
          </w:tcPr>
          <w:p>
            <w:pPr>
              <w:spacing w:after="0"/>
              <w:rPr>
                <w:sz w:val="21"/>
                <w:szCs w:val="21"/>
                <w:color w:val="auto"/>
              </w:rPr>
            </w:pPr>
          </w:p>
        </w:tc>
        <w:tc>
          <w:tcPr>
            <w:tcW w:w="2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14,420</w:t>
            </w:r>
          </w:p>
        </w:tc>
      </w:tr>
      <w:tr>
        <w:trPr>
          <w:trHeight w:val="20"/>
        </w:trPr>
        <w:tc>
          <w:tcPr>
            <w:tcW w:w="4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00" w:hanging="133"/>
        <w:spacing w:after="0"/>
        <w:tabs>
          <w:tab w:leader="none" w:pos="600" w:val="left"/>
        </w:tabs>
        <w:numPr>
          <w:ilvl w:val="0"/>
          <w:numId w:val="4"/>
        </w:numPr>
        <w:rPr>
          <w:rFonts w:ascii="Arial" w:cs="Arial" w:eastAsia="Arial" w:hAnsi="Arial"/>
          <w:sz w:val="9"/>
          <w:szCs w:val="9"/>
          <w:color w:val="auto"/>
        </w:rPr>
      </w:pPr>
      <w:r>
        <w:rPr>
          <w:rFonts w:ascii="Arial" w:cs="Arial" w:eastAsia="Arial" w:hAnsi="Arial"/>
          <w:sz w:val="14"/>
          <w:szCs w:val="14"/>
          <w:color w:val="auto"/>
        </w:rPr>
        <w:t>Owned by Harrah’s Joliet LandCo LLC, a joint venture of which VICI PropCo is the 80% owner and the managing member.</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908"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Las Vegas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Palace Las Vegas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Caesars Palace is a hotel and casino resort located in Las Vegas, Nevada. It was opened in 1966 and features six hotel towers uniquely designed to address the varied demands of our diverse customer base, 124,181 square feet of casino space including over 1,400 slot and table gaming units, a 14,187 square foot high limit casino area, a 4,557 square foot high limit slots area and a 24-hour poker room, approximately 300,000 square feet of meeting, convention and ballroom facilities, the 4,300-seat Colosseum entertainment venue, the 81,300 square foot OMNIA Nightclub, over 20 restaurants, lounges and bars, approximately 702,000 square feet of retail space, approximately 40,450 square feet of spa facilities and five swimming pools spanning eight acres.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Las Vegas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Harrah’s Las Vegas is a hotel and casino resort located in Las Vegas, Nevada. It was constructed in 1973 and features 90,600 square feet of casino space, 1,210 slot machines and 90 gaming tables. The property has 2,530 rooms and suites, 1,600 of which have been renovated over the past two years, 16 restaurants and bars, retail shopping, spa services and 24,000 square feet of meeting space.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 Francisco/Sacramento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Lake Tahoe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Harrah’s Lake Tahoe is a hotel and casino resort located on Lake Tahoe in Stateline, Nevada. It consists of a 45,136 square foot casino with nearly 900 slot and table-gaming units, a 510 room hotel and 18,000 square feet of meeting and event space. The property features eleven restaurants, shopping and nightlife venues and amenities, such as a spa and salon.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Harvey’s Lake Tahoe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Harvey’s Lake Tahoe is a hotel and casino resort located on Lake Tahoe in Stateline, Nevada. It consists of a 44,200 square foot casino, including over 800 slot and table-gaming units, a 740 room hotel and 19,000 square feet of meeting and event space. The property features nine restaurants, nightlife venues and amenities, such as an outdoor pool.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Reno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Harrah’s Reno is a hotel and casino resort located in Reno, Nevada. It consists of a 40,200 square foot casino, including over 650 slot and table-gaming units, a 930 room hotel and 21,765 square feet of meeting and event space. The property features six restaurants, nightlife venues and amenities, such as a spa and salon and an outdoor pool.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Philadelphia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Bally’s Atlantic City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Bally’s Atlantic City is a hotel and casino resort located along the Boardwalk in Atlantic City, New Jersey. It was opened in 1979 and consists of a 121,624 square foot casino, including over 1,900 slot and table-gaming units, a 1,251 room hotel, 63,589 square feet of convention center space, eight restaurants, four lounges and bars, shopping venues and a spa with indoor pool.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Caesars Atlantic City is a hotel and casino resort located in Atlantic City, New Jersey. It was opened in 1979 and consists of an 115,225 square foot casino, including over 1,900 slot and table-gaming units, a 1,141 room hotel, 28,590 square feet of convention center space, a 1,100 seat concert venue, a 10,000 square foot multi-level nightclub, over 15 lounges and bars, a spa and an indoor/outdoor rooftop pool. The property also features 15 restaurants and shopping and entertainment venues and amenities.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Chicago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Joliet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Harrah’s Joliet is a hotel and casino resort located in the Chicagoland area of Illinois owned by a joint venture of which VICI PropCo is the 80% owner and managing member. It consists of a 39,000 square foot casino, including over 1,000 slots and table-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908" w:right="239" w:bottom="1440" w:gutter="0" w:footer="0" w:header="0"/>
        </w:sectPr>
      </w:pPr>
    </w:p>
    <w:bookmarkStart w:id="14" w:name="page15"/>
    <w:bookmarkEnd w:id="14"/>
    <w:p>
      <w:pPr>
        <w:ind w:right="1000"/>
        <w:spacing w:after="0" w:line="438" w:lineRule="auto"/>
        <w:rPr>
          <w:sz w:val="20"/>
          <w:szCs w:val="20"/>
          <w:color w:val="auto"/>
        </w:rPr>
      </w:pPr>
      <w:r>
        <w:rPr>
          <w:rFonts w:ascii="Arial" w:cs="Arial" w:eastAsia="Arial" w:hAnsi="Arial"/>
          <w:sz w:val="18"/>
          <w:szCs w:val="18"/>
          <w:color w:val="auto"/>
        </w:rPr>
        <w:t xml:space="preserve">gaming units, a 200 room hotel, four restaurants and 6,110 square feet of meeting and event space. The property also features nightlife offerings. </w:t>
      </w:r>
      <w:r>
        <w:rPr>
          <w:rFonts w:ascii="Arial" w:cs="Arial" w:eastAsia="Arial" w:hAnsi="Arial"/>
          <w:sz w:val="18"/>
          <w:szCs w:val="18"/>
          <w:i w:val="1"/>
          <w:iCs w:val="1"/>
          <w:color w:val="auto"/>
        </w:rPr>
        <w:t>Horseshoe Hammond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Horseshoe Hammond is a casino resort located in Hammond, Indiana. It consists of a 121,479 square foot casino, including over 2,600 slot and table-gaming units and a 2,500 seat concert venue. The property features seven restaurants as well as nightlife offerings.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Dallas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Louisiana Downs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Louisiana Downs is a “racino” located in Bossier City, Louisiana. It consists of a 12,000 square foot casino, including over 800 slot units and a race track.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property features five casual restaurants and three bars onsite.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Bossier City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Horseshoe Bossier City is a hotel and casino resort located in Bossier City, Louisiana. It consists of a 28,100 square foot casino, including over 1,400 slot and table-gaming units, a 604 room hotel and 21,594 square feet of meeting and event space. The property features seven restaurants, nightlife venues and amenities, such as a spa and an outdoor pool, and is adjacent to the Louisiana Boardwalk outlets.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Kansas City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North Kansas City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Harrah’s North Kansas City is a hotel and casino resort located in North Kansas City, Missouri. It consists of a 60,100 square foot casino, including over 1,300 slot and table-gaming units, a 390 room hotel and 12,800 square feet of meeting and event space. The property features four restaurants as well as nightlife venues.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Memphis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Tunica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Horseshoe Tunica is a hotel and casino resort located in Robinsonville, Mississippi. It consists of a 63,000 square foot casino, including nearly 1,200 slot and table-gaming units, a 505 room hotel and 2,079 square feet of meeting and event space. The property features six restaurants and entertainment venues and amenities, such as a spa and outdoor pool.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Tunica Roadhouse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Tunica Roadhouse is a hotel and casino resort located in Tunica Resorts, Mississippi. It consists of a 33,000 square foot casino, including over 700 slot and table-gaming units, a 130 room hotel and 10,200 square feet of meeting and event space. The property features entertainment venues and amenities, such as a spa and outdoor pool.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Omaha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Council Bluffs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Harrah’s Council Bluffs is a hotel and casino resort located in Council Bluffs, Iowa, across the Missouri River from Omaha, Nebraska. It consists of a 25,000 square foot casino, including over 500 slot and table gaming units, a 250 room hotel, three restaurants and 5,731 square feet of meeting and event space. The property also features nightlife offerings.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Council Bluffs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Horseshoe Council Bluffs is a casino resort located in Council Bluffs, Iowa. It consists of a 78,800 square foot casino, including over 1,400 slot and table-gaming units. The property features three restaurants as well as nightlife offerings.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Nashville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Metropolis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Harrah’s Metropolis is a hotel and casino resort located in Metropolis, Illinois. It consists of a 23,669 square foot casino, including over 850 slot and table-gaming units and a 260 room hotel. The property features three restaurants as well as nightlife offerings.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Orleans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Harrah’s Gulf Coast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Harrah’s Gulf Coast is a hotel and casino resort located in Biloxi, Mississippi, which replaced the former Grand Casino Biloxi which was destroyed by Hurricane Katrina. It was opened in 2006 and consists of a 31,300 square foot casino, including over 500 slot and table-gaming units and a 500 room hotel. The property features five restaurants, a 16,000 square foot spa and salon and an outdoor pool. The Great Lawn, a festival-style green space, features a 10.5 acre outdoor concert space along the waterfront. The resort also has access via the Golf Course Use Agreement, to the Grand Bear Golf Course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Louisville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Bluegrass Downs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Bluegrass Downs is a live harness horse racing track located in Paducah, Kentucky.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Horseshoe Southern Indiana</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Horseshoe Southern Indiana is a hotel and casino resort located in Elizabeth, Indiana. It consists of an 86,600 square foot casino, including over 1,700 slot and table-gaming units, a 503 room hotel and 24,000 square feet of convention center space. The property features eight restaurants and entertainment venues and amenities, such as a spa and local golf course.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and operate four golf courses, located near some of our properties, two of which are close to Caesars Palace and Harrah’s Las Vegas. Cascata was built in 2000 by golf course architect Rees Jones. It is located southeast of Las Vegas, in Boulder City, Nevada, approximately 25 miles from the Strip, and includes a clubhouse with a restaurant, golf shop, and event space. Rio Secco, designed by Rees Jones, opened in 1997 and is located in the south Las Vegas foothills, in Henderson, Nevada, approximately 14 miles from the Strip. The course operates the Butch Harmon School of Golf and includes a clubhouse with a restaurant, golf shop and event space.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Chariot Run is a Bill Bergin-designed, equestrian-themed, bent-grass course. It opened in 2002 and is located 12 miles from the Horseshoe Southern Indiana Casino. The course includes a clubhouse with a dining room, pro shop and event space. Grand Bear is an 18-hole course set over 650 acres of rolling land in the piney woods of the DeSoto National Forest. The course, designed by Jack Nicklaus, is considered one of the top courses in the Southern United States and is a short drive from the Harrah’s Gulf Coast casino. The course includes a clubhouse with a restaurant and golf shop.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the accompanying consolidated financial statements and notes thereto included elsewhere in this Annual Report on Form 10-K for financial information about the Company's reportable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for real property investments with other REITs, gaming companies, investment companies, private equity and hedge fund investors, sovereign funds, lenders and other investors. In addition, revenues from our properties are dependent on the ability of our tenants, currently subsidiaries of Caesars, and operators to compete with other gaming operators. The operators of our properties compete on a local and regional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and other forms of gaming in the United States.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7"/>
          <w:szCs w:val="17"/>
          <w:color w:val="auto"/>
        </w:rPr>
        <w:t>As a landlord, we compete in the real estate market with numerous developers and owners of properties. Some of our competitors are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availability of investment alternatives, availability and cost of capital, construction and renovation costs, existing laws and regulations, new legislation and population trends.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140 employees were employed by us at December 31, 2017. These employees are employed either at our Operating Partnership or at our taxable REIT subsidiary, VICI Golf LLC (“VICI Golf”) or their respective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Licensing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12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arms-length transactions.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and regulations impact our business in two respects: (1) our ownership of land and buildings in which gaming activities are operated by subsidiaries of Caesars (or other tenants) pursuant to the Lease Agreements (or other lease agreements); and (2) the operations of subsidiaries of Caesars (or other tenants). Further, many gaming and racing regulatory agencies in the jurisdictions in which our tenants operate require us and our affiliates to apply for and maintain a license as a key business entity or supplier because of our status as landlord.</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businesses and the business of Caesars (or other tenants) are also subject to various Federal, state and local laws and regulations in addition to gaming regulations. These laws and regulations include, but are not limited to, restrictions and conditions concerning alcoholic beverages, environmental matters, employees,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Violations of Gaming Laws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our subsidiaries or the tenants of our properties violate applicable gaming laws, our gaming licenses could be 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our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Review and Approval of Transactions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material loans, leases, sales of securities and similar financing transactions by us and our 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Lease Agreements require the tenants to maintain, with financially sound and reputable insurance companies (and in certain cases subject to the right of the tenants to self-insure), insurance (subject to customary deductibles and retentions) in such amounts and against such risks as are customarily maintained by similarly situated companies engaged in the same or similar businesses operating in the same or similar locations. The Lease Agreements provide that the amount and type of insurance that the tenants have in effect as of the commencement of the leases will satisfy for all purposes the requirements to insure the properties. However, such insurance coverage may not be sufficient to fully cover our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its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U.S.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ownership of our current properties and any properties that we may acquire in the future,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the properties within our portfolio are currently operated and promoted under trademarks and brand names not owned by us, including Caesars Palace, Horseshoe, Harrah’s and Bally’s. In addition, properties that we may acquire in the future may be operated and promoted under these same trademarks and brand names, or under different trademarks and brand names we do not, or will not, own. During the term that our properties are managed by Caesars, we are reliant on Caesars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or management, it could have a material adverse effect on us, as we may not enjoy comparable recognition or status under a new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5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Investment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Real Estate or Interests in Real Estate</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focused primarily on gaming and leisure sector properties and activities directly related thereto. We own 20 market-leading properties and own and operate four golf courses. We believe there are potential opportunities to acquire additional gaming, hospitality and entertainment destinations. Our future investment activities will not be limited to any geographic area or to a specific percentage of our assets. We intend to engage in such future investment activities in a manner that is consistent with our qualification as a REIT for U.S. Federal income tax purposes.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our Operating Partnership.</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Real Estate Mortgages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do not presently intend to invest in mortgages or deeds of trust, other than in a manner that is ancillary to an equity investment, we may elect, in our discretion, to invest in mortgages and other types of real estate interests, including, without limitation, participating or convertible mortgages; provided, in each case, that such investment is consistent with our qualification as a REIT. Investments in real estate mortgages run the risk that one or more borrowers may default under certain mortgages and that the collateral securing certain mortgages may not be sufficient to enable us to recoup our full investment.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of or Interests in Persons Primarily Engaged in Real Estate Activities and Other Issuers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Subject to the asset tests and gross income tests necessary for REIT qualification, we may invest in securities of other REITs, other entities engaged in real estate activities or securities of other issuers, including for the purpose of exercising control over such entities.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Other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Other than as described above, we do not intend to invest in any additional securities of third parties, such as bonds, preferred stocks or common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Policies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employ leverage in our capital structure in amounts that we determine appropriate from time to time. Our board of directors has not adopted a policy which limits the total amount of indebtedness that we may incur, but will consider a number of factors in evaluating our level of indebtedness from time to time, as well as the amount of such indebtedness that will be either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58" w:right="239" w:bottom="1440" w:gutter="0" w:footer="0" w:header="0"/>
        </w:sectPr>
      </w:pPr>
    </w:p>
    <w:bookmarkStart w:id="19" w:name="page20"/>
    <w:bookmarkEnd w:id="19"/>
    <w:p>
      <w:pPr>
        <w:jc w:val="both"/>
        <w:spacing w:after="0" w:line="289" w:lineRule="auto"/>
        <w:rPr>
          <w:sz w:val="20"/>
          <w:szCs w:val="20"/>
          <w:color w:val="auto"/>
        </w:rPr>
      </w:pPr>
      <w:r>
        <w:rPr>
          <w:rFonts w:ascii="Arial" w:cs="Arial" w:eastAsia="Arial" w:hAnsi="Arial"/>
          <w:sz w:val="16"/>
          <w:szCs w:val="16"/>
          <w:color w:val="auto"/>
        </w:rPr>
        <w:t>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the VICI PropCo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its creditors as part of the Third Amended Joint Plan of Reorganization of Caesars Entertainment Operating Company, Inc. et. al. (the “Plan of Reorganization”) confirmed by the United States Bankruptcy Court for the Northern District of Illinois (Chicago) (the “Bankruptcy Court”) on January 17, 2017. See Note 1—Business Formation and Basis of Presentation for more information regarding the formation transactions.</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principal executive offices are located at 8329 W. Sunset Road, Suite 210, Las Vegas, NV 89113 and our main telephone number at that location is (702) 820-3800.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Private Securities Litigation Reform Act of 1995.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85" w:lineRule="exact"/>
        <w:rPr>
          <w:sz w:val="20"/>
          <w:szCs w:val="20"/>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subsidiaries of Caesars as tenant of all of our properties and Caesars or its subsidiaries as guarantor of the lease payments and the consequences any material adverse effect on their business could have on us;</w:t>
      </w:r>
    </w:p>
    <w:p>
      <w:pPr>
        <w:spacing w:after="0" w:line="116"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171" w:lineRule="exact"/>
        <w:rPr>
          <w:rFonts w:ascii="Arial" w:cs="Arial" w:eastAsia="Arial" w:hAnsi="Arial"/>
          <w:sz w:val="18"/>
          <w:szCs w:val="18"/>
          <w:color w:val="auto"/>
        </w:rPr>
      </w:pPr>
    </w:p>
    <w:p>
      <w:pPr>
        <w:jc w:val="both"/>
        <w:ind w:left="1100" w:hanging="444"/>
        <w:spacing w:after="0" w:line="264"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 level U.S. Federal income taxes;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908" w:right="239" w:bottom="1440" w:gutter="0" w:footer="0" w:header="0"/>
        </w:sectPr>
      </w:pPr>
    </w:p>
    <w:bookmarkStart w:id="20" w:name="page21"/>
    <w:bookmarkEnd w:id="20"/>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possibility that the tenants may choose not to renew the Lease Agreements following the initial or subsequent terms of the leases;</w:t>
      </w:r>
    </w:p>
    <w:p>
      <w:pPr>
        <w:spacing w:after="0" w:line="182" w:lineRule="exact"/>
        <w:rPr>
          <w:rFonts w:ascii="Arial" w:cs="Arial" w:eastAsia="Arial" w:hAnsi="Arial"/>
          <w:sz w:val="17"/>
          <w:szCs w:val="17"/>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amount of indebtedness and ability to service and refinance such indebtedness;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our future results of operations and financial condition;</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achieve the expected benefits from operating as a company independent of Caesars;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on our operational and financial flexibility imposed by our debt agreements;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our separation from Caesars fails to qualify as a tax-free spin-off, which could subject us to significant tax liabilities;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possibility of foreclosure on our properties if we are unable to meet required debt service payments;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 rise in interest rates on us;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of, additional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natural disasters or terrorism on our properties;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71"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operate as a stand-alone company;</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qualify or maintain our qualification for taxation as a REIT;</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distributions received from the Operating Partnership to make distributions to our stockholders due to our being a holding company;</w:t>
      </w:r>
    </w:p>
    <w:p>
      <w:pPr>
        <w:spacing w:after="0" w:line="116" w:lineRule="exact"/>
        <w:rPr>
          <w:rFonts w:ascii="Arial" w:cs="Arial" w:eastAsia="Arial" w:hAnsi="Arial"/>
          <w:sz w:val="18"/>
          <w:szCs w:val="18"/>
          <w:color w:val="auto"/>
        </w:rPr>
      </w:pPr>
    </w:p>
    <w:p>
      <w:pPr>
        <w:ind w:left="1100" w:hanging="444"/>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team’s limited experience operating as a company that intends to qualify for taxation as a REIT;</w:t>
      </w:r>
    </w:p>
    <w:p>
      <w:pPr>
        <w:spacing w:after="0" w:line="171"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for acquisition opportunities from other REITs and gaming companies that may have greater resources and access to capital and a lower cost of capital than us; and</w:t>
      </w:r>
    </w:p>
    <w:p>
      <w:pPr>
        <w:spacing w:after="0" w:line="116" w:lineRule="exact"/>
        <w:rPr>
          <w:rFonts w:ascii="Arial" w:cs="Arial" w:eastAsia="Arial" w:hAnsi="Arial"/>
          <w:sz w:val="18"/>
          <w:szCs w:val="18"/>
          <w:color w:val="auto"/>
        </w:rPr>
      </w:pPr>
    </w:p>
    <w:p>
      <w:pPr>
        <w:ind w:left="1100" w:hanging="444"/>
        <w:spacing w:after="0" w:line="308"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additional factors discussed herein under “Risk Factors” and listed from time to time in our filings with the Securities and Exchange Commission (the “SEC”), including without limitation, in our subsequent reports on Form 10-K, Form 10-Q and Form 8-K.</w:t>
      </w:r>
    </w:p>
    <w:p>
      <w:pPr>
        <w:spacing w:after="0" w:line="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of the assumptions underlying forward-looking statements could be inaccurate. You are cautioned not to place undue reliance on any forward-looking statements. All forward-looking statements are made as of the date of this Annual Report on 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54" w:right="239" w:bottom="1440" w:gutter="0" w:footer="0" w:header="0"/>
        </w:sectPr>
      </w:pPr>
    </w:p>
    <w:bookmarkStart w:id="21" w:name="page22"/>
    <w:bookmarkEnd w:id="21"/>
    <w:p>
      <w:pPr>
        <w:spacing w:after="0"/>
        <w:tabs>
          <w:tab w:leader="none" w:pos="10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ind w:left="80" w:firstLine="324"/>
        <w:spacing w:after="0" w:line="255" w:lineRule="auto"/>
        <w:rPr>
          <w:sz w:val="20"/>
          <w:szCs w:val="20"/>
          <w:color w:val="auto"/>
        </w:rPr>
      </w:pPr>
      <w:r>
        <w:rPr>
          <w:rFonts w:ascii="Arial" w:cs="Arial" w:eastAsia="Arial" w:hAnsi="Arial"/>
          <w:sz w:val="18"/>
          <w:szCs w:val="18"/>
          <w:i w:val="1"/>
          <w:iCs w:val="1"/>
          <w:color w:val="231F20"/>
        </w:rPr>
        <w:t xml:space="preserve">You should </w:t>
      </w:r>
      <w:r>
        <w:rPr>
          <w:rFonts w:ascii="Arial" w:cs="Arial" w:eastAsia="Arial" w:hAnsi="Arial"/>
          <w:sz w:val="18"/>
          <w:szCs w:val="18"/>
          <w:i w:val="1"/>
          <w:iCs w:val="1"/>
          <w:color w:val="000000"/>
        </w:rPr>
        <w:t>be aware that the occurrence of any of the events described in this section and elsewhere in this report or in any other of our filings with the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SEC 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8"/>
          <w:szCs w:val="18"/>
          <w:i w:val="1"/>
          <w:iCs w:val="1"/>
          <w:color w:val="231F20"/>
        </w:rPr>
        <w:t>The risks and uncertainties described below are not the only ones we face, but do represent those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Caesars for the foreseeable future, and an event that has a material adverse effect on Caesars’ business, financial condition, liquidity, results of operations or prospects would have a material adverse effect on our business, financial condition, liquidity, results of operations and prospects.</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Subsidiaries of Caesars are the lessees of all of our properties pursuant to the Lease Agreements and Caesars or CRC guarantees the obligations of the applicable tenants under the Lease Agreements. The Lease Agreements account for a significant majority of all of our revenues. Additionally, because the Lease Agreements are triple-net leases, we depend on the tenants to pay all insurance, taxes, utilities, and maintenance and repair expenses in connection with these leased properties and to indemnify, defend, and hold us harmless from and against various claims, litigation, and liabilities arising in connection with our businesses. See “Business.” There can be no assurance that the tenants will have sufficient assets, income, and access to financing to enable them to satisfy their payment obligations on account of the Lease Agreements, or that Caesars or its CRC will be able to satisfy its guarantee of the applicable tenant’s obligations under the Lease Agreements. The tenants and the applicable guarantor rely on the properties they or their subsidiaries own and/or operate for income to satisfy their obligations, including their debt service requirements and lease payments due to us under the Lease Agreements and the guarantees. If income from these properties were to decline for any reason, if any tenant’s or the applicable guarantor or their subsidiaries’ debt service requirements were to increase (whether due to an increase in interest rates or otherwise), or if Caesars’ subsidiaries were prevented from making distributions to Caesars or CRC (whether due to restrictions in their financing arrangements or otherwise), a tenant may become unable or unwilling to satisfy its payment obligations under the Lease Agreements and the applicable guarantor may become unable or unwilling to make payments under its guarantee of the Lease Agreements.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inability or unwillingness of a tenant or the applicable guarantor to meet their rent and other obligations to us under the Lease Agreements and the related guarantee would materially and adversely affect our business, financial condition, liquidity, results of operations and prospects, including our ability to make distributions to our stockholders as required to maintain our status as a REIT. For these reasons, if any tenant and/or the applicable guarantor were to experience a material adverse effect on its business, financial condition, liquidity, results of operations or prospects, we would also be materially and adversely affected.</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due to our dependence on rental payments from Caesars as a primary source of revenues, we may be limited in our ability to enforce our rights under the Lease Agreements or to terminate the applicable lease with respect to a particular property. Failure by the tenants to comply with the terms of the Lease Agreements or to comply with the gaming regulations to which the leased properties are subject could require us to find another lessee for such leased property, to the extent possible, and there could be a decrease or cessation of rental payments by the tenants. In such event, we may be unable to locate a suitable, credit-worthy lessee at similar rental rates or at all, which could have a material and adverse effect on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a concentrated portion of our revenues are generated from the Strip, we are subject to greater risks than a company that is more geographically diversified.</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properties on the Las Vegas Strip generated approximately 27.8% of our lease revenue for the period from October 6, 2017 to December 31, 2017. Therefore, our business may be significantly affected by risks common to the Las Vegas tourism industry. For example, the cost and availability of air services and the impact of any events that disrupt air travel to and from Las Vegas can adversely affect the business of our tenants. We cannot control the number or frequency of flights to or from Las Vegas, but the tenants rely on air traffic for a significant portion of their visitors. Reductions in flights by major airlines as a result of higher fuel prices or lower demand can impact the number of visitors to our properties. Additionally, there is one principal interstate highway between Las Vegas and Southern California, where a large number of the customers that frequent our properties reside. Capacity constraints of that highway or any other traffic disruptions may also affect the number of customers who visit our facilities. Moreover, due to the importance of our two properties on the Strip, we may be disproportionately affected by general risks such</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63"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as acts of terrorism, natural disasters, including major fires, floods and earthquakes, and severe or inclement weather, should such developments occur in or nearby Las Vegas.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Caesars and its subsidiaries are party to certain leasing and financial commitments with us, which may have a negative impact on Caesars’ business and operating condition.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Caesars and/or its subsidiaries entered into certain leasing and financial commitments, evidenced by agreements, with us. See “Business—Our Relationship with Caesars” for additional information regarding such agreements.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Caesars is obligated to pay us in the aggregate approximately $735.3 million in fixed annual rents and golf course membership fees for each of the first seven years, subject to certain escalators and adjustments. If Caesars’ businesses and properties fail to generate sufficient earnings, the applicable tenants, Caesars and/or CRC may be unable to satisfy their respective obligations under the Lease Agreements or the related guarantees, respectively. Additionally, these obligations may limit their ability to make investments to maintain and grow their portfolio of businesses and properties, which may adversely affect their competitiveness and ability to satisfy their obligations to us. See “—We are dependent on Caesars for the foreseeable future, and an event that has a material adverse effect on Caesars’ business, financial condition, liquidity results of operations or prospects would have a material adverse effect on our business, financial condition, liquidity, results of operations and prospects” above.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Subsidiaries of Caesars are required to pay a significant portion of their cash flow from operations to us pursuant to, and subject to the terms and conditions of, the Lease Agreements, which could adversely affect Caesars’ ability to fund their operations or development projects, raise capital, make acquisitions, and otherwise respond to competitive and economic changes and its ability to satisfy its payment obligations to us under the Lease Agreements and the related guarantees.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Subsidiaries of Caesars are required to pay a significant portion of their cash flow from operations to us pursuant to, and subject to the terms and conditions of, the Lease Agreements. See “Business—Our Relationship with Caesars.” As a result of this commitment, Caesars’ ability to fund its operations or development projects, raise capital, make acquisitions and otherwise respond to competitive and economic changes may be adversely affected, which could adversely affect the ability of the applicable tenants to satisfy their obligations to us under the Lease Agreements and the ability of Caesars and/or CRC to satisfy their respective obligations to us under the related guarantees.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annual rent escalations under the Lease Agreements will continue to apply regardless of the amount of cash flows generated by the properties that are subject to the Lease Agreements. Accordingly, if the cash flows generated by such properties decrease, or do not increase at the same rate as the rent escalations, the rents payable under the Lease Agreements will comprise a higher percentage of the cash flows generated by the subsidiaries of Caesars, which could make it more difficult for the applicable subsidiaries to make their payment obligations to us under the Lease Agreements and ultimately could adversely affect Caesars’ and/or CRC’s ability to satisfy their respective obligations to us under the related guarantees.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Caesars’ substantial indebtedness and the fact that a significant portion of its cash flow is used to make interest payments could adversely affect its ability to satisfy its obligations under the Lease Agreements.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disclosed in its Annual Report on Form 10-K for the year ended December 31, 2017, Caesars’ consolidated estimated debt service (including principal and interest) for 2018 will be $504 million and $11.8 billion thereafter to maturity. On October 16, 2017, two wholly-owned subsidiaries of Caesars issued $1.7 billion aggregate principal amount of 5.25% senior notes due 2025; on or about December 22, 2017, the proceeds of the senior notes were released from escrow, and CRC assumed the obligations of one of the original issuer entities pursuant to a supplement to the original indenture governing the senior notes. On December 22, 2017, CRC entered into new $5.7 billion senior secured credit facilities, comprised of a $1 billion revolving credit facility maturing in 2022 and a $4.7 billion first lien term loan facility maturing in 2024, which amortizes at 0.25% per quarter. As a result, a significant portion of Caesars’ liquidity needs are for debt service, including significant interest payments. Such substantial indebtedness and the restrictive covenants under the agreements governing such indebtedness could limit the ability of the applicable tenants to satisfy their obligations to us under the Lease Agreements and the ability of Caesars’ and/or CRC to satisfy their respective obligations under the related guarantees.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gaming industry and may be susceptible to the risks associated with it, which could materially and adversely affect our business, financial condition, liquidity, results of operations and prospects.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the landlord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As we are subject to risks inherent in substantial investments in a single industry, a decrease in the gaming business would likely have a greater adverse effect on us than if we owned a more diversified real estate portfolio, particularly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color w:val="auto"/>
        </w:rPr>
        <w:t>because a component of the rent under the Lease Agreements will be based, over time, on the performance of the gaming facilities operated by Caesars on our properties and such effect could be material and adverse to our business, financial condition, liquidity, results of operations and prospects.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gaming industry is characterized by a high degree of competition among a large number of participants, including riverboat casinos, dockside casinos, land-based casinos, video lottery, sweepstakes and poker machines not located in casinos, Native American gaming, internet lotteries and other internet wagering gaming services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 upgrading or expansion of facilities by existing market participants, the entrance of new gaming participants into a market or legislative changes. As competing properties and new markets are opened, we may be negatively impacted. Additionally, decreases in discretionary consumer spending brought about by weakened general economic conditions such as, but not limited to, lackluster recoveries from recessions, high unemployment levels, higher income taxes, low levels of consumer confidence, weakness in the housing market, cultural and demographic changes and increased stock market volatility may negatively impact our revenues and operating cash flows.</w:t>
      </w:r>
    </w:p>
    <w:p>
      <w:pPr>
        <w:spacing w:after="0" w:line="12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ownership, operation, and management of gaming and racing facilities are subject to pervasive regulation.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key business entity or supplier because of our status as landlord. Gaming authorities also retain great discretion to require us to be found suitable as a landlord, and certain of our stockholders, officers and directors may be required to be found suitable as well.</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many jurisdictions, gaming laws can require certain of our stockholders to file an application, be investigated, and qualify or have his, her or its suitability determined by gaming authorities. Gaming authorities have very broad discretion in determining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w:t>
      </w:r>
    </w:p>
    <w:p>
      <w:pPr>
        <w:spacing w:after="0" w:line="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that person any distribution or interest upon any of our voting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or her voting securities, including, if necessary, the immediate purchase of the voting securities for cash at fair market value.</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jurisdictions also require any person who acquires beneficial ownership of more than a certain percentage of voting securities of a gaming company and, in some jurisdictions, non-voting securities, typically 5% of a publicly-traded company, to report the acquisition to gaming authorities, and gaming authorities may require such holders to apply for qualification, licensure or a finding of suitability, subject to limited exceptions for “institutional investors” that hold a company’s voting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Some jurisdictions may also limit the number of gaming licenses in which a person may hold an ownership or a controlling interest.</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our directors, officers, key employees and investors in our shares must meet approval standards of certain gaming regulatory authorities.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308" w:lineRule="auto"/>
        <w:rPr>
          <w:sz w:val="20"/>
          <w:szCs w:val="20"/>
          <w:color w:val="auto"/>
        </w:rPr>
      </w:pPr>
      <w:r>
        <w:rPr>
          <w:rFonts w:ascii="Arial" w:cs="Arial" w:eastAsia="Arial" w:hAnsi="Arial"/>
          <w:sz w:val="17"/>
          <w:szCs w:val="17"/>
          <w:color w:val="auto"/>
        </w:rPr>
        <w:t>Additionally, the loss of our gaming licenses could result in an event of default under our certain of our indebtedness, and cross-default provisions in our debt agreements could cause an event of default under one debt agreement to trigger an event of default under our other debt agreements.</w:t>
      </w:r>
    </w:p>
    <w:p>
      <w:pPr>
        <w:spacing w:after="0" w:line="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Finally, substantially all material loans, significant acquisitions, leases, sales of securities and similar financing transactions by us and our subsidiaries must be reported to, and in some cases approved by, gaming authorities in advance of the transaction. Neither we nor any of our subsidiaries may make a public offering of securities without the prior approval of certain gaming authorities.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control of us or one of our subsidiaries (and certain of our affiliates) and/or require the entities to divest such control.</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Required regulatory approvals can delay or prohibit transfers of our gaming properties, which could result in periods in which we are unable to receive rent for such properties and have a material adverse effect on our business, financial condition, liquidity, results of operations and prospects.</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tenants are (and any future tenants of our gaming properties will be) required to be licensed under applicable law in order to operate any of our properties as gaming facilities. If the Lease Agreements, or any future lease agreements we will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may choose not to renew the Lease Agreements.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Lease Agreements each have an initial lease term of 15 years with the potential to extend the term for up to four additional five-year terms thereafter, provided that for certain facilities the aggregate lease term, including renewals, is cutback to the extent it would otherwise exceed 80% of the remaining useful life of the applicable leased property, solely at the option of the tenants. At the expiration of the initial lease term or of any additional renewal term thereafter, a tenant may choose not to renew the Lease Agreements. If the Lease Agreements expire without renewal and we are not able to find suitable, credit-worthy tenants to replace a tenant on the same or more attractive terms, our business, financial condition, liquidity, results of operations and prospects may be materially and adversely affected, including our ability to make distributions to our stockholders at the then current level, or at all. This risk would be exacerbated if Caesars determined not to renew, or was prohibited from renewing due to the remaining useful life of the leased property, all Lease Agreements at any one time.</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Net leases may not result in fair market lease rates over time, which could negatively impact our results of operations and cash flows and reduce the amount of funds available to make distributions to stockholders.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rental revenue is generated from the Lease Agreements, which are triple-net leases, and provide greater flexibility to the respective tenants related to the use of the applicable leased property than would be the case with ordinary property leases, such as the right to freely sublease portions of each leased property, to make alterations in the leased premises and to terminate the lease prior to its expiration under specified circumstances. Furthermore, net leases typically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a net lease.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Lease Agreements may restrict our ability to sell the properties.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sell or dispose of our properties may be hindered by the fact that such properties are subject to the Lease Agreements, as the terms of the Lease Agreements require that a purchaser assume the Lease Agreements or enter into a severance lease with the tenants for the sold property on substantially the same terms as contained in the applicable Lease Agreement, which may make our properties less attractive to a potential buyer than alternative properties that may be for sale.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Most of the properties within our portfolio are currently operated and promoted under trademarks and brand names not owned by us, including Caesars Palace, Horseshoe, Harrah’s and Bally’s. In addition, properties that we may acquire in the future may be operated and promoted under these same trademarks and brand names, or under different trademarks and brand names we do not, or will not, own. During the term that our properties are managed by Caesars, we will be reliant on Caesars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we may not enjoy comparable recognition or status under a new brand. A transition of management away from a Caesars entity could also have a material adverse effect on our business, financial condition, liquidity, results of operations and prospects.</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A substantial portion of our cash is used to satisfy our debt service obligations and our distribution obligations to maintain our status as a REIT and avoid or otherwise minimize current entity level U.S. Federal income taxes, which may expose us to interest rate fluctuation risk, expose us to the risk of default under our debt obligations and limit our ability to pursue our business and growth strategies.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substantial debt service obligations. As of December 31, 2017, we had approximately $4.817 billion of outstanding indebtedness under our Term B Loan Facility, Revolving Credit Facility, CPLV CMBS Debt, and Second Lien Notes requiring us to make annual debt service payments of approximately $249.3 million in 2018.</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indebtedness is collateralized by substantially all of our properties. 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4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may be forced to dispose of one or more of our properties if permitted under the Lease Agreements, possibly on disadvantageous terms at a loss;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comply with the payment and restrictive covenants in our loan documents, which would entitle the lenders to accelerate payment of outstanding loans and foreclose on any properties servicing such loans;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one of these events were to occur, our financial condition, results of operations, cash flows, the market price of our common stock and our ability to satisfy our debt service obligations and to pay distributions to our stockholders could be materially and adversely affected. In addition, the foreclosure on our properties could create taxable income without accompanying cash proceeds, which could result in entity level taxes to us or could adversely affect our ability to meet the distribution requirements necessary to qualify or maintain qualification as a REIT.</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Because of the limitations on the amount of cash available to us after satisfying our debt service obligations and our distribution obligations to maintain our status as a REIT and avoid or otherwise minimize current entity- level U.S. Federal income taxes, our ability to pursue our business and growth strategies will be limited.</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mechanic’s liens or similar liens incurred by the tenants under the Lease Agreements may attach to, and constitute liens on, our interests in the properties.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the extent the tenants under the Lease Agreements make any improvements, these improvements could cause mechanic’s liens or similar liens to attach to, and constitute liens on, our interests in the properties. To the extent that mechanic’s liens or similar liens are recorded against any of the properties or any properties we may acquire in the future, the holders of such mechanic’s liens or similar liens may enforce them by court action and courts may cause the applicable properties or future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or negative outlook may have a negative effect on our future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future capital needs and may not be able to obtain additional financing on acceptable terms.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incur additional indebtedness in the future to refinance our existing indebtedness or to finance newly acquired properties or for general corporate or other purposes. Any significant additional indebtedness could require a substantial portion of our cash flow to make interest and principal payments due on our indebtedness. Greater demands on our cash resources may reduce funds available to us to pay distributions, make capital expenditures and acquisitions, or carry out other aspects of our business and growth strategies. Increased indebtedness can also limit our ability to adjust rapidly to changing market conditions, make us more vulnerable to general adverse economic and industry conditions and create competitive disadvantages for us compared to other companies with relatively lower debt levels. Increased future debt service obligations may limit our operational and financial flexibility. Further, to the extent we were required to incur indebtedness, our future interest costs would increase, thereby reducing our earnings and cash flows from what they otherwise would have been.</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Moreover, our ability to obtain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obtain financing on favorable terms, if at all.</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Among other things, the absence of an investment grade credit rating or any credit rating downgrade or negative outlook could increase our financing costs and could limit our access to financing sources. If financing is not available when needed, or is available on unfavorable terms, we may be unable to pursue our business and growth strategies or otherwise take advantage of new business opportunities or respond to competitive pressures, any of which could have a material adverse effect on our business, financial condition, liquidity, results of operations and prospects. We may raise additional funds in the future through the issuance of equity securities and, as a result, our stockholders may experience significant dilution, which may adversely affect the market price of our common stock and make it more difficult for our stockholders to sell our shares at a time and price that they deem appropriate and could impair our future ability to raise capital through an offering of our equity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refinance our indebtedness as it becomes due depends on many factors, some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refinance our existing indebtedness and any future indebtedness will depend, in part, on our current and projected financial condition, liquidity and results of operations and economic, financial, competitive, legislative, regulatory and other factors. Many of these factors are beyond our control. We cannot assure you that we will be able to refinance any of our indebtedness as it becomes due, on commercially reasonable terms or at all. If we are not able to refinance our indebtedness as it becomes due,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we will be obligated to pay such indebtedness with cash from our operations and we may not have sufficient cash to do so, which would have a material and adverse effect on us.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agreements governing our indebtedness contain customary covenants, including restrictions on our ability to grant liens on our assets, incur indebtedness, sell assets, make investments, engage in acquisitions, mergers or consolidations and pay certain dividends and other restricted payments. These covenants could impair our ability to pursue our business and growth strategies, take advantage of new business opportunities or successfully compete.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could elect to declare all outstanding debt under such agreements to be immediately due and payable. If we were unable to repay or refinance the accelerated debt, the lenders could proceed against any assets pledged to secure that debt, including foreclosing on or requiring the sale of our properties, and our assets may not be sufficient to repay such debt in full. Covenants that limit our operational flexibility as well as defaults under our debt instruments could have a material adverse effect on our business, financial condition, liquidity, results of operations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rise in interest rates may increase our overall interest rate expense and could adversely affect our stock price.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Revolving Credit Facility and Term Loan B Facility are subject to variable interest rates. A rise in interest rates may increase our overall interest rate expense and have an adverse impact on our ability to pay distributions to our stockholders. The risk presented by holding variable rate indebtedness can be managed or mitigated by utilizing interest rate protection products. However, there is no assurance that we will utilize any of these products or that such products will be available to us. In addition, in the event of a rise in interest rates, new debt, whether fixed or variable, is likely to be more expensive and we may be unable to replace maturing debt with new debt at equal or better interest rates.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the dividend yield on our common stock, as a percentage of the price of such common stock, will influence the market price of such common stock. Thus, an increase in market interest rates may lead prospective purchasers of our common stock to expect a higher dividend yield, which would adversely affect the market price of our common stock.</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not be able to purchase the properties subject to the Call Right Agreements, the Amended and Restated Right of First Refusal Agreement or the Put-Call Agreement if we are unable to obtain additional financing. In addition, we may be forced to dispose of Harrah’s Las Vegas to Caesars, possibly on disadvantageous terms.</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Call Right Agreements provide for our right for up to five years after the Formation Date to enter into binding agreements to purchase the real property interest and all improvements associated with the Option Properties from Caesars. The Put Call Agreement that we entered into with Caesars, among other things, provides us with the opportunity or the obligation to acquire the Eastside Convention Center Property and lease it back to Caesars. The Amended and Restated Right of First Refusal Agreement provides us the right, subject to certain exclusions, to (i) acquire (and lease to Caesars) any domestic gaming facilities located outside of the Gaming Enterprise District of Clark County, Nevada, proposed to be acquired or developed by Caesars, and (ii) acquire (and lease to Caesars) any of the properties that Caesars has recently agreed to acquire from Centaur Holdings, LLC, in each case, should Caesars determine to sell any such properties. In order to exercise these rights, we would likely be required to secure additional financing and our substantial level of indebtedness following the Formation Date or other factors could limit our ability to do so on attractive terms or at all. If we are unable to obtain financing on terms acceptable to us, we may not be able to exercise these rights and acquire these properties. Even if financing with acceptable terms is available to us, there can be no assurance that we will exercise any of these rights.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Put-Call Agreement, among other things, grants Caesars the right to sell to (and simultaneously lease back from) us the Eastside Convention Center Property. If Caesars exercises the right to sell to (and lease from) us the Eastside Convention Center Property and the transactions do not close for reasons other than a default by Caesars or a failure to obtain any required regulatory approvals, Caesars will have the right to acquire Harrah’s Las Vegas from us, all on and subject to the terms and conditions set forth in the Put-Call Agreement. In addition, the HLV Lease Agreement grants Caesars the right to purchase Harrah’s Las Vegas from us if we engage in certain transactions with entities deemed to be competitors of Caesars or if the landlord under the lease otherwise becomes a competitor of Caesars. The disposition of Harrah’s Las Vegas to Caesars pursuant to the Put-Call Agreement or the HLV Lease Agreement may be at disadvantageous terms and could have a material adverse effect on our business, financial condition, liquidity, results of operations and prospects.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08" w:right="2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tenant or guarantor could result in the termination of the Lease Agreements and the related guarantees and material losses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the tenants’ performance and payments under the Lease Agreements are guaranteed by Caesars or CRC, as the case may be, a default by the applicable tenant under the Lease Agreement, or by Caesars or CRC with regard to its guarantee, may cause a default under certain circumstances with regard to the entire portfolio covered by the Lease Agreements. In event of a bankruptcy, there can be no assurances that the tenants, Caesars or CRC would assume the Lease Agreements or the related guarantees, and if the Lease Agreements or guarantees were rejected, the tenant, Caesars or CRC, as applicable, may not have sufficient funds to pay the damages that would be owed to us a result of the rejection and we might not be able to find a replacement tenant on the same or better terms. Similarly, in the event of a bankruptcy of Caesars or CRC, any claim for damages under the guarantee may not be paid in full. For these and other reasons, the bankruptcy of one or more tenants, Caesars or CRC would have a material adverse effect on our business, financial condition, liquidity, results of operations and prospects.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pursuit of investments in, and acquisitions of, additional properties may be unsuccessful or fail to meet our expectations.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pursue acquisitions of additional properties and seek acquisitions and other strategic opportunities. Accordingly, we may often be engaged in evaluating potential transactions and other strategic alternatives. In addition, from time to time, we may engage in discussions that may result in one or more transactions. Although there is uncertainty that any of these discussions will result in definitive agreements or the completion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in combining our operations if such a transaction is completed.</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in a highly competitive industry and face competition from other REITs, investment companies, private equity and hedge fund investors, sovereign funds, lenders, gaming companies and other investors, some of whom are significantly larger and have greater resources, access to capital and lower costs of capital. Increased competition will make it more challenging to identify and successfully capitalize on acquisition opportunities that meet our investment objectives. If we cannot identify and purchase a sufficient quantity of gaming properties and other properties at favorable prices or if we are unable to finance acquisitions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Investments in and acquisitions of gaming properties and other properties we might seek to acquire entail risks associated with real estate investments generally, including that the investment’s performance will fail to meet expectations, that the cost estimates for necessary property improvements will prove inaccurate or the operator or manager will underperform. Real estate development projects present other risks, including construction delays or cost overruns that increase expenses, the inability to obtain required zoning, occupancy and other governmental approvals and permits on a timely basis, and the incurrence of significant development costs prior to completion of the project.</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 even if we were able to acquire additional properties in the future, there is no guarantee that such properties would be able to maintain their historical performance. In addition, our financing of these acquisitions could negatively impact our cash flows and liquidity, require us to incur substantial debt or involve the issuance of substantial new equity, which would be dilutive to existing stockholders. We have a substantial amount of indebtedness outstanding, which may affect our ability to pay distributions, may expose us to interest rate fluctuation risk and may expose us to the risk of default under our debt obligations. In addition, we cannot assure you that we will be successful in implementing our business and growth strategies or that any expansion will improve operating results. The failure to identify and acquire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after an evaluation of our portfolio of businesses. Such sales or divestitures would affect our costs, revenues, results of operations, financial condition and liquidity.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may evaluate our properties and may, as a result, sell or attempt to sell, divest, or spin-off different properties or assets, subject to the terms of the Lease Agreements. These sales or divestitures would affect our costs, revenues, results of operations, financial condition, liquidity and our ability to comply with financial covenants. Divestitures have inherent risks, including possible delays in closing transactions (including potential difficulties in obtaining regulatory approvals), the risk of lower-than-expected sales proceeds for the divested businesses, and potential post-closing claims for indemnification. In addition,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current economic conditions and relatively illiquid real estate markets may result in fewer potential bidders and unsuccessful sales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properties are subject to risks from natural disasters such as earthquakes, hurricanes, severe weather and terrorism.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properties are located in areas that may be subject to natural disasters, such as earthquakes, and extreme weather conditions, including, but not limited to, hurricanes.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financial results at our properties. Although the tenants are required to maintain both property and business interruption insurance coverage, such coverage is subject to deductibles and limits on maximum benefits, including limitation on the coverage period for business interruption, and we cannot assure you that we or the tenants will be able to fully insure such losses or fully collect, if at all, on claims resulting from such natural disasters. While the Lease Agreements require, and new lease agreements are expected to require, that comprehensive insurance and hazard insurance be maintained by the tenants,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w:t>
      </w:r>
    </w:p>
    <w:p>
      <w:pPr>
        <w:spacing w:after="0" w:line="11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Terrorist attacks or other acts of violence may result in declining economic activity, which could harm the demand for goods and services offered by our tenants and the value of our properties and might adversely affect the value of an investment in our common stock. Such a resulting decrease in retail demand could make it difficult for us to renew or re-lease our properties to suitable, credit-worthy tenants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is affected by future terrorist attacks or violence, its business similarly could be adversely affected, including the ability of our tenants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Lease Agreements, as applicable, allow the tenants to remove a property from the Non-CPLV Lease Agreement and to terminate the CPLV Lease Agreement, the Joliet Lease Agreement or the HLV Lease Agreement, as the case may be, during the final two years of the lease terms if the cost to rebuild or restore a property in connection with a casualty event exceeds 25% of total property fair market value. Similarly, if a condemnation event occurs that renders a facility unsuitable for its primary intended use, the applicable tenants may remove the property from the Non-CPLV Lease Agreement and may terminate the CPLV Lease Agreement, the Joliet Lease Agreement or the HLV Lease Agreement, as the case may be. If a property is removed from the Non-CPLV Lease Agreement or if the CPLV Lease Agreement, the Joliet Lease Agreement or the HLV Lease Agreement, as the case may be, is terminated, we will lose the rent associated with the related facility, which would have a negative impact on our financial results.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2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Changes in building and/or zoning laws may require us to update a property in the event of recapture or prevent us from fully restoring a property in the event of a substantial casualty loss and/or require us to meet additional or more stringent construction requirements.</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Due to changes, among other things, in applicable building and zoning laws, ordinances and codes that may affect certain of our properties that have come into effect after the initial construction of the properties, certain properties may not comply fully with current building and/or zoning laws, including electrical, fire, health and safety codes and regulations, use, lot coverage, parking and setback requirements, but may qualify as permitted non-conforming uses. Although the Lease Agreements require our tenants to pay for and ensure continued compliance with applicable law, there is no assurance that future leases will be negotiated on the same basis or that our tenants will make any changes required by the terms of the Lease Agreements and/or any future leases we may enter into. In addition, such changes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properties are subject to restrictions pursuant to reciprocal easement agreements, operating agreements or similar agreements.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the properties that we own are, and properties that we may acquire in the future may be, subject to use restrictions and/or operational requirements imposed pursuant to ground leases, restrictive covenants or conditions, reciprocal easement agreements or operating agreements or other instruments (collectively, “Property Restrictions”) that could, among other things, adversely affect our ability to lease space to third parties. Such Property Restrictions could include: limitations on alterations, changes, expansions, or reconfiguration of properties; limitations on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key personnel could have a material adverse effect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and ability to grow depends, in large part, upon the leadership and performance of our executive management team, particularly our chief executive officer, our president and chief operating officer, and our chief financial officer.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 The appointment of certain key members of our executive management team will be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cannot attract, retain and motivate employees, we may be unable to compete effectively and lose the ability to improve and expand our businesses.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success and ability to grow depend, in part, on our ability to hire, retain and motivate sufficient numbers of talented people with the increasingly diverse skills needed to serve clients and expand our business. We face intense competition for highly qualified, specialized technical, managerial, and consulting personnel. Recruiting, training, retention and benefit costs place significant demands on our resources. Additionally, CEOC’s bankruptcy proceedings and our recent formation may make recruiting executives to our business more difficult. The inability to attract qualified employees in sufficient numbers to meet particular demands or the loss of a significant number of our employees could have an adverse effect on us.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that, if adversely adjudicated or settled, could have a material adverse effect on our business, financial condition, liquidity, results of operations and prospects.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nature of our business subjects us to the risk of lawsuits related to matters incidental to our business filed by our tenants, customers, employees, competitors, business partners and others. As with all legal proceedings, no assurance can be provided as to the outcome of these matters and, in general, legal proceedings can be expensive and time consuming. We may not be successful in the defense or prosecution of these lawsuits, which could result in settlements or damages that could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an owner of real property, we are subject to various Federal, state and local environmental and health and safety laws and regulations. Although we do not operate or manage most of our properties,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under the Lease Agreements the tenants are required to indemnify us for certain environmental liabilities, including environmental liabilities it causes, the amount of such liabilities could exceed the financial ability of the applicable tenants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indemnify us. In addition, the presence of contamination or the failure to remediate contamination may adversely affect our ability to sell or lease our properties or to borrow using our properties as collateral.</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required to contribute insurance proceeds with respect to casualty events at our properties to the lenders under our debt financing agreements.</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we were to receive insurance proceeds with respect to a casualty event at any of our properties, we may be required under the terms of our debt financing agreements to contribute all or a portion of those proceeds to the repayment of such debt, which may prevent us from restoring such properties to their prior state. If the remainder of the proceeds (after any such required repayment) were insufficient to make the repairs necessary to restore the damaged properties to a condition substantially equivalent to its state immediately prior to the casualty, we may not have sufficient liquidity to otherwise fund these repairs and may be required to obtain additional financing, which could materially and adversely affect our business, financial condition, liquidity, results of operations and prospects.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an effective system of integrated internal controls, we may not be able to report our financial results accurately, which could have a material adverse effect on us.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reporting company, we are required to develop and implement substantial control systems, policies and procedures in order to qualify and maintain our qualification as a REIT and satisfy our periodic SEC reporting requirements. We cannot assure you that we will be able to successfully develop and implement these systems, policies and procedures and to operate our company or that any such development and implementation will be effective. Failure to do so could jeopardize our status as a REIT or as a reporting company, and the loss of such statuses would materially and adversely affect us. If we fail to develop, implement or maintain proper overall business controls, including as required to support our growth, our operating and financial results could be harmed or we could fail to meet our reporting obligations. In addition, the existence of a material weakness or significant deficiency could result in errors in our Financial Statements that could require a restatement, cause us to fail to meet our SEC reporting obligations and cause investors to lose confidence in our reported financial information, which could have a material adverse effect on us and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Formation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make, on a timely or cost-effective basis, the changes necessary to operate as a stand-alone company primarily focused on owning a portfolio of gaming properties.</w:t>
      </w:r>
    </w:p>
    <w:p>
      <w:pPr>
        <w:spacing w:after="0" w:line="11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limited historical operations as an independent company. As a stand-alone entity, we are subject to, and responsible for, regulatory compliance, including periodic public filings with the SEC, compliance with the listing requirements of the New York Stock Exchange (the “NYSE”), and with applicable state gaming rules and regulations, as well as compliance with generally applicable tax and accounting rules. Because our business did not operate as a stand-alone company until the Formation Date, we cannot ensure that we will be able to successfully implement the infrastructure or retain the personnel necessary to operate as a stand-alone company or that we will not incur costs in excess of anticipated costs to establish such infrastructure and retain such personnel.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historical financial information included in this Annual Report on Form 10-K may not be a reliable indicator of future results.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newly organized company with limited operating history and did not operate as a REIT or otherwise as a stand-alone business prior to the Formation Date. Therefore, our growth prospects must be considered in light of the risks, expenses and difficulties frequently encountered when any new business is formed. We cannot assure you that we will be able to successfully operate our business profitably or implement our operating policies and business and growth strategies as described in this Annual Report on Form 10-K.</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Financial Statements and other financial information included herein may not reflect what our business, financial condition, cash flows or results of operations will be in the future now that we are a separate public company. The properties acquired by our Operating Partnership from subsidiaries of Caesars were historically operated by subsidiaries of Caesars as part of its larger corporate organization and not as a stand-alone business or independent company. Significant changes have occurred in our cost structure, financing and business operations as a result of our operation as a stand-alone company and the entry into transactions with Caesars that have not existed historically, including the Lease Agreements and the related guarantees.</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additional information about the basis of presentation of the financial information included in this Annual Report on Form 10-K, see “Selected Financial Data,” “Management’s Discussion and Analysis of Financial Condition and Results of Operation” and the historical combined Financial Statements of Caesars Entertainment Outdoor, our TRS prior to the Formation Date, included elsewhere in this Annual Report on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actual financial results may vary significantly from the financial projections filed with the Bankruptcy Court.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Plan of Reorganization, the Debtors were required to file projected financial information with the Bankruptcy Court to demonstrate the feasibility of the Plan of Reorganization and the ability of the Debtors to continue operations upon emergence from bankruptcy. These projections were prepared for the specific purpose of satisfying statutory requirements in connection with confirmation of the Plan of Reorganization and are neither included nor incorporated by reference in this Annual Report on Form 10-K. At the time they were filed, the projections reflected numerous assumptions concerning anticipated future performance and market and economic conditions that were and remain beyond our and the Debtors’ control and that may not materialize. Projections are inherently subject to uncertainties and to a wide variety of significant business, economic and competitive risks. Our actual results will vary from those contemplated by the projections and the variations may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achieve the expected benefits from operating as a company independent of Caesars.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that as a company independent from Caesars, we will have the ability, subject to the Amended and Restated Right of First Refusal Agreement and the Lease Agreements, to pursue transactions with other gaming operators, to fund acquisitions with equity on significantly more favorable terms than those that would be available to Caesars, to diversify into different businesses in which Caesars, as a practical matter, could not diversify, and to pursue certain transactions that Caesars otherwise would be disadvantaged by or precluded from pursuing due to regulatory constraints. However, we may not be able to achieve some or all of the benefits from operating as a company independent from Caesars in a timely manner, if at all</w:t>
      </w:r>
      <w:r>
        <w:rPr>
          <w:rFonts w:ascii="Arial" w:cs="Arial" w:eastAsia="Arial" w:hAnsi="Arial"/>
          <w:sz w:val="16"/>
          <w:szCs w:val="16"/>
          <w:b w:val="1"/>
          <w:bCs w:val="1"/>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members of our management team may have limited experience operating as part of a REIT structure.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requirements for qualifying as a REIT are highly technical and complex. We did not operate as a REIT prior to the Formation Date, and some members of our management team may have limited experience in complying with the income, asset, and other limitations imposed by the real estate investment provisions of the Code. Any failure to comply with those provisions in a timely manner could prevent us from qualifying as a REIT or could force us to pay unexpected taxes and penalties, which could materially harm our business, financial condition, liquidity, results of operations and prospects. In addition, there is no assurance that any past experience with the acquisition and disposition of gaming facilities will be sufficient to enable us to successfully manage our portfolio of properties as required by our business plan or the REIT provisions of the Code.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certain that the bankruptcy proceedings will not adversely affect our operations going forward.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properties operated in bankruptcy for over two years and we cannot assure you that having been subject to bankruptcy will not adversely affect our operations going forward. For example, we may be subject to claims that were not discharged in the bankruptcy proceedings. Substantially all, if not all, of the material claims against the Debtors that arose prior to the date of the bankruptcy filing were addressed during the bankruptcy proceedings. In addition, the Bankruptcy Code provides that the confirmation of a plan of reorganization discharges a debtor from substantially all debts arising prior to confirmation and certain debts arising afterwards. Circumstances in which claims and other obligations that arose prior to the bankruptcy filing were not discharged primarily relate to certain actions by governmental units under police power authority, where CEOC agreed to preserve a claimant’s claims, as well as, potentially, instances where a claimant had inadequate notice of the bankruptcy filing. If any such claims remain and can be asserted against us, the ultimate resolution of such claims and other obligations may have a material adverse effect on our results of operations and profitability.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separation from subsidiaries of Caesars could give rise to disputes or other unfavorable effects, which could have a material adverse effect on our business, financial condition, liquidity, results of operations and prospects.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Disputes with third parties could arise out of our separation from subsidiaries of Caesars, and we could experience unfavorable reactions to the separation from employees, ratings agencies, regulators, or other interested parties. For example, The City Of Hammond, Indiana, The City of Hammond Department of Redevelopment, Department of Waterworks of The City of Hammond, and Hammond Port (collectively, the “Hammond Entities”) filed an objection with the Bankruptcy Court in November 2017 to the assignment of the respective leases, licenses and contracts to which they are counterparties relating to Horseshoe Hammond property. The Objection alleges that given the prohibition terms of the various leases, licenses, contracts and the Hammond agreements, the Debtors had no authority or power to make the assignments to VICI and, at the present, the Hammond Entities do not consent and do object to the property assignments. These disputes and reactions of third parties could have a material adverse effect on our business, financial condition, liquidity results of operations and prospects. In addition, disputes between us and Caesars could arise in connection with any of the Lease Agreements, the Management and Lease Support Agreements, the Amended and Restated Right of First Refusal Agreement, the Call Right Agreements, the Put-Call Agreement, the Tax Matters Agreement or other agreements.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64" w:lineRule="auto"/>
        <w:rPr>
          <w:sz w:val="20"/>
          <w:szCs w:val="20"/>
          <w:color w:val="auto"/>
        </w:rPr>
      </w:pPr>
      <w:r>
        <w:rPr>
          <w:rFonts w:ascii="Arial" w:cs="Arial" w:eastAsia="Arial" w:hAnsi="Arial"/>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IRS issued a private letter ruling with respect to certain issues relevant to our separation from CEOC,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engage in desirable strategic or capital-raising transactions following the spin-off. In addition, we could be liable for adverse tax consequences resulting from engaging in significant strategic or capital-raising transactions.</w:t>
      </w:r>
    </w:p>
    <w:p>
      <w:pPr>
        <w:spacing w:after="0" w:line="1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To preserve the tax-free treatment to CEOC of the spin-off, for the two-year period following the spin-off, we may be prohibited, except in specific circumstances, from: (1) entering into any transaction pursuant to which all or a portion of our stock would be acquired, whether by merger or otherwise,</w:t>
      </w:r>
    </w:p>
    <w:p>
      <w:pPr>
        <w:jc w:val="both"/>
        <w:ind w:firstLine="8"/>
        <w:spacing w:after="0" w:line="277" w:lineRule="auto"/>
        <w:tabs>
          <w:tab w:leader="none" w:pos="2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issuing equity securities beyond certain thresholds, (3) repurchasing our common stock, (4) ceasing to actively conduct the business of operating VICI Golf, or (5) taking or failing to take any other action that prevents the spin-off and related transactions from being tax-free. These restrictions may limit our ability to pursue strategic transactions or engage in new business or other transactions that may maximize the value of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or maintain our qualification as a REIT.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elect and qualify to be taxed as a REIT for U.S. Federal income tax purposes commencing with our taxable year ended December 31, 2017 and expect to operate in a manner that will allow us to continue to be classified as such. Once an entity is qualified as a REIT, the Code generally requires that such entity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current entity level U.S. Federal income taxes, a substantial portion of our cash flow after operating expenses and debt service will be required to be distributed to our stockholders.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were to fail to qualify as a REIT in any taxable year, we would be subject to U.S. Federal income tax on our taxable income at regular corporate rates, and dividends paid to our stockholders would not be deductible by us in computing our REIT taxable income. Any resulting corporate tax liability could be substantial and would reduce the amount of cash available for distribution to our stockholders, which in turn could have an adverse impact on the market price of our common stock. Unless we were entitled to relief under certain Code provisions, we also would be disqualified from re-electing to be taxed as a REIT for the four taxable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86" w:lineRule="auto"/>
        <w:rPr>
          <w:sz w:val="20"/>
          <w:szCs w:val="20"/>
          <w:color w:val="auto"/>
        </w:rPr>
      </w:pPr>
      <w:r>
        <w:rPr>
          <w:rFonts w:ascii="Arial" w:cs="Arial" w:eastAsia="Arial" w:hAnsi="Arial"/>
          <w:sz w:val="17"/>
          <w:szCs w:val="17"/>
          <w:color w:val="auto"/>
        </w:rPr>
        <w:t>years following the year in which we failed to qualify as a REIT. As a result, the amount available for distribution to holders of equity securities that would otherwise receive dividends would be reduced for the year or years involved. Furthermore, the U.S. Federal income tax consequences of distributions and sales of our shares to certain of our stockholders could be adversely impacted if we were to fail to qualify as a REIT.</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Qualification to be taxed as a REIT involves highly technical and complex provision of the Code, and violations of these provisions could jeopardize our REIT qualification.</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opinion we expect to receive regarding our status as a REIT does not guarantee our ability to qualify as a REIT.</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intend to operate in a manner that will allow us to qualify to be taxed as a REIT for U.S. Federal income tax purposes. We expect that we will receive an opinion of Kramer Levin Naftalis &amp; Frankel LLP (“REIT Tax Counsel”) that, commencing with our taxable year ending December 31, 2017, we are organized in conformity with the requirements for qualification and taxation as a REIT under the U.S. Federal income tax laws and our proposed method of operations will enable us to satisfy the requirements for qualification and taxation as a REIT under the U.S. Federal income tax laws for our taxable year ending December 31, 2017 and subsequent taxable years. Investors should be aware, however, that opinions of counsel are not binding on the IRS or any court. The opinion of REIT Tax Counsel represents only the view of REIT Tax Counsel, based on its review and analysis of existing law and on certain representations as to factual matters and covenants made by us, including representations relating to the values of our assets and the sources of our income. The opinion is expressed as of the date of this offering. REIT Tax Counsel will have no obligation to advise us or the holders of shares of our common stock of any subsequent change in the matters stated, represented or assumed or of any subsequent change in applicable law. Furthermore, both the validity of the opinion of REIT Tax Counsel and our qualification to be taxed as a REIT will depend on our satisfaction of certain asset, income, organizational, distribution, stockholder ownership and other requirements on a continuing basis, the results of which will not be monitored by REIT Tax Counsel. Our ability to satisfy the asset tests depends upon our analysis of the characterization and fair market values of our assets, some of which are not susceptible to a precise determination, and for which we will not obtain independent appraisals. Any failure to qualify to be taxed as a REIT, or failure to remain to be qualified to be taxed as a REIT, would have a material and adverse effect on us.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Moreover, with respect to certain non-U.S. stockholders, we may be required to withhold U.S. Federal income tax with respect to such dividends, including in respect of all or a portion of such dividend that is payable in common stock. Furthermore,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to the U.S. Federal income tax laws, including the recent enactment of certain tax reform measures, could have a material and adverse effect on us.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income tax laws governing REITs and other corporations and the administrative interpretations of those laws may be amended at any time, potentially with retroactive effect. We cannot predict whether, when or to what extent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Recently enacted changes to the U.S. federal income tax laws could have a material and adverse effect on us. For example, certain changes in law pursuant to the Tax Cuts and Jobs Act could reduce the relative competitive advantage of operating as a REIT as compared with operating as a C corporation, including by:</w:t>
      </w:r>
    </w:p>
    <w:p>
      <w:pPr>
        <w:spacing w:after="0" w:line="73"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the rate of tax applicable to individuals and C corporations, which could reduce the relative attractiveness of the generally single level of taxation on REIT distributions;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permitting immediate expensing of capital expenditures, which could likewise reduce the relative attractiveness of the REIT taxation regime; and</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deductibility of interest expense, which could increase the distribution requirement of REITs (though such limitations should not affect REITs).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fail to qualify to be taxed as a REIT if income we receive from Caesars or its subsidiaries is not treated as qualifying income.</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applicable provisions of the Code, we will not be treated as a REIT unless we satisfy various requirements, including requirements relating to the sources of our gross income. Rents received or accrued by us from Caesars or its subsidiaries will not be treated as qualifying rent for purposes of these requirements if the leases are not respected as true leases for U.S. federal income tax purposes and instead are treated as service contracts, joint ventures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subject to certain exceptions, rents received or accrued by us from Caesars or its subsidiaries will not be treated as qualifying rent for purposes of these requirements if we or an actual or constructive owner of 10% or more of our stock actually or constructively owns 10% or more of the total combined voting power of all classes of Caesars stock entitled to vote or 10% or more of the total value of all classes of Caesars stock. Our charter provides for restrictions on ownership and transfer of our shares of stock, including restrictions on such ownership or transfer that would cause the rents received or accrued by us from Caesars or its subsidiaries to be treated as non-qualifying rent for purposes of the REIT gross income requirements. Nevertheless, there can be no assurance that such restrictions will be effective in ensuring that rents received or accrued by us from Caesars or its subsidiaries will not be treated as qualifying rent for purposes of REIT qualification requirements.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In particular, during the first several years of the leases, under the terms of the Lease Agreements, rental income will be allocated for tax purposes generally in an amount greater than cash rents.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Even if we qualify as a REIT, we may face other tax liabilities that reduce our cash flow.</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liquidate or forgo otherwise attractive opportunities.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To qualify 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25% of the value of our total assets can be represented by securities of one or more taxable REIT subsidiaries (20% for taxable years beginning after December 31, 2017).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or forgo otherwise attractive investments.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built-in gains tax on the disposition of certain of our properties.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formation transactions.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 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 gain recognition period in order to avoid this built-in gain tax. However, there can be no assurance that such a taxable transaction will not occur. The amount of any such built-in gain tax could be material and the resulting tax liability could have a negative effect on our cash flow and limit our ability to pay distributions required to qualify and maintain our status as a REIT.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pay a purging distribution, if any, in common stock and cash.</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order to qualify as a REIT, we must distribute any “earnings and profits,” as defined in the Code, that are allocated from CEOC to us in connection with the formation transactions by the end of the first taxable year in which we elect REIT status. Based on analysis of CEOC’s earnings and profits, we currently do not believe that any earnings and profits were allocated to us in connection with the formation transactions and therefore do not currently expect to be required to make a purging distribution. If notwithstanding this expectation we are required to make a purging distribution,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issued a private letter ruling with respect to certain issues relevant to the separation from Caesars providing generally that, subject to the terms and conditions contained therein, the amount of any shares of our common stock received by any of our stockholders as part of a purging distribution, if any, will be considered to equal the amount of cash that could have been received instead. Although we may generally rely upon the ruling, no assurance can be given that the IRS will not challenge our qualification as a REIT on the basis of other issues or facts outside the scope of the ruling. Furthermore,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6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 expenses to the maximum extent permitted by Maryland law. As a result, we and our stockholders may have more limited rights against our directors and officers than might otherwise exist under common law.</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board of directors may change our major corporate policies without stockholder approval and those changes may materially and adversely affect us.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board of directors to revoke or otherwise terminate our REIT qualification, with stockholder approval, may cause adverse consequences to our stockholders.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provides that our board of directors may revoke or otherwise terminate our REIT election, only with the affirmative vote of stockholders entitled to cast a majority of all votes entitled to be cast on the matter, if the board determines that it is no longer in our best interests to continue to qualify as a REIT. If we cease to be a REIT, we would become subject to Federal income tax on our taxable income and would no longer be required to distribute most of our taxable income to our stockholders, which may have adverse consequences on the total return to our stockholders.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contains restrictions on the ownership and transfer of our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was granted to certain stockholders, and our board may in the future provide exceptions to the ownership limit for other stockholders, subject to certain initial and ongoing conditions designed to protect our status as a REIT.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has the power to cause us to issue and authorize additional shares of our capital stock without stockholder approval.</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may limit the ability of a third party to acquire control of us.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70"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908" w:right="239" w:bottom="1440" w:gutter="0" w:footer="0" w:header="0"/>
        </w:sectPr>
      </w:pPr>
    </w:p>
    <w:bookmarkStart w:id="39" w:name="page40"/>
    <w:bookmarkEnd w:id="39"/>
    <w:p>
      <w:pPr>
        <w:jc w:val="both"/>
        <w:ind w:left="660"/>
        <w:spacing w:after="0" w:line="336" w:lineRule="auto"/>
        <w:rPr>
          <w:sz w:val="20"/>
          <w:szCs w:val="20"/>
          <w:color w:val="auto"/>
        </w:rPr>
      </w:pPr>
      <w:r>
        <w:rPr>
          <w:rFonts w:ascii="Arial" w:cs="Arial" w:eastAsia="Arial" w:hAnsi="Arial"/>
          <w:sz w:val="17"/>
          <w:szCs w:val="17"/>
          <w:color w:val="auto"/>
        </w:rPr>
        <w:t>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84" w:lineRule="exact"/>
        <w:rPr>
          <w:sz w:val="20"/>
          <w:szCs w:val="20"/>
          <w:color w:val="auto"/>
        </w:rPr>
      </w:pPr>
    </w:p>
    <w:p>
      <w:pPr>
        <w:jc w:val="both"/>
        <w:ind w:left="660" w:hanging="328"/>
        <w:spacing w:after="0" w:line="273"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Any amendment to such provision of our charter must be approved by the affirmative vote of stockholders entitled to cast a majority of all votes entitled to be cast on the matter. Pursuant to the MGCL, our bylaws contain a provision exempting from the Maryland Control Share Acquisition Act any and all acquisitions by any person of shares of our stock. This provision of our bylaws may not be altered, amended or repealed except by our stockholders by the affirmative vote of at least two-thirds of all the votes entitled to be cast on the matter. There can be no assurance that this exemption contained in our bylaws will not be amended or eliminated at any time in the future.</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small number of our stockholders could significantly influence our business and affairs.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few stockholders own substantial amounts of our outstanding voting stock. Large holders may be able to affect matters requiring approval by our stockholders, including the election of directors and the approval of mergers or other business combination transactions.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cash available for distribution to stockholders may not be sufficient to pay dividends at expected levels, nor can we assure you of our ability to make distributions in the future. We may use borrowed funds to make distributions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significant stockholder dilution or higher leverage. While the IRS has issued a revenue procedure indicating that certain distributions that are made partly in cash and partly in stock will be treated as taxable dividends that would satisfy that REIT annual distribution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35" w:right="239" w:bottom="1440" w:gutter="0" w:footer="0" w:header="0"/>
        </w:sectPr>
      </w:pPr>
    </w:p>
    <w:bookmarkStart w:id="40" w:name="page41"/>
    <w:bookmarkEnd w:id="40"/>
    <w:p>
      <w:pPr>
        <w:jc w:val="both"/>
        <w:spacing w:after="0" w:line="279" w:lineRule="auto"/>
        <w:rPr>
          <w:sz w:val="20"/>
          <w:szCs w:val="20"/>
          <w:color w:val="auto"/>
        </w:rPr>
      </w:pPr>
      <w:r>
        <w:rPr>
          <w:rFonts w:ascii="Arial" w:cs="Arial" w:eastAsia="Arial" w:hAnsi="Arial"/>
          <w:sz w:val="17"/>
          <w:szCs w:val="17"/>
          <w:color w:val="auto"/>
        </w:rPr>
        <w:t>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VICI REIT is a holding company with no direct operations and will rely on distributions received from the Operating Partnership to make distributions to its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VICI REIT is a holding company and conducts its operations through subsidiaries, including the Operating Partnership and VICI Golf. VICI REIT does not have, apart from the units that it owns in the Operating Partnership and VICI Golf, any independent operations. As a result, VICI REIT relies on distributions from its Operating Partnership to make any distributions to its stockholders it might declare on its common stock and to meet any of its obligations, including any tax liability on taxable income allocated to it from the Operating Partnership (which might not be able to make distributions to VICI REIT equal to the tax on such allocated taxable income). In turn, the ability of subsidiaries of the Operating Partnership to make distributions to the Operating Partnership, and therefore, the ability of the Operating Partnership to make distributions to VICI REIT, depends on the operating results of these subsidiaries and the Operating Partnership and on the terms of any financing arrangements they have entered into. In addition, because VICI REIT is a holding company, claims of common stockholders of VICI REIT are structurally subordinated to all existing and future liabilities and other obligations (whether or not for borrowed money) and any preferred equity of the Operating Partnership and its subsidiaries. Therefore, in the event of our bankruptcy, liquidation or reorganization, VICI REIT’s assets and those of the Operating Partnership and its subsidiaries will be available to satisfy the claims of VICI REIT common stockholders only after all of VICI REIT’s, the Operating Partnership’s and its subsidiaries’ liabilities and other obligations and any preferred equity of any of them have been paid in full.</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Partnership may, in connection with its acquisition of additional properties or otherwise, issue additional common units or preferred units to third parties. Such issuances would reduce VICI REIT’s ownership in the Operating Partnership. Because stockholders of VICI REIT do not directly own common units or preferred units of the Operating Partnership, they do not have any voting rights with respect to any such issuances or other partnership level activities of the Operating Partnership.</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Conflicts of interest could arise between the interests of our stockholders and the interests of holders of Operating Partnership units which may impede business decisions that could benefit our stockholders.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could arise as a result of the relationships between us, on the one hand, and our Operating Partnership or any limited partner thereof, if any, on the other. Our directors and officers have duties to us under applicable Maryland law. At the same time, we, as general partner of our Operating Partnership, have fiduciary duties and obligations to our Operating Partnership and its limited partners under Delaware law and the partnership agreement of our Operating Partnership in connection with the management of our Operating Partnership. Our duties as general partner to our Operating Partnership and its limited partners may come into conflict with the duties of our directors and officers to VICI REIT. These conflicts may be resolved in a manner that is not in the best interests of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shares of our common stock may be volatile.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market price of our common stock may be volatile. In addition, the trading volume in our common stock may fluctuate and cause significant price variations to occur. We cannot assure you that the market price of our common stock will not fluctuate or decline significantly in the future.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 or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earnings, Funds From Operations (“FFO”), Adjusted Funds From Operations (“AFFO ”) or Adjusted EBITDA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publication of research reports about us, Caesars or the real estate or gaming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developments involving Caesars;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interest rates that may cause purchasers of our shares to demand a different yield;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909" w:right="239" w:bottom="1440" w:gutter="0" w:footer="0" w:header="0"/>
        </w:sectPr>
      </w:pPr>
    </w:p>
    <w:bookmarkStart w:id="41" w:name="page42"/>
    <w:bookmarkEnd w:id="41"/>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reaction to any additional capital we raise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our company or industry or the economy in general;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occurrence of any of the other risk factors presented in this Annual Report on Form 10-K or our other SEC filings;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offerings of debt and/or preferred equity securities, which may be senior to our shares for purposes of distributions or upon liquidation, could adversely affect the market price of our common stock.</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future, we may attempt to increase our capital resources by making additional offerings of debt or preferred equity securities, including medium-term notes, trust preferred securities, senior or subordinated notes and preferred shares. If a liquidation event were to occur, holders of our debt securities and preferred shares and lenders with respect to other borrowings will receive distributions of our available assets prior to the holders of our shares. Additional equity offerings may dilute the holdings of our existing stockholders or reduce the market price of our common stock, or both. Holders of shares of our common stock are not entitled to preemptive rights or other protections against dilution. Our preferred shares, if issued, could have a preference on liquidating distributions or a preference on distribution payments that could limit our ability to make a distribution to the holders of shares of our common stock. Since our decision to issue securities in any future offering will depend on market conditions and other factors beyond our control, we cannot predict or estimate the amount, timing or nature of our future offerings. Thus, our stockholders bear the risk of our future offerings reducing the market price of shares of our common stock and diluting their shareholdings in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cash distributions could affect the market price of shares of our common stock.</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common stock may trade at prices that are higher or lower than the net asset value per share. To the extent that we retain operating cash flow for investment purposes, working capital reserves or other purposes rather than distributing the cash flows to stockholders, these retained funds, while increasing the value of our underlying assets, may negatively impact the market price of shares of our common stock. Our failure to meet market expectations with regard to future earnings and cash distributions could adversely affect the market price of shares of our common stock.</w:t>
      </w:r>
    </w:p>
    <w:p>
      <w:pPr>
        <w:spacing w:after="0" w:line="11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geographically diverse portfolio consists of 20 market-leading properties that are leased to Caesars, including Caesars Palace Las Vegas and Harrah’s Las Vegas, two of the most iconic entertainment facilities on the Las Vegas Strip, approximately 34 acres of undeveloped land adjacent to the Las Vegas Strip that is leased to Caesars and four championship golf courses located near certain of our properties, two of which are in close proximity to the Las Vegas Strip.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Our properties secure our long-term debt. See Note 9 — Debt to our Consolidated Financial Statements included in Item 8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See Item 1 for further information pertaining to our properties.</w:t>
      </w:r>
    </w:p>
    <w:p>
      <w:pPr>
        <w:spacing w:after="0" w:line="172"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the Company may be subject to legal claims and administrative proceedings, none of which are currently outstanding, which the Company believes could have, individually or in the aggregate, a material adverse effect on its business, financial condition or results of operations, liquidity or cash flows.</w:t>
      </w:r>
    </w:p>
    <w:p>
      <w:pPr>
        <w:spacing w:after="0" w:line="29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90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2"/>
          <w:szCs w:val="22"/>
          <w:b w:val="1"/>
          <w:bCs w:val="1"/>
          <w:color w:val="auto"/>
        </w:rPr>
        <w:t>PART II</w:t>
      </w:r>
    </w:p>
    <w:p>
      <w:pPr>
        <w:spacing w:after="0" w:line="166" w:lineRule="exact"/>
        <w:rPr>
          <w:sz w:val="20"/>
          <w:szCs w:val="20"/>
          <w:color w:val="auto"/>
        </w:rPr>
      </w:pPr>
    </w:p>
    <w:p>
      <w:pPr>
        <w:ind w:right="640"/>
        <w:spacing w:after="0" w:line="269" w:lineRule="auto"/>
        <w:rPr>
          <w:sz w:val="20"/>
          <w:szCs w:val="20"/>
          <w:color w:val="auto"/>
        </w:rPr>
      </w:pPr>
      <w:r>
        <w:rPr>
          <w:rFonts w:ascii="Arial" w:cs="Arial" w:eastAsia="Arial" w:hAnsi="Arial"/>
          <w:sz w:val="22"/>
          <w:szCs w:val="22"/>
          <w:b w:val="1"/>
          <w:bCs w:val="1"/>
          <w:color w:val="auto"/>
        </w:rPr>
        <w:t>ITEM 5. Market for the Company’s Common Equity, Related Shareholder Matters and Issuer Purchases of Equity Securities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Market Information</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1, 2018, in connection with our initial registered public offering, our common stock began trading on the New York Stock Exchange (“NYSE”) under the symbol “VICI.” Prior to this, our common stock was quoted on the OTC Markets Group, Inc.’s “Grey Market” under the symbol “VICI.” The following table sets forth the high and low bid quotations per share of our common stock as reported on the OTC Market for the period presented. The OTC Market quotations reflect inter-dealer prices, without retail mark-up, mark-down or commission and may not necessarily represent actual transactions.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6"/>
                <w:szCs w:val="16"/>
                <w:b w:val="1"/>
                <w:bCs w:val="1"/>
                <w:color w:val="auto"/>
              </w:rPr>
              <w:t>Share Price</w:t>
            </w:r>
          </w:p>
        </w:tc>
      </w:tr>
      <w:tr>
        <w:trPr>
          <w:trHeight w:val="33"/>
        </w:trPr>
        <w:tc>
          <w:tcPr>
            <w:tcW w:w="79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240" w:type="dxa"/>
            <w:vAlign w:val="bottom"/>
          </w:tcPr>
          <w:p>
            <w:pPr>
              <w:jc w:val="center"/>
              <w:ind w:left="394"/>
              <w:spacing w:after="0"/>
              <w:rPr>
                <w:sz w:val="20"/>
                <w:szCs w:val="20"/>
                <w:color w:val="auto"/>
              </w:rPr>
            </w:pPr>
            <w:r>
              <w:rPr>
                <w:rFonts w:ascii="Arial" w:cs="Arial" w:eastAsia="Arial" w:hAnsi="Arial"/>
                <w:sz w:val="16"/>
                <w:szCs w:val="16"/>
                <w:b w:val="1"/>
                <w:bCs w:val="1"/>
                <w:color w:val="auto"/>
              </w:rPr>
              <w:t>High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3"/>
              </w:rPr>
              <w:t>Low</w:t>
            </w:r>
          </w:p>
        </w:tc>
      </w:tr>
      <w:tr>
        <w:trPr>
          <w:trHeight w:val="33"/>
        </w:trPr>
        <w:tc>
          <w:tcPr>
            <w:tcW w:w="7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jc w:val="right"/>
              <w:ind w:right="4610"/>
              <w:spacing w:after="0" w:line="264" w:lineRule="exact"/>
              <w:rPr>
                <w:sz w:val="20"/>
                <w:szCs w:val="20"/>
                <w:color w:val="auto"/>
              </w:rPr>
            </w:pPr>
            <w:r>
              <w:rPr>
                <w:rFonts w:ascii="Arial" w:cs="Arial" w:eastAsia="Arial" w:hAnsi="Arial"/>
                <w:sz w:val="18"/>
                <w:szCs w:val="18"/>
                <w:color w:val="auto"/>
                <w:w w:val="89"/>
              </w:rPr>
              <w:t>Fourth Quarter ended December 31, 2017</w:t>
            </w:r>
            <w:r>
              <w:rPr>
                <w:rFonts w:ascii="Arial" w:cs="Arial" w:eastAsia="Arial" w:hAnsi="Arial"/>
                <w:sz w:val="25"/>
                <w:szCs w:val="25"/>
                <w:b w:val="1"/>
                <w:bCs w:val="1"/>
                <w:color w:val="auto"/>
                <w:w w:val="89"/>
                <w:vertAlign w:val="superscript"/>
              </w:rPr>
              <w:t>(1)</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$21.00</w:t>
            </w:r>
          </w:p>
        </w:tc>
        <w:tc>
          <w:tcPr>
            <w:tcW w:w="2280" w:type="dxa"/>
            <w:vAlign w:val="bottom"/>
            <w:gridSpan w:val="3"/>
            <w:shd w:val="clear" w:color="auto" w:fill="CCEEFF"/>
          </w:tcPr>
          <w:p>
            <w:pPr>
              <w:jc w:val="right"/>
              <w:ind w:right="519"/>
              <w:spacing w:after="0"/>
              <w:rPr>
                <w:sz w:val="20"/>
                <w:szCs w:val="20"/>
                <w:color w:val="auto"/>
              </w:rPr>
            </w:pPr>
            <w:r>
              <w:rPr>
                <w:rFonts w:ascii="Arial" w:cs="Arial" w:eastAsia="Arial" w:hAnsi="Arial"/>
                <w:sz w:val="18"/>
                <w:szCs w:val="18"/>
                <w:color w:val="auto"/>
              </w:rPr>
              <w:t>$18.00</w:t>
            </w:r>
          </w:p>
        </w:tc>
      </w:tr>
      <w:tr>
        <w:trPr>
          <w:trHeight w:val="230"/>
        </w:trPr>
        <w:tc>
          <w:tcPr>
            <w:tcW w:w="7900" w:type="dxa"/>
            <w:vAlign w:val="bottom"/>
          </w:tcPr>
          <w:p>
            <w:pPr>
              <w:jc w:val="right"/>
              <w:ind w:right="5010"/>
              <w:spacing w:after="0"/>
              <w:rPr>
                <w:sz w:val="20"/>
                <w:szCs w:val="20"/>
                <w:color w:val="auto"/>
              </w:rPr>
            </w:pPr>
            <w:r>
              <w:rPr>
                <w:rFonts w:ascii="Arial" w:cs="Arial" w:eastAsia="Arial" w:hAnsi="Arial"/>
                <w:sz w:val="18"/>
                <w:szCs w:val="18"/>
                <w:color w:val="auto"/>
                <w:w w:val="89"/>
              </w:rPr>
              <w:t>_______________________________</w:t>
            </w:r>
          </w:p>
        </w:tc>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122"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1"/>
          <w:szCs w:val="21"/>
          <w:b w:val="1"/>
          <w:bCs w:val="1"/>
          <w:color w:val="auto"/>
          <w:vertAlign w:val="superscript"/>
        </w:rPr>
      </w:pPr>
      <w:r>
        <w:rPr>
          <w:rFonts w:ascii="Arial" w:cs="Arial" w:eastAsia="Arial" w:hAnsi="Arial"/>
          <w:sz w:val="15"/>
          <w:szCs w:val="15"/>
          <w:color w:val="auto"/>
        </w:rPr>
        <w:t>Represents the period from October 18, 2017, the first date on which our shares of common stock were publicly traded, until December 31, 2017.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2018, there were 370,128,832 shares of common stock issued and outstanding that were held by approximately 225 stockholders of record, not including beneficial owners of shares registered in nominee or street name.</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Distribution Policy</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intend to make regular quarterly distributions to holders of shares of our common stock. We cannot assure you that our estimated distributions will be made or sustained or that our board of directors will not change our distribution policy in the future. Any distributions will be at the sole discretion of our board of directors, and their form, timing and amount, if any, will depend upon a number of factors, including our actual and projected results of operations, 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our board of directors deems relevant. For more information regarding risk factors that could materially and adversely affect us and our ability to make cash distributions, see “Risk Factors.” If our operations do not generate sufficient cash flow to enable us to pay our intended or required distributions, we may be required either to fund distributions from working capital, borrow or raise equity or to reduce such distributions. In addition, our charter allows us to issue preferred stock that could have a preference on distributions and could limit our ability to make distributions to our stockholders. Additionally, under certain circumstances, agreements relating to our indebtedness could limit our ability to make distributions to our stockholders.</w:t>
      </w:r>
    </w:p>
    <w:p>
      <w:pPr>
        <w:spacing w:after="0" w:line="1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In particular, during the first several years of the leases, under the terms of the Lease Agreements, rental income will be allocated for tax purposes generally in an amount greater than cash rents. Further, we may generate REIT taxable income greater than our cash flow from operations after operating expenses and debt service as a result of differences in timing between the recognition of REIT taxable income and the actual</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receipt of cash or the effect of nondeductible capital expenditures, the creation of reserves or required debt or amortization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made any 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sell any equity securities which were not registered under the Securities Act of 1933, as amended (the “Securities Act”) during the year ended December 31, 2017 that were not otherwise disclosed in our Quarterly Reports on Form 10-Q or our Current Reports on Form 8-K.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shares of our common stock during the three months ended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Offering of Securities - Use of Proceeds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31, 2018, our Registration Statement on Form S-11, as amended (Commission File No. 333-221997) and our Registration Statement on Form S-11MEF (Commission File No. 333-222806) were declared effective by the SEC, pursuant to which we sold a total of 69,575,000 shares of our common stock at a price per share of $20.00, for an aggregate offering price of $1.3915 billion (the “Offering”) before fees, expenses and commissions. Morgan Stanley &amp; Co. LLC, Goldman Sachs &amp; Co. LLC and Merrill Lynch, Pierce, Fenner &amp; Smith Incorporated acted as principal representatives of the underwriters in the Offering. The Offering was completed on February 5, 2018, after sales of all 69,575,000 shares of common stock (inclusive of the full exercise by the underwriters of their overallotment option to purchase 9,075,000 additional shares of common stock). None of the proceeds from the Offering were used during the reporting period covered by this Annual Report on Form 10-K.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graph below matches VICI Properties’ cumulative two-month total shareholder return on common stock with the cumulative total returns of the S&amp;P 500 index and the FTSE NAREIT Equity REITs index. The graph tracks the performance of a $100 investment in our common stock and in each index (with the reinvestment of all dividends as required by the SEC) from October 18, 2017 the first date on which our shares of common stock were publicly traded, until December 31, 2017. The return shown on the graph is not necessarily indicative of future performance.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90170</wp:posOffset>
            </wp:positionV>
            <wp:extent cx="5805805" cy="3636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5805"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8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Company / Index</w:t>
            </w: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10/18/2017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11/17</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12/17</w:t>
            </w:r>
          </w:p>
        </w:tc>
      </w:tr>
      <w:tr>
        <w:trPr>
          <w:trHeight w:val="27"/>
        </w:trPr>
        <w:tc>
          <w:tcPr>
            <w:tcW w:w="4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VICI Properties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111.0</w:t>
            </w: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FTSE NAREIT Equity REITs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r>
      <w:tr>
        <w:trPr>
          <w:trHeight w:val="27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S&amp;P 500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23"/>
                <w:szCs w:val="23"/>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23"/>
                <w:szCs w:val="23"/>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62" w:right="239" w:bottom="1440" w:gutter="0" w:footer="0" w:header="0"/>
        </w:sectPr>
      </w:pPr>
    </w:p>
    <w:bookmarkStart w:id="45" w:name="page46"/>
    <w:bookmarkEnd w:id="45"/>
    <w:p>
      <w:pPr>
        <w:spacing w:after="0"/>
        <w:tabs>
          <w:tab w:leader="none" w:pos="10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selected financial data is derived from our Financial Statements. It should be read in conjunction with the Financial Statements and Item 7, “Management’s Discussion and Analysis of Financial Condition and Results of Operations,” in this Annual Report on Form 10-K.</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Pr>
          <w:p>
            <w:pPr>
              <w:jc w:val="center"/>
              <w:ind w:right="151"/>
              <w:spacing w:after="0"/>
              <w:rPr>
                <w:sz w:val="20"/>
                <w:szCs w:val="20"/>
                <w:color w:val="auto"/>
              </w:rPr>
            </w:pPr>
            <w:r>
              <w:rPr>
                <w:rFonts w:ascii="Arial" w:cs="Arial" w:eastAsia="Arial" w:hAnsi="Arial"/>
                <w:sz w:val="16"/>
                <w:szCs w:val="16"/>
                <w:b w:val="1"/>
                <w:bCs w:val="1"/>
                <w:color w:val="auto"/>
                <w:w w:val="91"/>
              </w:rPr>
              <w:t>Period from October 6, 2017 to</w:t>
            </w:r>
          </w:p>
        </w:tc>
      </w:tr>
      <w:tr>
        <w:trPr>
          <w:trHeight w:val="176"/>
        </w:trPr>
        <w:tc>
          <w:tcPr>
            <w:tcW w:w="8580" w:type="dxa"/>
            <w:vAlign w:val="bottom"/>
            <w:gridSpan w:val="3"/>
          </w:tcPr>
          <w:p>
            <w:pPr>
              <w:ind w:left="40"/>
              <w:spacing w:after="0" w:line="176" w:lineRule="exact"/>
              <w:rPr>
                <w:sz w:val="20"/>
                <w:szCs w:val="20"/>
                <w:color w:val="auto"/>
              </w:rPr>
            </w:pPr>
            <w:r>
              <w:rPr>
                <w:rFonts w:ascii="Arial" w:cs="Arial" w:eastAsia="Arial" w:hAnsi="Arial"/>
                <w:sz w:val="16"/>
                <w:szCs w:val="16"/>
                <w:b w:val="1"/>
                <w:bCs w:val="1"/>
                <w:i w:val="1"/>
                <w:iCs w:val="1"/>
                <w:color w:val="auto"/>
              </w:rPr>
              <w:t>(In thousands, except share data)</w:t>
            </w:r>
          </w:p>
        </w:tc>
        <w:tc>
          <w:tcPr>
            <w:tcW w:w="220" w:type="dxa"/>
            <w:vAlign w:val="bottom"/>
          </w:tcPr>
          <w:p>
            <w:pPr>
              <w:spacing w:after="0"/>
              <w:rPr>
                <w:sz w:val="15"/>
                <w:szCs w:val="15"/>
                <w:color w:val="auto"/>
              </w:rPr>
            </w:pPr>
          </w:p>
        </w:tc>
        <w:tc>
          <w:tcPr>
            <w:tcW w:w="2620" w:type="dxa"/>
            <w:vAlign w:val="bottom"/>
          </w:tcPr>
          <w:p>
            <w:pPr>
              <w:jc w:val="center"/>
              <w:ind w:right="131"/>
              <w:spacing w:after="0" w:line="176" w:lineRule="exact"/>
              <w:rPr>
                <w:sz w:val="20"/>
                <w:szCs w:val="20"/>
                <w:color w:val="auto"/>
              </w:rPr>
            </w:pPr>
            <w:r>
              <w:rPr>
                <w:rFonts w:ascii="Arial" w:cs="Arial" w:eastAsia="Arial" w:hAnsi="Arial"/>
                <w:sz w:val="16"/>
                <w:szCs w:val="16"/>
                <w:b w:val="1"/>
                <w:bCs w:val="1"/>
                <w:color w:val="auto"/>
                <w:w w:val="93"/>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2220" w:type="dxa"/>
            <w:vAlign w:val="bottom"/>
            <w:tcBorders>
              <w:top w:val="single" w:sz="8" w:color="auto"/>
              <w:bottom w:val="single" w:sz="8" w:color="CCEEFF"/>
            </w:tcBorders>
          </w:tcPr>
          <w:p>
            <w:pPr>
              <w:spacing w:after="0"/>
              <w:rPr>
                <w:sz w:val="4"/>
                <w:szCs w:val="4"/>
                <w:color w:val="auto"/>
              </w:rPr>
            </w:pPr>
          </w:p>
        </w:tc>
        <w:tc>
          <w:tcPr>
            <w:tcW w:w="63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r>
      <w:tr>
        <w:trPr>
          <w:trHeight w:val="244"/>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187,609</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43,413</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144,196</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Loss from extinguishment of debt</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42,636</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1,901</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44,537</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42,662</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shares outstanding</w:t>
            </w:r>
            <w:r>
              <w:rPr>
                <w:rFonts w:ascii="Arial" w:cs="Arial" w:eastAsia="Arial" w:hAnsi="Arial"/>
                <w:sz w:val="18"/>
                <w:szCs w:val="18"/>
                <w:b w:val="1"/>
                <w:bCs w:val="1"/>
                <w:color w:val="auto"/>
              </w:rPr>
              <w:t>—</w:t>
            </w: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227,828,844</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Weighted shares outstanding</w:t>
            </w:r>
            <w:r>
              <w:rPr>
                <w:rFonts w:ascii="Arial" w:cs="Arial" w:eastAsia="Arial" w:hAnsi="Arial"/>
                <w:sz w:val="18"/>
                <w:szCs w:val="18"/>
                <w:b w:val="1"/>
                <w:bCs w:val="1"/>
                <w:color w:val="auto"/>
              </w:rPr>
              <w:t>—</w:t>
            </w: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227,985,455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6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Data:</w:t>
            </w: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129,440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(1,136,251)</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1,148,446</w:t>
            </w:r>
          </w:p>
        </w:tc>
      </w:tr>
      <w:tr>
        <w:trPr>
          <w:trHeight w:val="324"/>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7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 Data:</w:t>
            </w:r>
          </w:p>
        </w:tc>
        <w:tc>
          <w:tcPr>
            <w:tcW w:w="22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jc w:val="center"/>
              <w:ind w:right="151"/>
              <w:spacing w:after="0"/>
              <w:rPr>
                <w:sz w:val="20"/>
                <w:szCs w:val="20"/>
                <w:color w:val="auto"/>
              </w:rPr>
            </w:pPr>
            <w:r>
              <w:rPr>
                <w:rFonts w:ascii="Arial" w:cs="Arial" w:eastAsia="Arial" w:hAnsi="Arial"/>
                <w:sz w:val="16"/>
                <w:szCs w:val="16"/>
                <w:b w:val="1"/>
                <w:bCs w:val="1"/>
                <w:color w:val="auto"/>
                <w:w w:val="90"/>
              </w:rPr>
              <w:t>As of December 31, 2017</w:t>
            </w:r>
          </w:p>
        </w:tc>
      </w:tr>
      <w:tr>
        <w:trPr>
          <w:trHeight w:val="237"/>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9,739,712</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4,785,756</w:t>
            </w:r>
          </w:p>
        </w:tc>
      </w:tr>
      <w:tr>
        <w:trPr>
          <w:trHeight w:val="243"/>
        </w:trPr>
        <w:tc>
          <w:tcPr>
            <w:tcW w:w="8580" w:type="dxa"/>
            <w:vAlign w:val="bottom"/>
            <w:gridSpan w:val="3"/>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2620" w:type="dxa"/>
            <w:vAlign w:val="bottom"/>
          </w:tcPr>
          <w:p>
            <w:pPr>
              <w:jc w:val="right"/>
              <w:ind w:right="11"/>
              <w:spacing w:after="0"/>
              <w:rPr>
                <w:sz w:val="20"/>
                <w:szCs w:val="20"/>
                <w:color w:val="auto"/>
              </w:rPr>
            </w:pPr>
            <w:r>
              <w:rPr>
                <w:rFonts w:ascii="Arial" w:cs="Arial" w:eastAsia="Arial" w:hAnsi="Arial"/>
                <w:sz w:val="18"/>
                <w:szCs w:val="18"/>
                <w:color w:val="auto"/>
              </w:rPr>
              <w:t>84,875</w:t>
            </w:r>
          </w:p>
        </w:tc>
      </w:tr>
      <w:tr>
        <w:trPr>
          <w:trHeight w:val="27"/>
        </w:trPr>
        <w:tc>
          <w:tcPr>
            <w:tcW w:w="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43"/>
        </w:trPr>
        <w:tc>
          <w:tcPr>
            <w:tcW w:w="8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4,776,364</w:t>
            </w:r>
          </w:p>
        </w:tc>
      </w:tr>
      <w:tr>
        <w:trPr>
          <w:trHeight w:val="27"/>
        </w:trPr>
        <w:tc>
          <w:tcPr>
            <w:tcW w:w="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Represents the period from October 6, 2017, the date of the Company’s Formation, through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09" w:right="239" w:bottom="1440" w:gutter="0" w:footer="0" w:header="0"/>
        </w:sectPr>
      </w:pPr>
    </w:p>
    <w:bookmarkStart w:id="46" w:name="page47"/>
    <w:bookmarkEnd w:id="46"/>
    <w:p>
      <w:pPr>
        <w:spacing w:after="0"/>
        <w:tabs>
          <w:tab w:leader="none" w:pos="10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audited consolidated Financial Statements and notes thereto of VICI Properties Inc., the combined Financial Statements and notes thereto of Caesars Entertainment Outdoor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“Risk Factors” section of this Annual Report on Form 10-K for a discussion of important factors that could cause actual results to differ materially from the results described in or implied by such forward-looking statements</w:t>
      </w:r>
      <w:r>
        <w:rPr>
          <w:rFonts w:ascii="Arial" w:cs="Arial" w:eastAsia="Arial" w:hAnsi="Arial"/>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 AND FORMATION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VICI is a Maryland corporation that was created to hold certain real estate assets owned by Caesars Entertainment Operating Company (“CEOC”), upon CEOC’s emergence from bankruptcy. Pursuant to CEOC’s Plan of Reorganization, on October 6, 2017 (the “Formation Date”), the historical business of CEOC was separated by means of a spin-off transaction whereby the real property assets (“Formation Properties”) of CEOC and certain of its subsidiaries, including four golf course businesses, were transferred through a series of transactions to VICI. Following the Formation Date, VICI is a stand-alone entity that was initially owned by certain former creditors of CEOC. VICI is primarily engaged in the business of owning and acquiring gaming, hospitality and entertainment destinations. VICI leases the Formation Properties and Harrah’s Las Vegas, which was acquired on December 22, 2017, to subsidiaries of Caesars. VICI conducts its real property business through an operating partnership and its golf course business through a taxable REIT subsidiary (“TRS”), VICI Golf LLC.</w:t>
      </w:r>
    </w:p>
    <w:p>
      <w:pPr>
        <w:spacing w:after="0" w:line="1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information included in this Annual Report on Form 10-K are the consolidated results of VICI (including the real property business and the golf course business) from October 6, 2017 through December 31, 2017. Other financial information included in Part IV, Item 15 of this Annual Report on Form 10-K are the historical combined Financial Statements of Caesars Entertainment Outdoor, the golf course business owned by CEOC until Formation Date. The financial information included for Caesars Entertainment Outdoor includes the period January 1, 2017 through October 5, 2017.</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elect on our U.S. federal income tax return for our taxable year ended December 31, 2017 to be treated as a REIT and we have elected for VICI Golf LLC to be treated as a “taxable REIT subsidiary.”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2017 EVENTS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our formation, on October 6, 2017, we issued 177,160,494 shares of common stock and 12,000,000 shares of Series A preferred stock with an aggregate liquidation preference of $300.0 million ($25 per share) to CEOC and certain of its subsidiaries in exchange for the Formation Properties, Caesars Entertainment Outdoor and approximately $56 million of cash and other assets, which shares were transferred by CEOC to its creditors as part of the Plan of Reorganization. These assets had an aggregate fair value of approximately $8.4 billion.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6, 2017, in connection with our formation, we entered into the Formation Lease Agreements, pursuant to which we lease the Formation Properties to Caesars. Additionally, on October 6, 2017, we entered into the Golf Course Use Agreement.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on October 6, 2017, the Company entered into $4,917.0 million aggregate principal amount of debt consisting of senior secured credit facilities of $1,638.4 million (“Prior Term Loan”), first lien notes of $311.7 million (“Prior First Lien Notes”), second lien notes of $766.9 million (“Second Lien Notes”), $1,550.0 million in asset-level real estate mortgage financing of CPLV (“CPLV CMBS Debt”) and $650.0 million in CPLV mezzanine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Conversions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all of the Series A preferred stock automatically converted into 51,433,692 shares of the Company’s common stock (the “Mandatory Preferred Conversion”). No additional consideration was payable in connection with the Mandatory Preferred Conversion.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909"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t>On November 6, 2017, the junior tranche of CPLV mezzanine debt of $250.0 million issued to institutional accredited investors at formation, automatically converted into an aggregate of 17,630,700 shares of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Harrah’s Las Vegas and Sale of Eastside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we acquired all of the land and real property improvements associated with Harrah’s Las Vegas Hotel &amp; Casino (“HLV”) from a subsidiary of Caesars, for a purchase price of approximately $1,136.2 million. On the closing date, we entered into the HLV Lease Agreement with a subsidiary of Caesars, as tenant, pursuant to which we lease back HLV to Caesars, and Caesars Resorts Collection (“CRC”) guarantees the tenant’s payment obligations under the lease.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22, 2017, we sold approximately 18.4 acres of certain parcels located in Las Vegas, Nevada, east of HLV, to a subsidiary of Caesars, for a sales price of approximately $73.6 million.</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the closing, we entered into a Put-Call Agreement with certain subsidiaries of Caesars, which provides Caesars and us with certain rights and obligations in connection with (i) the sale by subsidiaries of Caesars to us and simultaneous leaseback by us to subsidiaries of Caesars of the Eastside Convention Center Property; and (ii) in the event the transactions described in item (i) are triggered by Caesars and such transactions do not close for reasons other than a default by Caesars or failure to obtain any required regulatory approvals (among other things), and Caesars so elects, the sale by us to Caesars of HLV, all on and subject to the terms and conditions set forth in the Put-Call Agreement. After the closing, subsidiaries of Caesars are the owners of certain parcels of real property located adjacent to HLV (including the Eastside Property) (collectively, the “Designated Property”), all or a portion of which Designated Property may in the future be improved by a convention center (in such case, the “Eastside Convention Center”).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Agreement on the land parcels, it was determined that the transaction does not meet the requirements of a completed sale for accounting purposes. As a result, we reclassified $73.6 million from Real estate investments accounted for using the operating method to Land. Additionally, the Company recorded a $73.6 million Deferred financing liability in its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22, 2017, VICI and Caesars entered into an Amended and Restated Right of First Refusal Agreement pursuant to which we also have a right of first refusal on any sale-leaseback by Caesars of the gaming facilities of Centaur Holdings, LLC, which are proposed to be acquired by Caesars, and certain income-producing improvements if built by Caesars in lieu of a large-scale convention center on the Eastside Property, subject to certain exclusions.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Billion Senior Secured VICI PropCo Credit Facility and Debt Refinancing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22, 2017, we entered into a new $2.6 billion senior secured VICI PropCo Credit Facility, comprised of a $2.2 billion senior secured term loan facility (the “Term B Loan Facility”) and a $400.0 million senior secured revolving credit facility (the “Revolving Credit Facility”). The proceeds of the Term B Loan Facility, together with $300.0 million of borrowings under the Revolving Credit Facility, provided a portion of the proceeds used to purchase the Harrah’s Las Vegas property, to repay in full the Prior Term Loans, to repurchase in full the then outstanding Prior CPLV Mezzanine Debt and to discharge in full our obligations under the Prior First Lien Notes.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Equity Placement</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22, 2017, we sold, contemporaneously with the consummation of the acquisition of the Harrah’s Las Vegas property, 54,054,052 shares of our common stock at a price of $18.50 per share in a private placement transaction, for net proceeds of approximately $963.8 million. The net proceeds from the transaction were used to partially fund the purchase price for the Harrah’s Las Vegas property and for working capital and general corporate purposes.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0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t>KEY TRENDS THAT MAY AFFECT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Subsidiaries of Caesars are the lessees of all of our properties pursuant to the Lease Agreements, and Caesars or CRC guarantees the obligations of the tenants under the Lease Agreements. The Lease Agreements account for substantially all of our revenues. Additionally, we expect to experience organic growth in rental revenue through annual rent escalators in our Lease Agreements. Accordingly, we are dependent on Caesars, the gaming industry and the health of the economies in the areas where our properties are located for the foreseeable future, and an event that has a material adverse effect on Caesars’ business, financial condition, liquidity, results of operations or prospects would have a material adverse effect on our business, financial condition, liquidity, results of operations and prospects. See “Risk Factors—Risks Related to Our Business and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expect to grow our portfolio through acquisitions by pursuing opportunities to execute sale leaseback transactions with Caesars, pursuant to:</w:t>
      </w:r>
    </w:p>
    <w:p>
      <w:pPr>
        <w:spacing w:after="0" w:line="46" w:lineRule="exact"/>
        <w:rPr>
          <w:sz w:val="20"/>
          <w:szCs w:val="20"/>
          <w:color w:val="auto"/>
        </w:rPr>
      </w:pPr>
    </w:p>
    <w:p>
      <w:pPr>
        <w:jc w:val="both"/>
        <w:ind w:firstLine="8"/>
        <w:spacing w:after="0" w:line="250" w:lineRule="auto"/>
        <w:tabs>
          <w:tab w:leader="none" w:pos="2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Call Right Agreements, relating to three properties; (ii) rights of first refusal relating to certain domestic gaming facilities proposed to be acquired or developed by Caesars located outside the Gaming Enterprise District of Clark County, Nevada and the properties that Caesars recently agreed to acquire from Centaur Holdings, LLC; and (iii) the Put-Call Agreement, which includes rights relating to the Eastside Convention Center Property in Las Vegas. Additionally, we will actively seek to grow our portfolio through acquisitions of experiential real estate in dynamic markets spanning hospitality, entertainment, leisure and gaming properties. Finally, we believe the approximately 34 acres (after giving effect to the sale of approximately 18.4 acres to Caesars in December 2017) of undeveloped land adjacent to the Las Vegas Strip that we own will provide attractive opportunities for potential future expansion and development. In pursuing external growth initiatives, we will generally seek to acquire properties that can generate stable rental revenue through long-term, triple-net leases with tenants with</w:t>
      </w:r>
    </w:p>
    <w:p>
      <w:pPr>
        <w:spacing w:after="0" w:line="3"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established operating histories, and we will consider various factors when evaluating acquisitions, including the ability to diversify our tenant base, by potentially leasing properties to parties unaffiliated with Caesars, and increasing our geographic diversification.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operating and financial performance in the future will be significantly influenced by the success of our acquisition strategy, and the timing and the availability and terms of financing of any acquisitions that we may complete. We can provide no assurance that we will exercise any of our contractual rights to purchase one or more properties from Caesars or otherwise be successful in acquiring any properties. Additionally, our ability to successfully implement our acquisition strategy will depend upon the availability and terms of financing, including debt and equity capital. Further, the pricing of any acquisitions we may consummate and the terms of any leases that we may enter into will significantly impact our future results. Competition to execute sale leaseback transactions with attractive properties and desirable tenants is intense, and we can provide no assurance that any future acquisitions or leases will be on terms as favorable to us as those relating to recent transactions. Should we exercise an option to purchase a property under a Call Right Agreement, the purchase price will be equal to ten times the property’s annual rent, which, in turn, will equal approximately 60% of the trailing property EBITDAR at the time of exercise. Accordingly, the purchase price and rent for any property we may acquire under a Call Right Agreement and lease to Caesars will depend upon the property’s EBITDAR at the time of exercise. We anticipate that we would seek to finance these acquisitions with a majority of equity, although no assurance can be given that we would be able to issue equity in such amounts on favorable terms, or at all, or that we would not determine to incur more debt on a relative basis at the relevant time due market conditions or otherwise. In addition to rent, our tenants are required to pay the following: (1) all facility maintenance; (2) all insurance required in connection with the leased properties and the business conducted on the leased properties; (3) taxes levied on or with respect to the leased properties (other than taxes on our income); and (4) all utilities and other services necessary or appropriate for the leased properties and the business conducted on the leased properties. Accordingly, due to the “triple-net” structure of our leases, we do not expect to incur significant property-level expenses.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DISCUSSION OF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October 6, 2017, the date of our formation, to December 31, 2017 our revenue was $187.5 million and was comprised of $181.2 million from our real property business and $6.4 million from our golf course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Property Business 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 property business revenue of $181.2 million was generated from rent and reimbursements of property taxes, pursuant to the Formation Lease Agreements, which became effective on October 6, 2017, and the HLV Lease, which became effective on December 22, 2017, and was comprised of $150.1 million of earned income from direct financing leases, $11.5 million of rental income from operating leases and $19.6 million of property taxes paid by our tenants on the leased properties.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For the period from October 6, 2017 to December 31, 2017, cash received under our Lease Agreements was $213.7 million, including $60.4 million received for January 2018 rent.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period from October 6, 2017 to December 31, 2017, Golf Course related revenue was $6.4 million. Revenue for the golf courses included $2.4 million earned pursuant to the Caesars membership fee; $0.7 million from the Caesars use fee; $0.3 million from Caesars minimum rounds fees; $2.1 million from other golf activities; $0.4 million from food and beverage; and $0.5 million from merchandise sales and other.</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period from January 1, 2017 to October 5, 2017, Golf Course related revenue was $14.1 million and were comprised of golf revenues of $11.4 million, food and beverage revenues of $1.3 million and retail and other revenues of $1.4 million. Golf Course related revenue was $18.8 million and $18.1 million for the years ended December 31, 2016 and 2015, respectively. Revenues for the year ended December 31, 2016 were comprised of golf revenues of $14.6 million, food and beverage revenues of $2.1 million and other revenues of $2.1 million. Revenues for the year ended December 2015 were comprised of golf revenues of $14.1 million, food and beverage revenues of $2.1 million and other revenues of $1.9 million.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October 6, 2017 to December 31, 2017, general and administrative expenses were $9.9 million, comprised primarily of $5.0 million of compensation costs; $3.4 million of legal and professional fees and $1.1 million of franchise and other taxes.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October 6, 2017 to December 31, 2017, transaction and acquisition costs totaled $9.0 million and were comprised of expenses related to the acquisition of Harrah’s Las Vegas and the sale of the Eastside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a loss on extinguishment of debt of $38.5 million during the period from October 6, 2017 to December 31, 2017, resulting from the buy down of $400.0 million aggregate principal amount of Prior CPLV Mezzanine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taxes paid or reimbursed by our tenants were $19.6 million for the period from October 6, 2017 to December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Golf-related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Golf-related expenses totaled $4.1 million for the period from October 6, 2017 to December 31, 2017 and were primarily comprised of property-related costs consisting of land rent, grounds maintenance, taxes, insurance and utilities directly related to the golf course of $1.7 million; compensation costs of $1.1 million; and food, beverage and retail-related cost of goods sold of $0.4 million.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In addition, $0.8 million of depreciation expense was incurred by the golf business during the period from October 6, 2017 to December 31, 2017.</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Golf-related expenses totaled $14.1 million for the period from January 1, 2017 to October 5, 2017. Golf-related expenses totaled $18.8 million and $18.1 million for the years ended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period from October 6, 2017 to December 31, 2017, we incurred $63.4 million of interest expense from our borrowing obligations based upon a weighted average interest rate of 5.19%. We paid cash interest costs of $36.8 million during the 2017 period. See “Liquidity and Capital Resources” below for more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Income, Funds From Operations (“FFO”), Available Funds From Operations (“AFFO”) and Adjusted EBITDA</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income, FFO, AFFO and Adjusted EBITDA were $42.7 million, $42.7 million, $84.1 million and $145.1 million for the period from October 6, 2017 to December 31, 2017. See “Reconciliation of Non-GAAP Measures” below for a reconciliation of net income to FFO, AFFO and Adjusted EBITDA.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3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present Funds From Operations (“FFO”), Adjusted Funds From Operations (“AFFO”)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AFFO and Adjusted EBITDA provide a meaningful perspective of the underlying operating performance of our business.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gains (or losses) from sales of property plus real estate depreciation. AFFO is a non-GAAP measure that is used as a supplemental operating measure specifically for comparing year over year ability to fund dividend distribution from operating activities. AFFO is used by us as a basis to address our ability to fund our dividend payments. We calculate AFFO by adding or subtracting from FFO direct financing lease adjustments, transaction costs incurred in connection with the acquisition of real estate investments, non-cash stock-based compensation expense, amortization of debt issuance costs and original issue discount, non-cash interest expense, non-real estate depreciation (which is comprised of the depreciation related to our golf course operations), impairment charges on non-real estate assets, amortization of capitalized leasing costs and debt extinguishment gains and losses. We define Adjusted EBITDA as net income as adjusted for gains (or losses) from sales of property, real estate depreciation, direct financing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impairment charges on non-real estate assets, amortization of capitalized leasing costs, debt extinguishment gains and losses, provision for income taxes and interest expense, net.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not all companies calculate FFO, AFFO and Adjusted EBITDA in the same way we do and other companies may not perform such calculations, those measures as used by other companies may not be consistent with the way we calculate such measures and should not be considered as alternative measures of operating income or net income. Our presentation of these measures does not replace the presentation of our financial results in accordance with GAAP.</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Reconciliation of FFO, AFFO and Adjusted EBITDA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52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5"/>
              </w:rPr>
              <w:t>For the period October 6, 2017 to</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7"/>
                <w:szCs w:val="17"/>
                <w:color w:val="auto"/>
              </w:rPr>
            </w:pPr>
          </w:p>
        </w:tc>
        <w:tc>
          <w:tcPr>
            <w:tcW w:w="2160" w:type="dxa"/>
            <w:vAlign w:val="bottom"/>
          </w:tcPr>
          <w:p>
            <w:pPr>
              <w:jc w:val="right"/>
              <w:ind w:right="511"/>
              <w:spacing w:after="0"/>
              <w:rPr>
                <w:sz w:val="20"/>
                <w:szCs w:val="20"/>
                <w:color w:val="auto"/>
              </w:rPr>
            </w:pPr>
            <w:r>
              <w:rPr>
                <w:rFonts w:ascii="Arial" w:cs="Arial" w:eastAsia="Arial" w:hAnsi="Arial"/>
                <w:sz w:val="16"/>
                <w:szCs w:val="16"/>
                <w:b w:val="1"/>
                <w:bCs w:val="1"/>
                <w:color w:val="auto"/>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42,662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42,662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Direct financing lease adjustments attributable to common shareholders</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(8,362)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38,488</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Acquisition and transaction costs</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9,039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360" w:type="dxa"/>
            <w:vAlign w:val="bottom"/>
          </w:tcPr>
          <w:p>
            <w:pPr>
              <w:spacing w:after="0"/>
              <w:rPr>
                <w:sz w:val="21"/>
                <w:szCs w:val="21"/>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37"/>
        </w:trPr>
        <w:tc>
          <w:tcPr>
            <w:tcW w:w="890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w:t>
            </w:r>
          </w:p>
        </w:tc>
        <w:tc>
          <w:tcPr>
            <w:tcW w:w="36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84,119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62,916</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145,134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VICI’s intends to use funds for payment of operating expenses, cash distributions, principal and interest on our outstanding indebtedness and other investments. We expect to meet our liquidity and capital resource requirements primarily through currently available cash and cash equivalents, restricted cash, cash received under our Lease Agreements, borrowings from banks, including undrawn capacity under our Revolving Credit Facility, and proceeds from the issuance of debt and equity securities. As of December 31, 2017, our cash balance was $183.9 million, our restricted cash balance was $13.8 million and we had $300.0 million outstanding and $100.0 million was available for future borrowings under our Revolving Credit Facility.</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period from October 6, 2017 to December 31, 2017:</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right"/>
              <w:ind w:right="32"/>
              <w:spacing w:after="0"/>
              <w:rPr>
                <w:sz w:val="20"/>
                <w:szCs w:val="20"/>
                <w:color w:val="auto"/>
              </w:rPr>
            </w:pPr>
            <w:r>
              <w:rPr>
                <w:rFonts w:ascii="Arial" w:cs="Arial" w:eastAsia="Arial" w:hAnsi="Arial"/>
                <w:sz w:val="16"/>
                <w:szCs w:val="16"/>
                <w:b w:val="1"/>
                <w:bCs w:val="1"/>
                <w:color w:val="auto"/>
                <w:w w:val="90"/>
              </w:rPr>
              <w:t>Period from October 6 to December</w:t>
            </w:r>
          </w:p>
        </w:tc>
      </w:tr>
      <w:tr>
        <w:trPr>
          <w:trHeight w:val="203"/>
        </w:trPr>
        <w:tc>
          <w:tcPr>
            <w:tcW w:w="87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7"/>
                <w:szCs w:val="17"/>
                <w:color w:val="auto"/>
              </w:rPr>
            </w:pPr>
          </w:p>
        </w:tc>
        <w:tc>
          <w:tcPr>
            <w:tcW w:w="2600" w:type="dxa"/>
            <w:vAlign w:val="bottom"/>
          </w:tcPr>
          <w:p>
            <w:pPr>
              <w:jc w:val="right"/>
              <w:ind w:right="992"/>
              <w:spacing w:after="0"/>
              <w:rPr>
                <w:sz w:val="20"/>
                <w:szCs w:val="20"/>
                <w:color w:val="auto"/>
              </w:rPr>
            </w:pPr>
            <w:r>
              <w:rPr>
                <w:rFonts w:ascii="Arial" w:cs="Arial" w:eastAsia="Arial" w:hAnsi="Arial"/>
                <w:sz w:val="16"/>
                <w:szCs w:val="16"/>
                <w:b w:val="1"/>
                <w:bCs w:val="1"/>
                <w:color w:val="auto"/>
              </w:rPr>
              <w:t>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244"/>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Pr>
          <w:p>
            <w:pPr>
              <w:jc w:val="right"/>
              <w:ind w:right="12"/>
              <w:spacing w:after="0"/>
              <w:rPr>
                <w:sz w:val="20"/>
                <w:szCs w:val="20"/>
                <w:color w:val="auto"/>
              </w:rPr>
            </w:pPr>
            <w:r>
              <w:rPr>
                <w:rFonts w:ascii="Arial" w:cs="Arial" w:eastAsia="Arial" w:hAnsi="Arial"/>
                <w:sz w:val="18"/>
                <w:szCs w:val="18"/>
                <w:color w:val="auto"/>
              </w:rPr>
              <w:t>129,440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(1,136,251)</w:t>
            </w:r>
          </w:p>
        </w:tc>
      </w:tr>
      <w:tr>
        <w:trPr>
          <w:trHeight w:val="243"/>
        </w:trPr>
        <w:tc>
          <w:tcPr>
            <w:tcW w:w="40" w:type="dxa"/>
            <w:vAlign w:val="bottom"/>
          </w:tcPr>
          <w:p>
            <w:pPr>
              <w:spacing w:after="0"/>
              <w:rPr>
                <w:sz w:val="21"/>
                <w:szCs w:val="21"/>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Provided by financing activities</w:t>
            </w:r>
          </w:p>
        </w:tc>
        <w:tc>
          <w:tcPr>
            <w:tcW w:w="120" w:type="dxa"/>
            <w:vAlign w:val="bottom"/>
          </w:tcPr>
          <w:p>
            <w:pPr>
              <w:spacing w:after="0"/>
              <w:rPr>
                <w:sz w:val="21"/>
                <w:szCs w:val="21"/>
                <w:color w:val="auto"/>
              </w:rPr>
            </w:pPr>
          </w:p>
        </w:tc>
        <w:tc>
          <w:tcPr>
            <w:tcW w:w="2600" w:type="dxa"/>
            <w:vAlign w:val="bottom"/>
          </w:tcPr>
          <w:p>
            <w:pPr>
              <w:jc w:val="right"/>
              <w:ind w:right="12"/>
              <w:spacing w:after="0"/>
              <w:rPr>
                <w:sz w:val="20"/>
                <w:szCs w:val="20"/>
                <w:color w:val="auto"/>
              </w:rPr>
            </w:pPr>
            <w:r>
              <w:rPr>
                <w:rFonts w:ascii="Arial" w:cs="Arial" w:eastAsia="Arial" w:hAnsi="Arial"/>
                <w:sz w:val="18"/>
                <w:szCs w:val="18"/>
                <w:color w:val="auto"/>
              </w:rPr>
              <w:t>1,148,446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increase in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141,635</w:t>
            </w:r>
          </w:p>
        </w:tc>
      </w:tr>
      <w:tr>
        <w:trPr>
          <w:trHeight w:val="243"/>
        </w:trPr>
        <w:tc>
          <w:tcPr>
            <w:tcW w:w="40" w:type="dxa"/>
            <w:vAlign w:val="bottom"/>
          </w:tcPr>
          <w:p>
            <w:pPr>
              <w:spacing w:after="0"/>
              <w:rPr>
                <w:sz w:val="21"/>
                <w:szCs w:val="21"/>
                <w:color w:val="auto"/>
              </w:rPr>
            </w:pPr>
          </w:p>
        </w:tc>
        <w:tc>
          <w:tcPr>
            <w:tcW w:w="8660" w:type="dxa"/>
            <w:vAlign w:val="bottom"/>
            <w:gridSpan w:val="2"/>
          </w:tcPr>
          <w:p>
            <w:pPr>
              <w:ind w:left="220"/>
              <w:spacing w:after="0"/>
              <w:rPr>
                <w:sz w:val="20"/>
                <w:szCs w:val="20"/>
                <w:color w:val="auto"/>
              </w:rPr>
            </w:pPr>
            <w:r>
              <w:rPr>
                <w:rFonts w:ascii="Arial" w:cs="Arial" w:eastAsia="Arial" w:hAnsi="Arial"/>
                <w:sz w:val="18"/>
                <w:szCs w:val="18"/>
                <w:color w:val="auto"/>
              </w:rPr>
              <w:t>Balance at October 6, 2017</w:t>
            </w:r>
          </w:p>
        </w:tc>
        <w:tc>
          <w:tcPr>
            <w:tcW w:w="120" w:type="dxa"/>
            <w:vAlign w:val="bottom"/>
          </w:tcPr>
          <w:p>
            <w:pPr>
              <w:spacing w:after="0"/>
              <w:rPr>
                <w:sz w:val="21"/>
                <w:szCs w:val="21"/>
                <w:color w:val="auto"/>
              </w:rPr>
            </w:pPr>
          </w:p>
        </w:tc>
        <w:tc>
          <w:tcPr>
            <w:tcW w:w="2600" w:type="dxa"/>
            <w:vAlign w:val="bottom"/>
          </w:tcPr>
          <w:p>
            <w:pPr>
              <w:jc w:val="right"/>
              <w:ind w:right="12"/>
              <w:spacing w:after="0"/>
              <w:rPr>
                <w:sz w:val="20"/>
                <w:szCs w:val="20"/>
                <w:color w:val="auto"/>
              </w:rPr>
            </w:pPr>
            <w:r>
              <w:rPr>
                <w:rFonts w:ascii="Arial" w:cs="Arial" w:eastAsia="Arial" w:hAnsi="Arial"/>
                <w:sz w:val="18"/>
                <w:szCs w:val="18"/>
                <w:color w:val="auto"/>
              </w:rPr>
              <w:t>55,771</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6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operating activities totaled $129.4 million for the period from October 6, 2017 to December 31, 2017 with the primary source being from cash rent collected by our leasing operations of $213.7 million and the primary use being cash paid for interest on our debt obligations of $36.8 million.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96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investing activities totaled $1,136.3 million for the period from October 6, 2017 to December 31, 2017. The acquisition of Harrah’s Las Vegas for $1,136.2 million was the primary use of cash from investing activities. The sale of approximately 18.4 acres of undeveloped land located behind the LINQ Hotel &amp; Casino and Harrah’s Las Vegas to Caesars for $73.6 million was the primary source of cash from investing activities.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totaled $1,148.4 million million for the period from October 6, 2017 to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primary sources of cash from financing activities include:</w:t>
      </w:r>
    </w:p>
    <w:p>
      <w:pPr>
        <w:spacing w:after="0" w:line="17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issuance of $2,200.0 million of Term Loan B Facility;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$300.0 million draw from our Revolving Credit Facility;</w:t>
      </w:r>
    </w:p>
    <w:p>
      <w:pPr>
        <w:spacing w:after="0" w:line="171" w:lineRule="exact"/>
        <w:rPr>
          <w:rFonts w:ascii="Arial" w:cs="Arial" w:eastAsia="Arial" w:hAnsi="Arial"/>
          <w:sz w:val="18"/>
          <w:szCs w:val="18"/>
          <w:color w:val="auto"/>
        </w:rPr>
      </w:pPr>
    </w:p>
    <w:p>
      <w:pPr>
        <w:ind w:right="4100" w:firstLine="332"/>
        <w:spacing w:after="0" w:line="438"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private placement issuance of $1,000.0 million of our common stock; and The primary uses of cash from financing activities include:</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Repayment of our $1,638.4 million senior secured first lien Prior Term Loan;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Repayment of our $311.7 million first-priority senior secured Prior First Lien Notes;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purchase by VICI PropCo of the entirety of the outstanding CPLV mezzanine debt in the aggregate principal amount of $400.0 million;</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of $36.2 million related to our common stock private placement and premium and fees related to the purchase of the mezzanine debt of $38.4 million;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issuance costs of $31.5 million related to our Term Loan B Facility and Revolving Credit Facility.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Formation Date, VICI issued $1,638.4 million of Prior Term Loans; $311.7 million aggregate principal amount of Prior First Lien Notes; $766.9 million aggregate principal amount of Second Lien Notes; $1,550.0 million of CPLV CMBS Debt and $650.0 million of CPLV mezzanine debt for a total aggregate face value of debt of $4,917.0 million. The weighted average interest rate on the outstanding debt at formation was 5.36% and had a first year debt service requirements of $272.0 million.</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a mandatory conversion of the $250.0 million junior tranche of the CPLV mezzanine debt in November 2017 and certain refinancing transactions in December 2017, VICI has $4,816.9 million of aggregate face value of debt outstanding at December 31, 2017. Included in our year-end debt balances are: a new $2,200.0 million Term B Loan Facility; $300.0 million drawn on a new $400.0 million senior secured Revolving Credit Facility; $1,550.0 million of CPLV CMBS Debt; and $766.9 million of our Second Lien Notes. The weighted average interest rate on all outstanding debt at December 31, 2017 was 4.64% and has a 2018 debt service requirements of $249.3 million. In addition, we were in compliance with all debt-related covenants at December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Initial Public Offering</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5, 2018, the Company completed an initial public offering of 69,575,000 shares of common stock (which included 9,075,000 shares of common stock related to the overallotment option exercised by the underwriters in full) at an offering price of $20.00 per share for gross proceeds of $1,391.5 million, resulting in net proceeds of $1,307.0 million after commissions and expenses. The Company utilized a portion of the net proceeds from the stock offering to:</w:t>
      </w:r>
    </w:p>
    <w:p>
      <w:pPr>
        <w:jc w:val="both"/>
        <w:ind w:firstLine="8"/>
        <w:spacing w:after="0" w:line="255" w:lineRule="auto"/>
        <w:tabs>
          <w:tab w:leader="none" w:pos="2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9" w:right="239" w:bottom="1440" w:gutter="0" w:footer="0" w:header="0"/>
        </w:sectPr>
      </w:pPr>
    </w:p>
    <w:bookmarkStart w:id="53" w:name="page54"/>
    <w:bookmarkEnd w:id="53"/>
    <w:p>
      <w:pPr>
        <w:jc w:val="both"/>
        <w:ind w:right="20"/>
        <w:spacing w:after="0" w:line="277" w:lineRule="auto"/>
        <w:rPr>
          <w:sz w:val="20"/>
          <w:szCs w:val="20"/>
          <w:color w:val="auto"/>
        </w:rPr>
      </w:pPr>
      <w:r>
        <w:rPr>
          <w:rFonts w:ascii="Arial" w:cs="Arial" w:eastAsia="Arial" w:hAnsi="Arial"/>
          <w:sz w:val="18"/>
          <w:szCs w:val="18"/>
          <w:color w:val="auto"/>
        </w:rPr>
        <w:t>The impact of these subsequent payments of debt decreased our weighted average interest rate on outstanding debt from 4.64% at December 31, 2017 to 4.39% at February 28, 2018 and decreased our 2018 debt service requirements to $210.8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VICI PropCo Credit Facility</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22, 2017, VICI PropCo entered into the VICI PropCo Credit Facility, comprised of the $2,200.0 million senior secured Term Loan B Facility and a $400.0 million senior secured Revolving Credit Facility. The Revolving Credit Facility and Term Loan B Facility initially bear interest at LIBOR plus 2.25%, with an adjustment to LIBOR plus 2.00% upon an Initial Public Offering with proceeds greater than $500.0 million. The Revolving Credit Facility will mature on December 22, 2022 and the Term Loan B Facility will mature on December 22, 2024 or the date that is three months prior to the maturity date of the Second Lien Notes, whichever is earlier (or if the maturity is extended pursuant to the terms of the agreement, such extended maturity date as determined pursuant thereto). As of December 31, 2017, $300.0 million was drawn on the Revolving Credit Facility. If more than 30% of the Revolving Credit Facility is utilized at any quarter-end, VICI PropCo is required to maintain a maximum total net debt to adjusted total assets ratio.</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VICI PropCo Credit Facility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the VICI PropCo or any restricted-subsidiary. These covenants are subject to a number of important exceptions and qualifications, including, with respect to the restricted payments covenant, the ability to make unlimited restricted payments to maintain the REIT status of VICI.</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CPLV CMBS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Formation Date, CPLV Property Owner LLC, the special purpose entity that is the fee owner of CPLV (subject to the CPLV Lease Agreement) and that is indirectly owned by VICI PropCo (the “CPLV Mortgage Borrower”) borrowed the CPLV CMBS Debt, which matures in October 2022 and consists of asset-level real estate mortgage financing from various third-party financial institutions.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CPLV CMBS Debt has an interest rate of 4.36% per annum and is secured by, among other things, all of the assets of CPLV Mortgage Borrower, including, but not limited to, CPLV Mortgage Borrower’s (1) fee interest (except as provided in (2)) in and to CPLV, (2) leasehold interest with respect to Octavius Tower, and (3) interest in the CPLV Lease Agreement and all related agreements. The CPLV CMBS Debt is a first priority lien, subject only to permitted encumbrances (which are set forth in the loan documentation), and an obligation to repay a specified sum with interest. The CPLV CMBS Debt was evidenced by certain promissory notes and secured by a deed of trust that created a mortgage lien on the fee and/or leasehold interest of the CPLV Mortgage Borrower.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loan documents governing the CPLV CMBS Debt contain covenants limiting CPLV Mortgage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Formation Date, VICI Properties 1 LLC and VICI FC Inc. (together, “the co-issuers”), issued $766.9 million in aggregate principal amount of Second Lien Notes to certain creditors pursuant to the terms of the Plan of Reorganization. The Second Lien Notes are due in 2023. The notes co-issuers pay interest semi-annually on the Second Lien Notes at a rate per annum of 8.0%. The Second Lien Notes are senior secured obligations of the notes co-issuers and rank equally and ratably in right of payment with all existing and future senior obligations and senior to all future subordinated indebtedness.</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Second Lien Notes are guaranteed on a senior secured basis by each of the VICI PropCo existing and subsequently acquired direct and indirect wholly owned material domestic restricted subsidiaries, and secured by a second priority lien and security interest on substantially all of VICI PropCo and each such restricted subsidiaries’ material assets, including pledges of equity interests in their respective restricted subsidiaries and mortgages on their respective real estate (which mortgages are to be entered into within a certain period of time following the issuance of the Second Lien Notes), subject in each case to customary exceptions. Such guarantees are required to be provided by the same subsidiary guarantors that guarantee the indebtedness under the VICI PropCo Credit Facility or Prior First Lien Notes and such liens and security interests are required to be in the same collateral that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secures the indebtedness under the VICI PropCo Credit Facility or Prior First Lien Notes. Neither VICI REIT or our Operating Partnership or certain subsidiaries of VICI PropCo, including CPLV and its subsidiaries, are subject to the covenants of the indenture governing the Second Lien Notes or are guarantors of the Second Lien Notes.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indenture governing the Second Lien Notes contains covenants that limit the notes co-issuers’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 Second Lien Notes are redeemable at VICI PropCo’s option, in whole or in part, at any time, from time to time, at a price equal to 100% of the principal amount of the Second Lien Notes so redeemed and, (1) prior to the third anniversary of the issuance of such Notes, a “make-whole” premium and (2) thereafter, a prepayment premium equal to (y) 4% of the amount redeemed on and after the third anniversary of such issuance, and (z) 0% on and after the fourth anniversary of such issuance plus accrued and unpaid interest to the redemption date. In addition, prior to the third anniversary of such issuance, up to 35% of the original aggregate principal amount of the Second Lien Notes may be redeemed at VICI PropCo’s option with the net cash proceeds of certain issuances of common or preferred equity by VICI PropCo, VICI REIT or any parent entity of VICI PropCo, at a price equal to 108% of the principal amount of the Second Lien Notes redeemed plus accrued and unpaid interest to the redemption date; provided, however, that at least 50% of the original aggregate principal amount of the Second Lien Notes must remain outstanding after any such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the Company was in compliance with all required debt-related financial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our leases, capital expenditures for properties under the Formation Lease Agreements and the HLV Lease are the responsibility of the tenants.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Minimum capital expenditure spending requirements of the tenants are described in </w:t>
      </w:r>
      <w:r>
        <w:rPr>
          <w:rFonts w:ascii="Arial" w:cs="Arial" w:eastAsia="Arial" w:hAnsi="Arial"/>
          <w:sz w:val="18"/>
          <w:szCs w:val="18"/>
          <w:i w:val="1"/>
          <w:iCs w:val="1"/>
          <w:color w:val="auto"/>
        </w:rPr>
        <w:t>“Overview of our Lease Agreements</w:t>
      </w:r>
      <w:r>
        <w:rPr>
          <w:rFonts w:ascii="Arial" w:cs="Arial" w:eastAsia="Arial" w:hAnsi="Arial"/>
          <w:sz w:val="18"/>
          <w:szCs w:val="18"/>
          <w:color w:val="auto"/>
        </w:rPr>
        <w:t>” of Item 1 -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leases provide for certain increases in rent as a result of a fixed annual rent escalator or changes in the Consumer Price Index as further described in </w:t>
      </w:r>
      <w:r>
        <w:rPr>
          <w:rFonts w:ascii="Arial" w:cs="Arial" w:eastAsia="Arial" w:hAnsi="Arial"/>
          <w:sz w:val="17"/>
          <w:szCs w:val="17"/>
          <w:i w:val="1"/>
          <w:iCs w:val="1"/>
          <w:color w:val="auto"/>
        </w:rPr>
        <w:t>“Overview of our Lease Agreements</w:t>
      </w:r>
      <w:r>
        <w:rPr>
          <w:rFonts w:ascii="Arial" w:cs="Arial" w:eastAsia="Arial" w:hAnsi="Arial"/>
          <w:sz w:val="17"/>
          <w:szCs w:val="17"/>
          <w:color w:val="auto"/>
        </w:rPr>
        <w:t>” of Item 1 - Business. Inflation may cause the rent provisions to result in rent increases over time. However, we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negatively affected if increases in rent are not sufficient to cover increases in our operating expenses due to inflation. In addition, inflation and increased cost may have an adverse impact on our tenants if increases in their operating expenses exceed increases in revenue due to inflation.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as of the date this report was filed, we do not have any off-balance sheet arrangements.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in accordance with GAAP. We have identified certain accounting policies that we believe are the most critical to the presentation of our financial information over a period of time. These accounting policies may require our management to take decisions on subjective and/or complex matters relating to reported amounts of assets, liabilities, revenue, costs, expenses and related disclosures. These would further lead us to estimate the effect of matters that may inherently be uncertain.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Estimates are required in order to prepare the Financial Statements in conformity with U.S. GAAP.</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estimates, judgments, and assumptions are required in a number of areas, including, but not limited to, the application of fresh start reporting, determining the useful lives of real estate properties, and evaluating the impairment of long-lived assets, and allocation of costs and deferred income taxes. The judgment on such estimates and underlying assumptions is based on our historical experience that we believe is reasonable under the circumstances. These form the basis of our judgment on matters that may not be apparent from other available sources of information. In many instances changes in the accounting estimates are likely to occur from period to period. Actual results may differ from the estimates. We believe the current assumptions and other considerations used to estimate amounts reflected in our Financial Statements are appropriate. However, if actual experience differs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342" w:lineRule="auto"/>
        <w:rPr>
          <w:sz w:val="20"/>
          <w:szCs w:val="20"/>
          <w:color w:val="auto"/>
        </w:rPr>
      </w:pPr>
      <w:r>
        <w:rPr>
          <w:rFonts w:ascii="Arial" w:cs="Arial" w:eastAsia="Arial" w:hAnsi="Arial"/>
          <w:sz w:val="16"/>
          <w:szCs w:val="16"/>
          <w:color w:val="auto"/>
        </w:rPr>
        <w:t>from the assumptions and other considerations used in estimating amounts reflected in our Financial Statements, the resulting changes could have a material adverse effect on our consolidated results of operations and, in certain situations, could have a material adverse effect on our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REIT, the majority of our revenues are derived from rent received from our tenants under long-term triple-net leases. The accounting guidance under Financial Accounting Standards Board (“FASB”) Accounting Standards Codification (“ASC”) 840, “Leases” (“ASC 840”) is complex and requires the use of judgments and assumptions by management to determine the proper accounting treatment of a lease. We perform a lease classification upon lease inception, to determine if we will account for the lease as a capital or operating lease. Under ASC 840, for leases of both building and land, if the fair value of the land is 25 percent or more of the total fair value of the leased property at lease inception we consider the land and building separately for lease classification. In these cases, if the building element of the lease meets the criteria to be classified as a capital lease, then we account for the building element as a capital lease and the land separately as an operating lease. If the building element does not meet the criteria to be classified as a capital lease, then we account for the building and land elements as a single operating lease. To determine</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building portion of a lease triggers capital lease treatment we conduct the four lease tests in ASC 840 outlined below. If a lease meets any of the four criteria below, it is accounted for as a capital lease.</w:t>
      </w:r>
    </w:p>
    <w:p>
      <w:pPr>
        <w:spacing w:after="0" w:line="62" w:lineRule="exact"/>
        <w:rPr>
          <w:sz w:val="20"/>
          <w:szCs w:val="20"/>
          <w:color w:val="auto"/>
        </w:rPr>
      </w:pPr>
    </w:p>
    <w:p>
      <w:pPr>
        <w:jc w:val="both"/>
        <w:ind w:left="660" w:right="20" w:hanging="4"/>
        <w:spacing w:after="0" w:line="264" w:lineRule="auto"/>
        <w:tabs>
          <w:tab w:leader="none" w:pos="91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Transfer of ownership</w:t>
      </w:r>
      <w:r>
        <w:rPr>
          <w:rFonts w:ascii="Arial" w:cs="Arial" w:eastAsia="Arial" w:hAnsi="Arial"/>
          <w:sz w:val="18"/>
          <w:szCs w:val="18"/>
          <w:color w:val="auto"/>
        </w:rPr>
        <w:t>. The lease transfers ownership of the property to the lessee by the end of the lease term. This criterion is met in situations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the lease agreement provides for the transfer of title at or shortly after the end of the lease term in exchange for the payment of a nominal fee, for example, the minimum required by statutory regulation to transfer title.</w:t>
      </w:r>
    </w:p>
    <w:p>
      <w:pPr>
        <w:spacing w:after="0" w:line="73" w:lineRule="exact"/>
        <w:rPr>
          <w:rFonts w:ascii="Arial" w:cs="Arial" w:eastAsia="Arial" w:hAnsi="Arial"/>
          <w:sz w:val="18"/>
          <w:szCs w:val="18"/>
          <w:color w:val="auto"/>
        </w:rPr>
      </w:pPr>
    </w:p>
    <w:p>
      <w:pPr>
        <w:jc w:val="both"/>
        <w:ind w:left="660" w:hanging="4"/>
        <w:spacing w:after="0" w:line="264" w:lineRule="auto"/>
        <w:tabs>
          <w:tab w:leader="none" w:pos="928"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Bargain purchase option</w:t>
      </w:r>
      <w:r>
        <w:rPr>
          <w:rFonts w:ascii="Arial" w:cs="Arial" w:eastAsia="Arial" w:hAnsi="Arial"/>
          <w:sz w:val="18"/>
          <w:szCs w:val="18"/>
          <w:color w:val="auto"/>
        </w:rPr>
        <w:t>. The lease contains a bargain purchase option, which is a provision allowing the lessee, at its option, to purchase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for a price which is sufficiently lower than the expected fair value of the property at the date the option becomes exercisable. In addition, the exercise of the option must be reasonably assured at lease inception.</w:t>
      </w:r>
    </w:p>
    <w:p>
      <w:pPr>
        <w:spacing w:after="0" w:line="73" w:lineRule="exact"/>
        <w:rPr>
          <w:rFonts w:ascii="Arial" w:cs="Arial" w:eastAsia="Arial" w:hAnsi="Arial"/>
          <w:sz w:val="18"/>
          <w:szCs w:val="18"/>
          <w:color w:val="auto"/>
        </w:rPr>
      </w:pPr>
    </w:p>
    <w:p>
      <w:pPr>
        <w:jc w:val="both"/>
        <w:ind w:left="660" w:hanging="4"/>
        <w:spacing w:after="0" w:line="286" w:lineRule="auto"/>
        <w:tabs>
          <w:tab w:leader="none" w:pos="91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Lease term</w:t>
      </w:r>
      <w:r>
        <w:rPr>
          <w:rFonts w:ascii="Arial" w:cs="Arial" w:eastAsia="Arial" w:hAnsi="Arial"/>
          <w:sz w:val="17"/>
          <w:szCs w:val="17"/>
          <w:color w:val="auto"/>
        </w:rPr>
        <w:t>. The lease term is equal to 75% or more of the estimated economic life of the leased property. However, if the beginning of the lease</w:t>
      </w:r>
      <w:r>
        <w:rPr>
          <w:rFonts w:ascii="Arial" w:cs="Arial" w:eastAsia="Arial" w:hAnsi="Arial"/>
          <w:sz w:val="17"/>
          <w:szCs w:val="17"/>
          <w:i w:val="1"/>
          <w:iCs w:val="1"/>
          <w:color w:val="auto"/>
        </w:rPr>
        <w:t xml:space="preserve"> </w:t>
      </w:r>
      <w:r>
        <w:rPr>
          <w:rFonts w:ascii="Arial" w:cs="Arial" w:eastAsia="Arial" w:hAnsi="Arial"/>
          <w:sz w:val="17"/>
          <w:szCs w:val="17"/>
          <w:color w:val="auto"/>
        </w:rPr>
        <w:t>term falls within the last 25 percent of the total estimated economic life of the leased property, including earlier years of use, this criterion shall not be used for purposes of classifying the lease. This test is conducted on a property by property basis.</w:t>
      </w:r>
    </w:p>
    <w:p>
      <w:pPr>
        <w:spacing w:after="0" w:line="57" w:lineRule="exact"/>
        <w:rPr>
          <w:rFonts w:ascii="Arial" w:cs="Arial" w:eastAsia="Arial" w:hAnsi="Arial"/>
          <w:sz w:val="17"/>
          <w:szCs w:val="17"/>
          <w:color w:val="auto"/>
        </w:rPr>
      </w:pPr>
    </w:p>
    <w:p>
      <w:pPr>
        <w:jc w:val="both"/>
        <w:ind w:left="660" w:hanging="4"/>
        <w:spacing w:after="0" w:line="276"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Minimum lease payments</w:t>
      </w:r>
      <w:r>
        <w:rPr>
          <w:rFonts w:ascii="Arial" w:cs="Arial" w:eastAsia="Arial" w:hAnsi="Arial"/>
          <w:sz w:val="17"/>
          <w:szCs w:val="17"/>
          <w:color w:val="auto"/>
        </w:rPr>
        <w:t>. The present value of the minimum lease payments at the beginning of the lease term, excluding that portion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representing executory costs such as insurance, maintenance, and taxes to be paid by the lessor, including any profit thereon, equals or exceeds 90% of the fair value of the leased property to the lessor at lease inception less any related investment tax credit retained by the lessor and expected to be realized by the lessor. If the beginning of the lease term falls within the last 25% of the total estimated economic life of the leased property, including earlier years of use, this criterion shall not be used for purposes of classifying the lease.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change in estimate or judgment can result in a materially different financial statement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model is different under capital leases and operating leases.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operating lease model, as the lessor, at lease inception the land is recorded as Real Estate Investments accounted for using the operating method in our Balance Sheet and we record rental income from operating leases on a straight-line basis over the lease term. The amount of annual minimum lease payments attributable to the land element after deducting executory costs, including any profit thereon, is determined by applying our incremental borrowing rate to the value of the land. We record this lease income as Rental Income from Operating Leases in our Statement of Operations.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direct financing lease model, as lessor, at lease inception we record the lease receivable as Investment in direct financing leases, net in our Balance Sheet. Under the direct financing lease method, we recognize fixed amounts due on an effective interest basis at a constant rate of return over the lease term. As a result, the cash payments accounted for under direct financing leases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908" w:right="239" w:bottom="1440" w:gutter="0" w:footer="0" w:header="0"/>
        </w:sectPr>
      </w:pPr>
    </w:p>
    <w:bookmarkStart w:id="56" w:name="page57"/>
    <w:bookmarkEnd w:id="56"/>
    <w:p>
      <w:pPr>
        <w:jc w:val="both"/>
        <w:ind w:right="20"/>
        <w:spacing w:after="0" w:line="277" w:lineRule="auto"/>
        <w:rPr>
          <w:sz w:val="20"/>
          <w:szCs w:val="20"/>
          <w:color w:val="auto"/>
        </w:rPr>
      </w:pPr>
      <w:r>
        <w:rPr>
          <w:rFonts w:ascii="Arial" w:cs="Arial" w:eastAsia="Arial" w:hAnsi="Arial"/>
          <w:sz w:val="18"/>
          <w:szCs w:val="18"/>
          <w:color w:val="auto"/>
        </w:rPr>
        <w:t>will not equal the earned income from direct financing leases as a portion of the cash rent we receive is recorded as Earned income from direct financing leases in our Statement of Operations and a portion is recorded as a reduction to Investment in direct financing leases, net.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direct financing leases, net and Real Estate Investments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real estate investments accounted for using the operating method, we continually monitor events and circumstances that could indicate that the carrying amount of our real estate investments may not be recoverable or realized. When events or changes in circumstances indicate that a potential impairment has occurred or that the 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value of the asset to its estimated fair value. We group our real estate investments together by property,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direct financing leases, net, is evaluated for impairment as necessary, if indicators of impairment are present, to determine if there has been an-other-than-temporary decline in the residual value of the property or a change in the lessee’s credit worthiness.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Taxes—REIT Qualification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intend to elect to be taxed and qualify as a REIT for U.S. Federal income tax purposes commencing with our taxable year ended December 31, 2017, and we intend to continue to be organized and to operate in a manner that will permit us to qualify as a REIT beyond that taxable year end. To qualify as a REIT, we must meet certain organizational and operational requirements, including a requirement to distribute at least 90% of our annual REIT taxable income to stockholders (with certain adjustments),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Code provisions, we also would be disqualified from re-electing to be taxed as a REIT for the four taxable years following the year in which we failed to qualify to be taxed as a REIT.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908"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Information concerning our obligations and commitments to make future payments under contracts such as our indebtedness and future minimum lease commitments under operating leases is included in the following table as of December 31, 2017.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89"/>
              </w:rPr>
              <w:t>Payments Due By Period</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Within 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1-3 Years</w:t>
            </w:r>
          </w:p>
        </w:tc>
        <w:tc>
          <w:tcPr>
            <w:tcW w:w="20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4-5 Years</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After 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46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2,200,000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21,918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43,182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42,326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2,092,574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460"/>
              <w:spacing w:after="0" w:line="270" w:lineRule="exact"/>
              <w:rPr>
                <w:sz w:val="20"/>
                <w:szCs w:val="20"/>
                <w:color w:val="auto"/>
              </w:rPr>
            </w:pPr>
            <w:r>
              <w:rPr>
                <w:rFonts w:ascii="Arial" w:cs="Arial" w:eastAsia="Arial" w:hAnsi="Arial"/>
                <w:sz w:val="18"/>
                <w:szCs w:val="18"/>
                <w:color w:val="auto"/>
              </w:rPr>
              <w:t xml:space="preserve">CPLV CMBS Debt, principal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900" w:type="dxa"/>
            <w:vAlign w:val="bottom"/>
            <w:gridSpan w:val="2"/>
          </w:tcPr>
          <w:p>
            <w:pPr>
              <w:ind w:left="460"/>
              <w:spacing w:after="0" w:line="270" w:lineRule="exact"/>
              <w:rPr>
                <w:sz w:val="20"/>
                <w:szCs w:val="20"/>
                <w:color w:val="auto"/>
              </w:rPr>
            </w:pPr>
            <w:r>
              <w:rPr>
                <w:rFonts w:ascii="Arial" w:cs="Arial" w:eastAsia="Arial" w:hAnsi="Arial"/>
                <w:sz w:val="18"/>
                <w:szCs w:val="18"/>
                <w:color w:val="auto"/>
              </w:rPr>
              <w:t xml:space="preserve">Second Lien Notes, principal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766,892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900" w:type="dxa"/>
            <w:vAlign w:val="bottom"/>
            <w:gridSpan w:val="2"/>
            <w:shd w:val="clear" w:color="auto" w:fill="CCEEFF"/>
          </w:tcPr>
          <w:p>
            <w:pPr>
              <w:ind w:left="460"/>
              <w:spacing w:after="0" w:line="270" w:lineRule="exact"/>
              <w:rPr>
                <w:sz w:val="20"/>
                <w:szCs w:val="20"/>
                <w:color w:val="auto"/>
              </w:rPr>
            </w:pPr>
            <w:r>
              <w:rPr>
                <w:rFonts w:ascii="Arial" w:cs="Arial" w:eastAsia="Arial" w:hAnsi="Arial"/>
                <w:sz w:val="18"/>
                <w:szCs w:val="18"/>
                <w:color w:val="auto"/>
              </w:rPr>
              <w:t xml:space="preserve">Revolving Credit Facility, principal </w:t>
            </w:r>
            <w:r>
              <w:rPr>
                <w:rFonts w:ascii="Arial" w:cs="Arial" w:eastAsia="Arial" w:hAnsi="Arial"/>
                <w:sz w:val="25"/>
                <w:szCs w:val="25"/>
                <w:color w:val="auto"/>
                <w:vertAlign w:val="superscript"/>
              </w:rPr>
              <w:t>(4)</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4900" w:type="dxa"/>
            <w:vAlign w:val="bottom"/>
            <w:tcBorders>
              <w:bottom w:val="single" w:sz="8" w:color="CCEEFF"/>
            </w:tcBorders>
            <w:gridSpan w:val="2"/>
          </w:tcPr>
          <w:p>
            <w:pPr>
              <w:ind w:left="460"/>
              <w:spacing w:after="0" w:line="270" w:lineRule="exact"/>
              <w:rPr>
                <w:sz w:val="20"/>
                <w:szCs w:val="20"/>
                <w:color w:val="auto"/>
              </w:rPr>
            </w:pPr>
            <w:r>
              <w:rPr>
                <w:rFonts w:ascii="Arial" w:cs="Arial" w:eastAsia="Arial" w:hAnsi="Arial"/>
                <w:sz w:val="18"/>
                <w:szCs w:val="18"/>
                <w:color w:val="auto"/>
              </w:rPr>
              <w:t xml:space="preserve">Estimated interest payments </w:t>
            </w:r>
            <w:r>
              <w:rPr>
                <w:rFonts w:ascii="Arial" w:cs="Arial" w:eastAsia="Arial" w:hAnsi="Arial"/>
                <w:sz w:val="25"/>
                <w:szCs w:val="25"/>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1,313,336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227,372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443,709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428,567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213,688</w:t>
            </w: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 contractual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6,130,228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249,290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486,891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2,320,893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3,073,154</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Leases and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460"/>
              <w:spacing w:after="0"/>
              <w:rPr>
                <w:sz w:val="20"/>
                <w:szCs w:val="20"/>
                <w:color w:val="auto"/>
              </w:rPr>
            </w:pPr>
            <w:r>
              <w:rPr>
                <w:rFonts w:ascii="Arial" w:cs="Arial" w:eastAsia="Arial" w:hAnsi="Arial"/>
                <w:sz w:val="18"/>
                <w:szCs w:val="18"/>
                <w:color w:val="auto"/>
              </w:rPr>
              <w:t>Operating lease for Cascata Golf Course Land</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22,509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4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4"/>
              </w:rPr>
              <w:t>Golf maintenance contract for Rio Secco and Cascata Golf</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Course</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460"/>
              <w:spacing w:after="0"/>
              <w:rPr>
                <w:sz w:val="20"/>
                <w:szCs w:val="20"/>
                <w:color w:val="auto"/>
              </w:rPr>
            </w:pPr>
            <w:r>
              <w:rPr>
                <w:rFonts w:ascii="Arial" w:cs="Arial" w:eastAsia="Arial" w:hAnsi="Arial"/>
                <w:sz w:val="18"/>
                <w:szCs w:val="18"/>
                <w:color w:val="auto"/>
              </w:rPr>
              <w:t>Office leases</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leases and contract obligations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Contractual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6,156,189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253,332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488,973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2,322,764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3,091,120</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both"/>
        <w:ind w:left="180" w:hanging="172"/>
        <w:spacing w:after="0" w:line="251" w:lineRule="auto"/>
        <w:tabs>
          <w:tab w:leader="none" w:pos="196"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The Term Loan B Facility requires scheduled quarterly payments in amounts equal to 0.25% of the original aggregate principal amount, with the balance due at maturity. The Term Loan B Facility will mature on December 22, 2024 or the date that is three months prior to the maturity of the Second Lien Notes, whichever is earlier (or if the maturity is extended pursuant to the terms of the agreement, such extended maturity date as determined pursuant thereto).</w:t>
      </w:r>
    </w:p>
    <w:p>
      <w:pPr>
        <w:spacing w:after="0" w:line="1" w:lineRule="exact"/>
        <w:rPr>
          <w:rFonts w:ascii="Arial" w:cs="Arial" w:eastAsia="Arial" w:hAnsi="Arial"/>
          <w:sz w:val="23"/>
          <w:szCs w:val="23"/>
          <w:color w:val="auto"/>
          <w:vertAlign w:val="superscript"/>
        </w:rPr>
      </w:pPr>
    </w:p>
    <w:p>
      <w:pPr>
        <w:ind w:left="200" w:hanging="192"/>
        <w:spacing w:after="0" w:line="196" w:lineRule="auto"/>
        <w:tabs>
          <w:tab w:leader="none" w:pos="20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The CPLV CMBS Debt will mature on October 10, 2022.</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Second Lien Notes will mature on October 15, 2023.</w:t>
      </w:r>
    </w:p>
    <w:p>
      <w:pPr>
        <w:spacing w:after="0" w:line="24"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The Revolving Credit Facility will mature on December 22, 2022.</w:t>
      </w:r>
    </w:p>
    <w:p>
      <w:pPr>
        <w:spacing w:after="0" w:line="24" w:lineRule="exact"/>
        <w:rPr>
          <w:rFonts w:ascii="Arial" w:cs="Arial" w:eastAsia="Arial" w:hAnsi="Arial"/>
          <w:sz w:val="22"/>
          <w:szCs w:val="22"/>
          <w:color w:val="auto"/>
          <w:vertAlign w:val="superscript"/>
        </w:rPr>
      </w:pPr>
    </w:p>
    <w:p>
      <w:pPr>
        <w:ind w:left="200" w:hanging="192"/>
        <w:spacing w:after="0" w:line="182" w:lineRule="auto"/>
        <w:tabs>
          <w:tab w:leader="none" w:pos="20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Estimated interest on variable interest loans are based on a LIBOR rate of 1.50%.</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in Note 17</w:t>
      </w:r>
      <w:r>
        <w:rPr>
          <w:rFonts w:ascii="Arial" w:cs="Arial" w:eastAsia="Arial" w:hAnsi="Arial"/>
          <w:sz w:val="14"/>
          <w:szCs w:val="14"/>
          <w:color w:val="auto"/>
        </w:rPr>
        <w:t>—</w:t>
      </w:r>
      <w:r>
        <w:rPr>
          <w:rFonts w:ascii="Arial" w:cs="Arial" w:eastAsia="Arial" w:hAnsi="Arial"/>
          <w:sz w:val="18"/>
          <w:szCs w:val="18"/>
          <w:color w:val="auto"/>
        </w:rPr>
        <w:t>Subsequent Events, the Company utilized a portion of the proceeds from its initial public offering in February 2018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200" w:lineRule="exact"/>
        <w:rPr>
          <w:sz w:val="20"/>
          <w:szCs w:val="20"/>
          <w:color w:val="auto"/>
        </w:rPr>
      </w:pPr>
    </w:p>
    <w:p>
      <w:pPr>
        <w:spacing w:after="0" w:line="281"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December 31, 2017, we had $4,816.9 million aggregate principal amount of outstanding indebtedness. Approximately $2,500.0 million of our indebtedness has variable interest rates. A one percent increase or decrease in the annual interest rate on our variable rate borrowings of $2,500.0 million would increase or decrease our annual cash interest expense by approximately $25.0 million.</w:t>
      </w:r>
    </w:p>
    <w:p>
      <w:pPr>
        <w:jc w:val="both"/>
        <w:spacing w:after="0" w:line="255" w:lineRule="auto"/>
        <w:rPr>
          <w:sz w:val="20"/>
          <w:szCs w:val="20"/>
          <w:color w:val="auto"/>
        </w:rPr>
      </w:pPr>
      <w:r>
        <w:rPr>
          <w:rFonts w:ascii="Arial" w:cs="Arial" w:eastAsia="Arial" w:hAnsi="Arial"/>
          <w:sz w:val="18"/>
          <w:szCs w:val="18"/>
          <w:color w:val="auto"/>
        </w:rPr>
        <w:t>We may manage, or hedge, interest rate risks related to our borrowings by means of interest rate swap agreements. We also expect to manage our exposure to interest rate risk by maintaining a mix of fixed and variable rates for our indebtedness. However, the REIT provisions of the Code substantially limit our ability to hedge our assets and liabilities.</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900" w:right="239" w:bottom="1440" w:gutter="0" w:footer="0" w:header="0"/>
          <w:type w:val="continuous"/>
        </w:sectPr>
      </w:pPr>
    </w:p>
    <w:bookmarkStart w:id="58" w:name="page59"/>
    <w:bookmarkEnd w:id="58"/>
    <w:p>
      <w:pPr>
        <w:spacing w:after="0"/>
        <w:tabs>
          <w:tab w:leader="none" w:pos="9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391" w:lineRule="exact"/>
        <w:rPr>
          <w:sz w:val="20"/>
          <w:szCs w:val="20"/>
          <w:color w:val="auto"/>
        </w:rPr>
      </w:pPr>
    </w:p>
    <w:p>
      <w:pPr>
        <w:ind w:right="524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VICI Properties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 of VICI Properties Inc. and subsidiaries (the "Company") as of December 31, 2017, the related consolidated statements of operations, shareholders’ equity, and cash flows, for the period from October 6, 2017 (Formation Date) to December 31, 2017, and the related notes and the schedules listed in the Index at Item 15 (collectively referred to as the "financial statements"). In our opinion, the financial statements present fairly, in all material respects, the financial position of the Company as of December 31, 2017, and the results of its operations and its cash flows for the period from October 6, 2017 to December 31, 2017, in conformity with accounting principles generally accepted in the United States of America.</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9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0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w:t>
      </w:r>
    </w:p>
    <w:p>
      <w:pPr>
        <w:jc w:val="center"/>
        <w:spacing w:after="0"/>
        <w:rPr>
          <w:sz w:val="20"/>
          <w:szCs w:val="20"/>
          <w:color w:val="auto"/>
        </w:rPr>
      </w:pPr>
      <w:r>
        <w:rPr>
          <w:rFonts w:ascii="Arial" w:cs="Arial" w:eastAsia="Arial" w:hAnsi="Arial"/>
          <w:sz w:val="20"/>
          <w:szCs w:val="20"/>
          <w:b w:val="1"/>
          <w:bCs w:val="1"/>
          <w:color w:val="auto"/>
        </w:rPr>
        <w:t>(AMOUNTS IN THOUSANDS, EXCEPT SHARE DATA)</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7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Investment in direct financing leases,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8,268,643</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500"/>
              <w:spacing w:after="0"/>
              <w:rPr>
                <w:sz w:val="20"/>
                <w:szCs w:val="20"/>
                <w:color w:val="auto"/>
              </w:rPr>
            </w:pPr>
            <w:r>
              <w:rPr>
                <w:rFonts w:ascii="Arial" w:cs="Arial" w:eastAsia="Arial" w:hAnsi="Arial"/>
                <w:sz w:val="18"/>
                <w:szCs w:val="18"/>
                <w:color w:val="auto"/>
              </w:rPr>
              <w:t>Accounted for using the operating method</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1,110,400</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Property and equipment used in operations, net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74,300</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15,363</w:t>
            </w:r>
          </w:p>
        </w:tc>
      </w:tr>
      <w:tr>
        <w:trPr>
          <w:trHeight w:val="297"/>
        </w:trPr>
        <w:tc>
          <w:tcPr>
            <w:tcW w:w="96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9,739,712</w:t>
            </w:r>
          </w:p>
        </w:tc>
      </w:tr>
      <w:tr>
        <w:trPr>
          <w:trHeight w:val="311"/>
        </w:trPr>
        <w:tc>
          <w:tcPr>
            <w:tcW w:w="96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1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4,785,756</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21,595</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financing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68,117</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10,562</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3,718</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96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4,963,348</w:t>
            </w:r>
          </w:p>
        </w:tc>
      </w:tr>
      <w:tr>
        <w:trPr>
          <w:trHeight w:val="264"/>
        </w:trPr>
        <w:tc>
          <w:tcPr>
            <w:tcW w:w="96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11)</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70"/>
        </w:trPr>
        <w:tc>
          <w:tcPr>
            <w:tcW w:w="9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29"/>
        </w:trPr>
        <w:tc>
          <w:tcPr>
            <w:tcW w:w="9600" w:type="dxa"/>
            <w:vAlign w:val="bottom"/>
          </w:tcPr>
          <w:p>
            <w:pPr>
              <w:ind w:left="280"/>
              <w:spacing w:after="0"/>
              <w:rPr>
                <w:sz w:val="20"/>
                <w:szCs w:val="20"/>
                <w:color w:val="auto"/>
              </w:rPr>
            </w:pPr>
            <w:r>
              <w:rPr>
                <w:rFonts w:ascii="Arial" w:cs="Arial" w:eastAsia="Arial" w:hAnsi="Arial"/>
                <w:sz w:val="18"/>
                <w:szCs w:val="18"/>
                <w:color w:val="auto"/>
                <w:w w:val="89"/>
              </w:rPr>
              <w:t>Common stock, $0.01 par value, 700,000,000 shares authorized and 300,278,938 shares issued and outstanding at December 31,</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9600" w:type="dxa"/>
            <w:vAlign w:val="bottom"/>
          </w:tcPr>
          <w:p>
            <w:pPr>
              <w:ind w:left="28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9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Preferred stock, $0.01 par value, 50,000,000 shares authorized, 12,000,000 shares issued and no shares outstanding at December</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31, 2017</w:t>
            </w: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600" w:type="dxa"/>
            <w:vAlign w:val="bottom"/>
          </w:tcPr>
          <w:p>
            <w:pPr>
              <w:ind w:left="280"/>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4,645,824</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42,662</w:t>
            </w:r>
          </w:p>
        </w:tc>
      </w:tr>
      <w:tr>
        <w:trPr>
          <w:trHeight w:val="237"/>
        </w:trPr>
        <w:tc>
          <w:tcPr>
            <w:tcW w:w="9600" w:type="dxa"/>
            <w:vAlign w:val="bottom"/>
          </w:tcPr>
          <w:p>
            <w:pPr>
              <w:ind w:left="540"/>
              <w:spacing w:after="0"/>
              <w:rPr>
                <w:sz w:val="20"/>
                <w:szCs w:val="20"/>
                <w:color w:val="auto"/>
              </w:rPr>
            </w:pPr>
            <w:r>
              <w:rPr>
                <w:rFonts w:ascii="Arial" w:cs="Arial" w:eastAsia="Arial" w:hAnsi="Arial"/>
                <w:sz w:val="18"/>
                <w:szCs w:val="18"/>
                <w:color w:val="auto"/>
              </w:rPr>
              <w:t>Total VICI shareholders’ equity</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4,691,489</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84,875</w:t>
            </w:r>
          </w:p>
        </w:tc>
      </w:tr>
      <w:tr>
        <w:trPr>
          <w:trHeight w:val="237"/>
        </w:trPr>
        <w:tc>
          <w:tcPr>
            <w:tcW w:w="9600" w:type="dxa"/>
            <w:vAlign w:val="bottom"/>
          </w:tcPr>
          <w:p>
            <w:pPr>
              <w:ind w:left="5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4,776,364</w:t>
            </w:r>
          </w:p>
        </w:tc>
      </w:tr>
      <w:tr>
        <w:trPr>
          <w:trHeight w:val="27"/>
        </w:trPr>
        <w:tc>
          <w:tcPr>
            <w:tcW w:w="9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9,739,712</w:t>
            </w:r>
          </w:p>
        </w:tc>
      </w:tr>
      <w:tr>
        <w:trPr>
          <w:trHeight w:val="20"/>
        </w:trPr>
        <w:tc>
          <w:tcPr>
            <w:tcW w:w="9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6"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OPERATIONS</w:t>
      </w:r>
    </w:p>
    <w:p>
      <w:pPr>
        <w:jc w:val="center"/>
        <w:spacing w:after="0"/>
        <w:rPr>
          <w:sz w:val="20"/>
          <w:szCs w:val="20"/>
          <w:color w:val="auto"/>
        </w:rPr>
      </w:pPr>
      <w:r>
        <w:rPr>
          <w:rFonts w:ascii="Arial" w:cs="Arial" w:eastAsia="Arial" w:hAnsi="Arial"/>
          <w:sz w:val="20"/>
          <w:szCs w:val="20"/>
          <w:b w:val="1"/>
          <w:bCs w:val="1"/>
          <w:color w:val="auto"/>
        </w:rPr>
        <w:t>(AMOUNTS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Period from October 6 to</w:t>
            </w:r>
          </w:p>
        </w:tc>
      </w:tr>
      <w:tr>
        <w:trPr>
          <w:trHeight w:val="210"/>
        </w:trPr>
        <w:tc>
          <w:tcPr>
            <w:tcW w:w="9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Earned income from direct financing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150,171</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 from 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11,529</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19,558</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Golf-related</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6,351</w:t>
            </w:r>
          </w:p>
        </w:tc>
      </w:tr>
      <w:tr>
        <w:trPr>
          <w:trHeight w:val="237"/>
        </w:trPr>
        <w:tc>
          <w:tcPr>
            <w:tcW w:w="9260" w:type="dxa"/>
            <w:vAlign w:val="bottom"/>
          </w:tcPr>
          <w:p>
            <w:pPr>
              <w:ind w:left="54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187,609</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18"/>
        </w:trPr>
        <w:tc>
          <w:tcPr>
            <w:tcW w:w="9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9,939</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751</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19,558</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Golf-related</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4,126</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and transaction expenses</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9,039</w:t>
            </w:r>
          </w:p>
        </w:tc>
      </w:tr>
      <w:tr>
        <w:trPr>
          <w:trHeight w:val="237"/>
        </w:trPr>
        <w:tc>
          <w:tcPr>
            <w:tcW w:w="926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43,413</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18"/>
        </w:trPr>
        <w:tc>
          <w:tcPr>
            <w:tcW w:w="9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144,196</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extinguishment of debt</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(38,488)</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42,636</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1,901</w:t>
            </w: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44,537</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w:t>
            </w:r>
          </w:p>
        </w:tc>
      </w:tr>
      <w:tr>
        <w:trPr>
          <w:trHeight w:val="297"/>
        </w:trPr>
        <w:tc>
          <w:tcPr>
            <w:tcW w:w="9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42,662</w:t>
            </w:r>
          </w:p>
        </w:tc>
      </w:tr>
      <w:tr>
        <w:trPr>
          <w:trHeight w:val="311"/>
        </w:trPr>
        <w:tc>
          <w:tcPr>
            <w:tcW w:w="9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227,828,844</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227,985,455</w:t>
            </w: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324"/>
        </w:trPr>
        <w:tc>
          <w:tcPr>
            <w:tcW w:w="9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Common per share data</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0.19</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1"/>
              <w:spacing w:after="0"/>
              <w:rPr>
                <w:sz w:val="20"/>
                <w:szCs w:val="20"/>
                <w:color w:val="auto"/>
              </w:rPr>
            </w:pPr>
            <w:r>
              <w:rPr>
                <w:rFonts w:ascii="Arial" w:cs="Arial" w:eastAsia="Arial" w:hAnsi="Arial"/>
                <w:sz w:val="18"/>
                <w:szCs w:val="18"/>
                <w:color w:val="auto"/>
              </w:rPr>
              <w:t>0.19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46"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 OF SHAREHOLDERS’ EQUITY</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rPr>
              <w:t>Total VICI</w:t>
            </w:r>
          </w:p>
        </w:tc>
        <w:tc>
          <w:tcPr>
            <w:tcW w:w="2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Preferred</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Additional paid-in</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c>
          <w:tcPr>
            <w:tcW w:w="240" w:type="dxa"/>
            <w:vAlign w:val="bottom"/>
          </w:tcPr>
          <w:p>
            <w:pPr>
              <w:spacing w:after="0"/>
              <w:rPr>
                <w:sz w:val="17"/>
                <w:szCs w:val="17"/>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controlling</w:t>
            </w:r>
          </w:p>
        </w:tc>
        <w:tc>
          <w:tcPr>
            <w:tcW w:w="24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240" w:type="dxa"/>
            <w:vAlign w:val="bottom"/>
          </w:tcPr>
          <w:p>
            <w:pPr>
              <w:spacing w:after="0"/>
              <w:rPr>
                <w:sz w:val="18"/>
                <w:szCs w:val="18"/>
                <w:color w:val="auto"/>
              </w:rPr>
            </w:pPr>
          </w:p>
        </w:tc>
        <w:tc>
          <w:tcPr>
            <w:tcW w:w="98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interests</w:t>
            </w:r>
          </w:p>
        </w:tc>
        <w:tc>
          <w:tcPr>
            <w:tcW w:w="24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r>
      <w:tr>
        <w:trPr>
          <w:trHeight w:val="33"/>
        </w:trPr>
        <w:tc>
          <w:tcPr>
            <w:tcW w:w="2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6,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3,431,781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3,433,673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3,516,673</w:t>
            </w:r>
          </w:p>
        </w:tc>
      </w:tr>
      <w:tr>
        <w:trPr>
          <w:trHeight w:val="237"/>
        </w:trPr>
        <w:tc>
          <w:tcPr>
            <w:tcW w:w="23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42,662</w:t>
            </w:r>
          </w:p>
        </w:tc>
        <w:tc>
          <w:tcPr>
            <w:tcW w:w="2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1,875</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44,537</w:t>
            </w:r>
          </w:p>
        </w:tc>
      </w:tr>
      <w:tr>
        <w:trPr>
          <w:trHeight w:val="3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Issuance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2360" w:type="dxa"/>
            <w:vAlign w:val="bottom"/>
          </w:tcPr>
          <w:p>
            <w:pPr>
              <w:ind w:left="160"/>
              <w:spacing w:after="0"/>
              <w:rPr>
                <w:sz w:val="20"/>
                <w:szCs w:val="20"/>
                <w:color w:val="auto"/>
              </w:rPr>
            </w:pPr>
            <w:r>
              <w:rPr>
                <w:rFonts w:ascii="Arial" w:cs="Arial" w:eastAsia="Arial" w:hAnsi="Arial"/>
                <w:sz w:val="16"/>
                <w:szCs w:val="16"/>
                <w:color w:val="auto"/>
              </w:rPr>
              <w:t>Preferred stock conversion</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Mandatory debt conversion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249,987</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249,987</w:t>
            </w:r>
          </w:p>
        </w:tc>
      </w:tr>
      <w:tr>
        <w:trPr>
          <w:trHeight w:val="237"/>
        </w:trPr>
        <w:tc>
          <w:tcPr>
            <w:tcW w:w="2360" w:type="dxa"/>
            <w:vAlign w:val="bottom"/>
          </w:tcPr>
          <w:p>
            <w:pPr>
              <w:ind w:left="160"/>
              <w:spacing w:after="0"/>
              <w:rPr>
                <w:sz w:val="20"/>
                <w:szCs w:val="20"/>
                <w:color w:val="auto"/>
              </w:rPr>
            </w:pPr>
            <w:r>
              <w:rPr>
                <w:rFonts w:ascii="Arial" w:cs="Arial" w:eastAsia="Arial" w:hAnsi="Arial"/>
                <w:sz w:val="16"/>
                <w:szCs w:val="16"/>
                <w:color w:val="auto"/>
              </w:rPr>
              <w:t>Private equity placement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963,241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963,782</w:t>
            </w:r>
          </w:p>
        </w:tc>
        <w:tc>
          <w:tcPr>
            <w:tcW w:w="2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963,782</w:t>
            </w:r>
          </w:p>
        </w:tc>
      </w:tr>
      <w:tr>
        <w:trPr>
          <w:trHeight w:val="33"/>
        </w:trPr>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stock compensation</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1,385</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w:t>
            </w:r>
          </w:p>
        </w:tc>
      </w:tr>
      <w:tr>
        <w:trPr>
          <w:trHeight w:val="257"/>
        </w:trPr>
        <w:tc>
          <w:tcPr>
            <w:tcW w:w="2360" w:type="dxa"/>
            <w:vAlign w:val="bottom"/>
          </w:tcPr>
          <w:p>
            <w:pPr>
              <w:ind w:left="20"/>
              <w:spacing w:after="0"/>
              <w:rPr>
                <w:sz w:val="20"/>
                <w:szCs w:val="20"/>
                <w:color w:val="auto"/>
              </w:rPr>
            </w:pPr>
            <w:r>
              <w:rPr>
                <w:rFonts w:ascii="Arial" w:cs="Arial" w:eastAsia="Arial" w:hAnsi="Arial"/>
                <w:sz w:val="16"/>
                <w:szCs w:val="16"/>
                <w:color w:val="auto"/>
              </w:rPr>
              <w:t>Balance at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3,003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4,645,824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42,662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4,691,489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84,875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4,776,364</w:t>
            </w:r>
          </w:p>
        </w:tc>
      </w:tr>
      <w:tr>
        <w:trPr>
          <w:trHeight w:val="20"/>
        </w:trPr>
        <w:tc>
          <w:tcPr>
            <w:tcW w:w="2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40" w:top="346" w:right="33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 OF CASH FLOWS</w:t>
      </w:r>
    </w:p>
    <w:p>
      <w:pPr>
        <w:jc w:val="center"/>
        <w:ind w:right="20"/>
        <w:spacing w:after="0"/>
        <w:rPr>
          <w:sz w:val="20"/>
          <w:szCs w:val="20"/>
          <w:color w:val="auto"/>
        </w:rPr>
      </w:pPr>
      <w:r>
        <w:rPr>
          <w:rFonts w:ascii="Arial" w:cs="Arial" w:eastAsia="Arial" w:hAnsi="Arial"/>
          <w:sz w:val="20"/>
          <w:szCs w:val="20"/>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Period from October 6 to</w:t>
            </w:r>
          </w:p>
        </w:tc>
      </w:tr>
      <w:tr>
        <w:trPr>
          <w:trHeight w:val="210"/>
        </w:trPr>
        <w:tc>
          <w:tcPr>
            <w:tcW w:w="8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44,537</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1,385</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43"/>
        </w:trPr>
        <w:tc>
          <w:tcPr>
            <w:tcW w:w="8040" w:type="dxa"/>
            <w:vAlign w:val="bottom"/>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Investment in direct financing leases, net</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(7,159)</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interest</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21,595</w:t>
            </w:r>
          </w:p>
        </w:tc>
      </w:tr>
      <w:tr>
        <w:trPr>
          <w:trHeight w:val="243"/>
        </w:trPr>
        <w:tc>
          <w:tcPr>
            <w:tcW w:w="80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68,081</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129,440</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Acquisition of investment in direct financing leases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(1,136,200)</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property and equipment, net of change in related payables</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7"/>
        </w:trPr>
        <w:tc>
          <w:tcPr>
            <w:tcW w:w="8040" w:type="dxa"/>
            <w:vAlign w:val="bottom"/>
          </w:tcPr>
          <w:p>
            <w:pPr>
              <w:ind w:left="5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(1,136,251)</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Proceeds from private placement of common stock</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963,782</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issuance of Term B Loan Facility, net</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2,194,686</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Proceeds from issuance of Revolving Credit Facility, net</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298,000</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Prior Term Loan</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(1,638,387)</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Payment of Prior First Lien Notes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(311,721)</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Mezzanine Debt</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(31,501)</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unrecognized sale of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73,600</w:t>
            </w: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Mandatory debt conversion costs</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1,148,446</w:t>
            </w:r>
          </w:p>
        </w:tc>
      </w:tr>
      <w:tr>
        <w:trPr>
          <w:trHeight w:val="318"/>
        </w:trPr>
        <w:tc>
          <w:tcPr>
            <w:tcW w:w="80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141,635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55,771</w:t>
            </w: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197,406</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311"/>
        </w:trPr>
        <w:tc>
          <w:tcPr>
            <w:tcW w:w="8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36,779</w:t>
            </w: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43"/>
        </w:trPr>
        <w:tc>
          <w:tcPr>
            <w:tcW w:w="8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22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440"/>
          </w:cols>
          <w:pgMar w:left="740" w:top="45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440"/>
          </w:cols>
          <w:pgMar w:left="740" w:top="454" w:right="71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REIT,””VICI,” “Company,” “we,” “our,” and “us” refer to VICI Properties Inc., unless otherwise stated or the context requires otherwise.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“CEOC” refers to Caesars Entertainment Operating Company, Inc., a Delaware corporation, prior to the October 6, 2017 (the “Formation Date”), and following the Formation Date, CEOC, LLC, a Delaware limited liability company. “Caesars” or “CEC” refers to Caesars Entertainment Corporation.</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“VICI PropCo” refers to VICI Properties 1 LLC, a Delaware limited liability company, which through its subsidiaries own the real estate assets transferred by CEOC to VICI on the Formation Date and “CPLV” refers to the Caesars Palace Las Vegas facility located in the Las Vegas Strip, which was owned by CEOC prior to the Formation Date and whose related real estate assets were transferred by CEOC to us on the Formation Date.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Formation and Basis of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Formation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VICI is a Maryland corporation that was created to hold certain real estate assets owned by Caesars Entertainment Operating Company (“CEOC”), upon CEOC’s emergence from bankruptcy. Pursuant to CEOC’s Plan of Reorganization, on October 6, 2017 (the “Formation Date”), the historical business of CEOC was separated by means of a spin-off transaction whereby the real property assets (“Formation Properties”) of CEOC and certain of its subsidiaries, including four golf course businesses, were transferred through a series of transactions to VICI. Following the Formation Date, VICI is a stand-alone entity that was initially owned by certain former creditors of CEOC. VICI is primarily engaged in the business of owning and acquiring gaming, hospitality and entertainment destinations. VICI leases the Formation Properties and Harrah’s Las Vegas, which was acquired on December 22, 2017, to subsidiaries of Caesars. VICI conducts its real property business through an operating partnership and its golf course business through a taxable REIT subsidiary (“TRS”), VICI Golf LLC.</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VICI intends to make an election on its Federal income tax return for its taxable year ended December 31, 2017 to be treated as a real estate investment trust (“REIT”).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with the applicable rules and regulations of the Securities and Exchange Commission. The consolidated statements of operations, shareholders’ equity and cash flows are presented for the period beginning with the date that the Company initiated its operations, October 6, 2017, through the end of 2017.</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Formation Date, the Company adopted fresh-start reporting in accordance with provisions of ASC 852, “Reorganizations” (“ASC 852”). In the application of fresh start accounting, VICI allocated the enterprise value to the fair value of assets and liabilities in conformity with the guidance for the acquisition method of accounting for business combinations under ASC 805, “Business Combinations” (“ASC 805”).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The Company’s most significant assumptions and estimates relate to the establishment of the fair value of investment in direct financing leases and real estate investments under ASC 852 at the date of emergence and the computation of lease revenue under ASC 840, “Leases” (“ASC 840”). These estimates are based on assumptions which management believes are reasonable under the circumstances. Management evaluates its estimates on an ongoing basis and makes revisions to these estimates and related disclosures as experience develops or new information becomes known. Actual results could differ from these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accompanying consolidated Financial Statements include the accounts of VICI, its wholly owned subsidiaries and a single variable interest entity (VIE) where VICI is the primary beneficiary. All significant intercompany accounts and transactions have been eliminated in consolidation.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73"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consolidate all subsidiaries in which we have a controlling financial interest and VIEs for which we or one of our consolidated subsidiaries is the primary beneficiary.</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identify entities for which control is achieved through means other than voting rights and to determine which business enterprise is the primary beneficiary of VIE. A VIE is an entity in which either (i) the equity investors as a group, if any,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We identify the primary beneficiary of a VIE as the enterprise that has both of the following characteristics: (i) the power to direct the activities of the VIE that most significantly impact the entity’s economic performance; and (ii) the obligation to absorb losses or receive benefits of the VIE that could potentially be significant to the entity. We consolidate our investment in a VIE when we determine that we are the primary beneficiary. We may change our original assessment of a VIE upon subsequent events such as the modification of contractual arrangements that affect the characteristics or adequacy of the entity’s equity investments at risk and the disposition of all or a portion of an interest held by the primary beneficiary. We perform this analysis on an ongoing basis. The consolidated financial statements of VICI include the accounts of our Operating Partnership, a VIE of which we are the primary beneficiary, as well as its wholly owned and majority-owned subsidiaries. VICI’s maximum exposure to loss is the carrying value of the assets and liabilities of the Operating Partnership, which represents the substantial majority of VICI’s assets and liabilities. As VICI holds what is deemed a majority voting interest in the Operating Partnership through its ownership of the Operating Partnership’s sole general partner, it qualifies for the exemption from providing certain of the required disclosures associated with investments in VIEs.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VICI presents non-controlling interest and classifies such interest as a component of consolidated shareholders’ equity, separate from VICI shareholders equity. Non-controlling interest in VICI represents a 20% third party ownership of Harrah’s Joliet LandCo LLC, the entity that owns the Harrah’s Joliet facility and the related Joliet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each of which is an operating segments and is aggregated into one reportable segment.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overhead costs are allocated to reportable segments based upon revenue or headcount. Management believes that the assumptions and methodologies used in the allocation of such expenses are reasonable.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consists of cash-on-hand and cash-in-bank. Any short-term investments with an original maturity of three months or less from the date of purchase are considered cash equivalents and are stated at the lower of cost or market value.</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comprised of funds paid monthly by Caesars for the CPLV rent that are held in a restricted cash management account for the purpose of funding debt service or impositions related to CPLV debt issued by us. Once all debt service and impositions are paid out of restricted cash, the remaining funds are returned to the Company’s unrestricted operating account.</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 the Balance Sheet to the total of the same such amounts presented in the Statement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gridSpan w:val="3"/>
          </w:tcPr>
          <w:p>
            <w:pPr>
              <w:ind w:left="40"/>
              <w:spacing w:after="0"/>
              <w:rPr>
                <w:sz w:val="20"/>
                <w:szCs w:val="20"/>
                <w:color w:val="auto"/>
              </w:rPr>
            </w:pPr>
            <w:r>
              <w:rPr>
                <w:rFonts w:ascii="Arial" w:cs="Arial" w:eastAsia="Arial" w:hAnsi="Arial"/>
                <w:sz w:val="16"/>
                <w:szCs w:val="16"/>
                <w:b w:val="1"/>
                <w:bCs w:val="1"/>
                <w:i w:val="1"/>
                <w:iCs w:val="1"/>
                <w:color w:val="auto"/>
              </w:rPr>
              <w:t>(In thousands)</w:t>
            </w:r>
          </w:p>
        </w:tc>
        <w:tc>
          <w:tcPr>
            <w:tcW w:w="240" w:type="dxa"/>
            <w:vAlign w:val="bottom"/>
          </w:tcPr>
          <w:p>
            <w:pPr>
              <w:spacing w:after="0"/>
              <w:rPr>
                <w:sz w:val="18"/>
                <w:szCs w:val="18"/>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2017</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top w:val="single" w:sz="8" w:color="auto"/>
              <w:bottom w:val="single" w:sz="8" w:color="CCEEFF"/>
            </w:tcBorders>
          </w:tcPr>
          <w:p>
            <w:pPr>
              <w:spacing w:after="0"/>
              <w:rPr>
                <w:sz w:val="4"/>
                <w:szCs w:val="4"/>
                <w:color w:val="auto"/>
              </w:rPr>
            </w:pPr>
          </w:p>
        </w:tc>
        <w:tc>
          <w:tcPr>
            <w:tcW w:w="8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13,760</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8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197,406</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Following the formation transactions in October 2017, all of the real estate holdings of VICI (other than VICI Golf LLC) is leased by VICI to CEOC or other affiliates of Caesars, and most of VICI’s revenues are derived from the Master Leases that VICI has with affiliates of Caesars. Other than VICI having a single tenant from which it will derive most of its revenue, management does not believe there are any other significant concentrations of credit risk.</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73" w:right="239"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direct financing leases, net and Real Estate Investments</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guidance in ASC 840, the initial Lease Agreements are bifurcated between operating leases and direct financing leases. The fair value assigned to certain portions of the land qualify for operating lease treatment while the fair value assigned to the buildings is classified as a direct financing lease, and the portion of the land which was not bifurcated is also classified as part of direct financing lease.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Land accounted for under the operating method has an indefinite useful life and is not depreciated.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5</w:t>
      </w:r>
      <w:r>
        <w:rPr>
          <w:rFonts w:ascii="Arial" w:cs="Arial" w:eastAsia="Arial" w:hAnsi="Arial"/>
          <w:sz w:val="16"/>
          <w:szCs w:val="16"/>
          <w:color w:val="auto"/>
        </w:rPr>
        <w:t>—</w:t>
      </w:r>
      <w:r>
        <w:rPr>
          <w:rFonts w:ascii="Arial" w:cs="Arial" w:eastAsia="Arial" w:hAnsi="Arial"/>
          <w:sz w:val="18"/>
          <w:szCs w:val="18"/>
          <w:color w:val="auto"/>
        </w:rPr>
        <w:t>Property Transactions, the Company sold certain land parcels to Caesars for $73.6 million. Due to a put/call option on the land parcels, it was determined that the transaction does not meet the requirements of a completed sale for accounting purposes. As a result, we reclassified $73.6 million from Real estate investments accounted for using the operating method to Land. Additionally, the Company recorded a $73.6 million Deferred financing liability in its Balance Sheet.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real estate investments accounted for using the operating method, we continually monitor events and circumstances that could indicate that the carrying amount of our real estate investments may not be recoverable or realized. When events or changes in circumstances indicate that a potential impairment has occurred or that the carrying value of a real estate investment may not be recoverable, we use an estimate of the undiscounted value of expected future operating cash flows to determine whether the real estate investment is impaired. If the undiscounted cash flows plus net proceeds expected from the disposition of the asset is less than the carrying value of the assets, we recognize an impairment charge equivalent to the amount required to reduce the carrying value of the asset to its estimated fair value. We group our real estate investments together by property, the lowest level for which identifiable cash flows are available, in evaluating impairment. In assessing the recoverability of the carrying value, we must make assumptions regarding future cash flows and other factors. Factors considered in performing this assessment include current operating results, market and other applicable trends and residual values, as well as the effect of obsolescence, demand, competition and other factors. If these estimates or the related assumptions change in the future, we may be required to record an impairment loss.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an investment in direct financing leases is identified for impairment evaluation, the Company will apply the guidance in both ASC 310 "Receivables" ("ASC 310") and ASC 360 "Property, Plant and Equipment" ("ASC 360"). Under ASC 310, the lease receivable portion of the net investment in direct financing lease is identified for impairment when it becomes probable to the Company, as the lessor, will be unable to collect all rental payments associated with our investment in direct financing leases. Under ASC 360, the residual value portion of the net investment in direct financing leases is monitored for impairment under the same method the Company applies to real estate 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impairments identified on our real estate investments or our investment in direct financing leases, net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Used in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used in operations represents assets for VICI Golf LLC, our golf operations, and were recorded at fair value of $75.0 million at the Formation Date. Judgments are made in determining their estimated useful lives and salvage values and if or when an asset (or asset group) has been impaired. The accuracy of these estimates affects the amount of depreciation expense recognized in our financial results and whether we have a gain or loss on the disposal of an asset. We assign lives to our assets based on our standard policy, which is established by management as representative of the useful life of each category of asset.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carrying value of our assets whenever events and circumstances indicate that the carrying value of an asset may not be recoverable from the estimated future cash flows expected to result from its use and eventual disposition. Other factors considered by management in performing this assessment may include current operating results, trends, prospects, and third-party appraisals, as well as the effect of demand, competition, and other economic, legal, and regulatory factors. In estimated expected future cash flows for determining whether an asset is impaired, assets are grouped at the lowest level of identifiable cash flows, which is the aggregate of the four golf courses. We typically estimate the fair value of assets starting with a “Replacement Cost New” approach and then deduct appropriate amounts for both functional and economic obsolescence to arrive at the fair value estimates. These analyses are sensitive to management assumptions and the estimates of the obsolescence factors. Changes in these assumptions and estimates could have a material impact on the analyses and the Financial Statements. In 2017, no impairment on assets was recorded.</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Additions to property used in operations are stated at cost. We capitalize the costs of improvements that extend the life of the asset. We expense maintenance and repair costs as incurred. Gains or losses on the dispositions of property and equipment are recognized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3"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period of disposal. With respect to golf course improvements (included in land improvements), only costs associated with original construction, complete replacements of items such as tee boxes and putting greens, or the addition of new trees, sand traps, fairways or putting greens are capitalized. All other related costs are expensed as incurred. For building improvements, only costs that extend the useful life of the building are capitalized.</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land improvements include site preparations that prepare land for its intended use as a golf course. Like the land itself, these improvements are inexhaustible and therefore not depreciated. Examples include excavation, filling, grading and preparation of fairways and roughs. Depreciable land improvements are defined as improvements made to land that have determinable estimated useful lives and deteriorate with use or passage of time. These improvements were built or installed to enhance or facilitate the use of land for a particular purpose. Depreciable land improvements associated with the golf courses include greens, bunkers, tee boxes, cart paths, fences and gates, landscaping and sprinkler systems.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Depreciable land improvements</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years</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940" w:type="dxa"/>
            <w:vAlign w:val="bottom"/>
          </w:tcPr>
          <w:p>
            <w:pPr>
              <w:jc w:val="right"/>
              <w:spacing w:after="0"/>
              <w:rPr>
                <w:sz w:val="20"/>
                <w:szCs w:val="20"/>
                <w:color w:val="auto"/>
              </w:rPr>
            </w:pPr>
            <w:r>
              <w:rPr>
                <w:rFonts w:ascii="Arial" w:cs="Arial" w:eastAsia="Arial" w:hAnsi="Arial"/>
                <w:sz w:val="18"/>
                <w:szCs w:val="18"/>
                <w:color w:val="auto"/>
              </w:rPr>
              <w:t>5-25 years</w:t>
            </w:r>
          </w:p>
        </w:tc>
      </w:tr>
      <w:tr>
        <w:trPr>
          <w:trHeight w:val="27"/>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and equipment</w:t>
            </w:r>
          </w:p>
        </w:tc>
        <w:tc>
          <w:tcPr>
            <w:tcW w:w="4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r>
        <w:trPr>
          <w:trHeight w:val="27"/>
        </w:trPr>
        <w:tc>
          <w:tcPr>
            <w:tcW w:w="64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Revenue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REIT, the majority of our revenues are derived from rent received from our tenants under long-term triple-net leases. The accounting guidance under ASC 840 is complex and requires the use of judgments and assumptions by management to determine the proper accounting treatment of a lease. We perform a lease classification upon lease inception to determine if we will account for the lease as a capital or operating lease.</w:t>
      </w:r>
    </w:p>
    <w:p>
      <w:pPr>
        <w:spacing w:after="0" w:line="1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ASC 840, for leases of both building and land, if the fair value of the land is 25% or more of the total fair value of the leased property at lease inception, we consider the land and building separately for lease classification. In these cases, if the building element of the lease meets the criteria to be classified as a capital lease, then we account for the building element as a capital lease and the land separately as an operating lease. If the building element does not meet the criteria to be classified as a capital lease, then we account for the building and land elements as a single operating lease.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determine if the building portion of a lease triggers capital lease treatment, we conduct the four lease tests in ASC 840 outlined below. If a lease meets any of the four criteria below, it is accounted for as a capital lease.</w:t>
      </w:r>
    </w:p>
    <w:p>
      <w:pPr>
        <w:spacing w:after="0" w:line="116" w:lineRule="exact"/>
        <w:rPr>
          <w:sz w:val="20"/>
          <w:szCs w:val="20"/>
          <w:color w:val="auto"/>
        </w:rPr>
      </w:pPr>
    </w:p>
    <w:p>
      <w:pPr>
        <w:jc w:val="both"/>
        <w:ind w:left="660" w:hanging="16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of ownership. The lease transfers ownership of the property to the lessee by the end of the lease term. This criterion is met in situations in which the lease agreement provides for the transfer of title at or shortly after the end of the lease term in exchange for the payment of a nominal fee, for example, the minimum required by statutory regulation to transfer title.</w:t>
      </w:r>
    </w:p>
    <w:p>
      <w:pPr>
        <w:spacing w:after="0" w:line="127" w:lineRule="exact"/>
        <w:rPr>
          <w:rFonts w:ascii="Arial" w:cs="Arial" w:eastAsia="Arial" w:hAnsi="Arial"/>
          <w:sz w:val="18"/>
          <w:szCs w:val="18"/>
          <w:color w:val="auto"/>
        </w:rPr>
      </w:pPr>
    </w:p>
    <w:p>
      <w:pPr>
        <w:jc w:val="both"/>
        <w:ind w:left="660" w:hanging="16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Bargain purchase option. The lease contains a bargain purchase option, which is a provision allowing the lessee, at its option, to purchase the leased property for a price which is sufficiently lower than the expected fair value of the property at the date the option becomes exercisable. In addition, the exercise of the option must be reasonably assured at lease inception.</w:t>
      </w:r>
    </w:p>
    <w:p>
      <w:pPr>
        <w:spacing w:after="0" w:line="127" w:lineRule="exact"/>
        <w:rPr>
          <w:rFonts w:ascii="Arial" w:cs="Arial" w:eastAsia="Arial" w:hAnsi="Arial"/>
          <w:sz w:val="18"/>
          <w:szCs w:val="18"/>
          <w:color w:val="auto"/>
        </w:rPr>
      </w:pPr>
    </w:p>
    <w:p>
      <w:pPr>
        <w:jc w:val="both"/>
        <w:ind w:left="660" w:hanging="166"/>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Lease term. The lease term is equal to 75% or more of the estimated economic life of the leased property. However, if the beginning of the lease term falls within the last 25% of the total estimated economic life of the leased property, including earlier years of use, this criterion shall not be used for purposes of classifying the lease. This test is conducted on a property by property basis.</w:t>
      </w:r>
    </w:p>
    <w:p>
      <w:pPr>
        <w:spacing w:after="0" w:line="127" w:lineRule="exact"/>
        <w:rPr>
          <w:rFonts w:ascii="Arial" w:cs="Arial" w:eastAsia="Arial" w:hAnsi="Arial"/>
          <w:sz w:val="18"/>
          <w:szCs w:val="18"/>
          <w:color w:val="auto"/>
        </w:rPr>
      </w:pPr>
    </w:p>
    <w:p>
      <w:pPr>
        <w:jc w:val="both"/>
        <w:ind w:left="660" w:hanging="166"/>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Minimum lease payments. The present value of the minimum lease payments at the beginning of the lease term, excluding that portion of the payments representing executory costs such as insurance, maintenance and taxes to be paid by the lessor, including any profit thereon, equals or exceeds 90% of the fair value of the leased property to the lessor at lease inception less any related investment tax credit retained by the lessor and expected to be realized by the lessor. If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73"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beginning of the lease term falls within the last 25% of the total estimated economic life of the leased property, including earlier years of use, this criterion shall not be used for purposes of classifying the lease.</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tests outlined above, as well as the resulting calculations, require subjective judgments, such as determining, at lease inception, the fair value of the assets, the residual value of the assets at the end of the lease term, the likelihood a tenant will exercise all renewal options (in order to determine the lease term), the estimated remaining economic life of the leased assets, the incremental borrowing rate of the lessee and the interest rate implicit in the lease. A change in estimate or judgment can result in a materially different financial statement presentation.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revenue recognition model is different under capital leases and operating leases.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operating lease model, as the lessor, at lease inception the land is recorded as Real estate investments accounted for using the operating method in our Balance Sheet and we record rental income from operating leases on a straight-line basis over the lease term. The amount of annual minimum lease payments attributable to the land element after deducting executory costs, including any profit thereon, is determined by applying our incremental borrowing rate to the value of the land. We record this lease income as Rental income from operating leases in our Statement of Operations.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direct financing lease model, as lessor, at lease inception we record the lease receivable as Investment in direct financing leases, net in our Balance Sheet. Under the direct financing lease method, we recognize fixed amounts due on an effective interest basis at a constant rate of return over the lease term. As a result, the cash payments accounted for under direct financing leases will not equal the earned income from direct financing leases. A portion of the cash rent we receive is recorded as Earned income from direct financing leases in our Statement of Operations and a portion is recorded as a change to the Investment in direct financing leases, net.</w:t>
      </w:r>
    </w:p>
    <w:p>
      <w:pPr>
        <w:spacing w:after="0" w:line="13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in accordance with ASC 605, “Revenue Recognition”, the Company records revenue for real estate taxes paid by its tenants on the leased properties with an offsetting expense in real estate taxes with the Statement of Operations as the Company has concluded it is the primary obligor.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Golf-related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Formation Date, subsidiaries of VICI Golf LLC, a subsidiary of the VICI REIT,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of use fees and approximately $1.1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elect to be taxed and qualify as a REIT for U.S. federal income tax purposes commencing with our taxable year ended December 31, 2017, and we intend to continue to be organized and to operate in a manner that will permit us to qualify as a REIT beyond that taxable year end. To qualify as a REIT, we must meet certain organizational and operational requirements, including a requirement to distribute at least 90% of our annual REIT taxable income to shareholders, determined without regard to the dividends paid deduction and excluding any net capital gains. As a REIT, we generally will not be subject to federal income tax on income that we pay as distributions to our shareholders. If we fail to qualify as a REIT in any taxable year, we will be subject to U.S. federal income tax on our taxable income at regular corporate income tax rates, and distributions paid to our shareholders would not be deductible by us in computing taxable income. Additionally, any resulting corporate liability created if we fail to qualify as a REIT could be substantial and could materially and adversely affect our net income and net cash available for distribution to shareholders. Unless we were entitled to relief under certain Code provisions, we also would be disqualified from re-electing to be taxed as a REIT for the four taxable years following the year in which we failed to qualify to be taxed as a REIT.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73"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TRS operations (represented by the four golf course businesses) are able to engage in activities resulting in income that would not be qualifying income for a REIT. As a result, certain activities of the Company which occur within its TRS operations are subject to federal and state income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issuance costs that are incurred by the Company in connection with the issuance of debt are deferred and amortized to interest expense over the contractual term of the underlying indebtedness. In accordance with ASC 835, “Interest,” the Company records debt net of unamortized debt issuance costs on its Balance Sheet. At December 31, 2017, the Company has $31.1 million of unamortized debt issuance costs associated with the $2,200.0 million Term B Loan Facility.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has $7.5 million of unamortized debt issuance costs at December 31, 2017, associated with obtaining the $400.0 million Revolving Credit Facility commitment recorded as Other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other comprehensive income items for the period from October 6, 2017 through December 31, 2017 and, as such, the Company's comprehensive income is equal to net income for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VICI Properties Inc. 2017 Stock Incentive Plan (the “2017 Stock Incentive Plan”) provides for the Company to issue awards to certain key persons (employees and non-employee directors). Awards under the 2017 Stock Incentive Plan may include incentive stock options; non-qualified stock options; stock appreciation rights; dividend equivalent rights; restricted stock; restricted stock units and unrestricted stock.</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 compensation under ASC 718, Compensation - Stock Compensation (“ASC 718”), which requires the Company to expense the cost of employee services received in exchange for an award of equity instruments based on the grant-date fair value of the award. This expense is recognized ratably over the requisite service period following the date of grant. The method for calculating the fair value of the Company’s time-based restricted stock awards is determined by the Compensation Committee of the Board of Directors and is typically equivalent to the 10-day volume weighted average price using the 10 trading days ending on the grant date. The fair value of certain awards granted in connection with our Formation were determined based on an independent appraisal of the value of the Company’s common stock as of our Formation Date.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compensation relating to awards under the Plan will be amortized to expense over the awards’ remaining vesting periods. Vesting periods for award of equity instruments range from zero to four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14</w:t>
      </w:r>
      <w:r>
        <w:rPr>
          <w:rFonts w:ascii="Arial" w:cs="Arial" w:eastAsia="Arial" w:hAnsi="Arial"/>
          <w:sz w:val="14"/>
          <w:szCs w:val="14"/>
          <w:color w:val="auto"/>
        </w:rPr>
        <w:t>—</w:t>
      </w:r>
      <w:r>
        <w:rPr>
          <w:rFonts w:ascii="Arial" w:cs="Arial" w:eastAsia="Arial" w:hAnsi="Arial"/>
          <w:sz w:val="18"/>
          <w:szCs w:val="18"/>
          <w:color w:val="auto"/>
        </w:rPr>
        <w:t>Share-Based Compensation for further information related to the 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Earnings per share (”EPS”) is calculated in accordance with ASC 260, “Earnings Per Share.” Basic EPS is computed by dividing net income applicable to common stock by the weighted-average number of common shares outstanding during the period. Diluted EPS reflects the additional dilution for all potentially-dilutive securities including those from the 2017 Stock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See Note 13</w:t>
      </w:r>
      <w:r>
        <w:rPr>
          <w:rFonts w:ascii="Arial" w:cs="Arial" w:eastAsia="Arial" w:hAnsi="Arial"/>
          <w:sz w:val="14"/>
          <w:szCs w:val="14"/>
          <w:color w:val="auto"/>
        </w:rPr>
        <w:t>—</w:t>
      </w:r>
      <w:r>
        <w:rPr>
          <w:rFonts w:ascii="Arial" w:cs="Arial" w:eastAsia="Arial" w:hAnsi="Arial"/>
          <w:sz w:val="18"/>
          <w:szCs w:val="18"/>
          <w:color w:val="auto"/>
        </w:rPr>
        <w:t>Earnings Per Share for the detailed 2017 EPS calculation.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Derivatives and Hedging - August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amendments refine and expand hedge accounting for both financial (e.g., interest rate) and commodity risks. Its</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create more transparency around how economic results are presented, both on the face of the financial statements and in the footnotes. It also makes certain targeted improvements to simplify the application of hedge accounting guidance. The transition guidance provides the option of early adoption using a modified retrospective transition method in any interim period after issuance of the update, or alternatively requires adoption for fiscal years beginning after December 15, 2018. We do not believe the effect of adopting this standard would have a material impact on our current Financial Statements. However, we will continue to assess the impact that this guidance might have on the accounting and disclosure of potential hedge transactions that we may enter into in the future.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Compensation - Stock Compensation - May 2017</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provide guidance regarding which changes to the terms or conditions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award require an entity to apply modification accounting. An entity should account</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373" w:right="239" w:bottom="1440" w:gutter="0" w:footer="0" w:header="0"/>
          <w:type w:val="continuous"/>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effects of a modification unless all of the following are met: (i) the modification does not affect any of the inputs to the valuation technique that the entity uses to value the award; (ii) the vesting conditions of the modified award are the same as the vesting conditions of the original award; and (iii) the classification of the modified award as an equity instrument or a liability instrument is the same as before the original award was modified. Amendments in this update are effective for all periods, and interim periods within those annual periods, beginning after December 15, 2017. Early adoption is permitted. Application of amended guidance should be applied prospectively to an award modified on or after the adoption date. We believe that the adoption of this standard will not have a material impact on our Financial Statements.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u w:val="single" w:color="auto"/>
          <w:color w:val="auto"/>
        </w:rPr>
        <w:t>Business Combinations -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amendments intend to clarify the definition of a business with the objective of adding guidance to assist</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with evaluating whether transactions should be accounted for acquisitions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Specifically, the new guidance provides a screen to determine when an integrated set of assets and activities is not a business. Under the new guidance, when substantially all of the fair value of the gross assets acquired (or disposed of) is concentrated in a single identifiable asset or group of similar identifiable assets, the assets do not represent a business. Amendments should be applied on a prospective basis on or after the effective date. No disclosures are required at transition. The amendments are effective to annual periods beginning after December 15, 2017, including interim periods within those periods. Early adoption is allowed as follows: (1) transactions for which the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adoption of this standard could have a material impact on our Financial Statements should we have future acquisitions.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Leases - February 2016 (amended January 2017):</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guidance requires most lease obligations to be recognized as a right-of-use asset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We are evaluating the impact of adopting this new standard on our Financial Statements but do not expect the adoption of the new guidance to have a material impact on the accounting treatment of our triple-net tenant leases, which are the primary source of our revenues.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Revenue from Contracts with Customers - May 2014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guidance is intended to clarify the principles for recognizing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are adopting this standard effective January 1, 2018, retrospectively. We have completed our evaluation of the impact of adopting this new guidance and determined that there will not be a material impact to our Financial Statements. The majority of our revenue recognition policies will not be impacted by the new standard, as leases, which represent the substantial majority of our revenues, are excluded from the new guidance. The adoption of this guidance does not change the timing or process in which we recognize golf revenue.</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addresses intra-entity transfers of assets other than inventory, which requires the recognition of any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do not expect this standard will have a material impact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addresses eight specific cash flow issues with the objective of reducing diversity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have adopted this standard for our December 31, 2017 Statement of Cash Flows.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7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Statement of Cash Flows - November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requiring that a statement of cash flows explain the change during the period in the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and restricted cash. Previous guidance does not provide specific guidance on the cash flow classification and presentation of changes in restricted cash other than limited guidance for not-for-profit entities. This guidance is required to be adopted for fiscal years beginning after December 15, 2017, and interim reporting periods within those years. Early adoption is permitted. We have adopted this standard for our December 31, 2017 Statement of Cash Flows.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Fresh-Start Reporting</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the Formation Date, the Company adopted fresh-start reporting in accordance with provisions of ASC 852. In the application of fresh start accounting, VICI allocated the enterprise value to the fair value of assets and liabilities in conformity with the guidance for the acquisition method of accounting for business combinations under ASC 805. The amount remaining after allocation of the enterprise value to the fair value of identified tangible and intangible assets and liabilities, if any, would be reflected as goodwill and subject to periodic evaluation for impairment. In addition to fresh start accounting, VICI’s Financial Statements reflect all effects of the transactions contemplated by the Plan of Reorganization. Accordingly, VICI’s Balance Sheet at December 31, 2017 is not comparable to any balance sheet for periods prior to the adoption of fresh start accounting and prior to accounting for the effects of the Plan.</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852, fresh-start reporting is required upon emergence from Chapter 11 if (i) the value of the assets of the emerging entity immediately before the date of confirmation is less than the total of all post-petition liabilities and allowed claims; and (ii) holders of existing voting shares immediately before confirmation receive less than 50% of the voting shares of the emerging entity. Accordingly, VICI qualified for and adopted fresh-start reporting as of October 6, 2017. Adopting fresh-start reporting results in a new reporting entity with no beginning retained earnings or deficits. It also includes the issuance of new shares of the reorganized entity caused by change of control under ASC 852.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net book value of the real estate assets contributed to VICI by CEOC under the Plan of Reorganization was $4,831.0 million.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Based upon the analysis completed by the Company with the assistance of outside third-party valuation experts, it concluded the fair value of these assets were $8,300.0 million, net of non-controlling interests related to the Joliet facilities of $83.0 million.</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Real estate assets are valued using an income approach and, more specifically, the discounted cash flow (“DCF”) technique. Future lease payments for the properties are modeled according to the terms contained in the initial Lease Agreements. Although management believes the length of the leases with CEOC will extend to the full thirty-five years lease term (assuming the exercise of tenant renewal options) per the initial Lease Agreements, the real property valuation analysis contemplates typical market participant oriented nine- and fourteen-year hold periods as a best methodology to estimate the value of the cash flow during the full term of the lease. Appropriate expenses are estimated and deducted from the future contract rent to derive expected future cash flows. Terminal or reversion values are calculated for both hold period scenarios based on estimated market terminal capitalization rates. The DCF technique estimates value by discounting back to present value the anticipated future cash flows for the interim periods in the DCF model plus the present value of the terminal values using an appropriate discount rate. The discount rate was derived based upon a weighted average cost of capital (“WACC”). The WACC was estimated based upon observations of a peer group of guideline companies whose stock was publicly traded on recognized exchanges as such guideline companies were considered comparable to VICI REIT. Factors considered in deriving a WACC included general market rates of return at the valuation date, business risks associated with the industry in which VICI REIT operates, and other specific risk factors deemed appropriate. An estimated discount rate of 9.0% was selected as a base rate for all properties. Individual property discount rates were then adjusted based on the specific additional aforementioned risk factors and, once adjusted, ranged from 7.5% to 17.5%.</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fresh-start balance sheet illustrates the financial effects on the Company of the implementation of the Plan and the adoption of fresh-start reporting. It reflects the effect of the completion of the transactions included in the Plan, including the issuance of equity and the contribution of properties.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73"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0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Fair Value as of Formation Date (October</w:t>
            </w:r>
          </w:p>
        </w:tc>
      </w:tr>
      <w:tr>
        <w:trPr>
          <w:trHeight w:val="203"/>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00" w:type="dxa"/>
            <w:vAlign w:val="bottom"/>
          </w:tcPr>
          <w:p>
            <w:pPr>
              <w:spacing w:after="0"/>
              <w:rPr>
                <w:sz w:val="17"/>
                <w:szCs w:val="17"/>
                <w:color w:val="auto"/>
              </w:rPr>
            </w:pPr>
          </w:p>
        </w:tc>
        <w:tc>
          <w:tcPr>
            <w:tcW w:w="2380" w:type="dxa"/>
            <w:vAlign w:val="bottom"/>
          </w:tcPr>
          <w:p>
            <w:pPr>
              <w:jc w:val="right"/>
              <w:ind w:right="1170"/>
              <w:spacing w:after="0"/>
              <w:rPr>
                <w:sz w:val="20"/>
                <w:szCs w:val="20"/>
                <w:color w:val="auto"/>
              </w:rPr>
            </w:pPr>
            <w:r>
              <w:rPr>
                <w:rFonts w:ascii="Arial" w:cs="Arial" w:eastAsia="Arial" w:hAnsi="Arial"/>
                <w:sz w:val="16"/>
                <w:szCs w:val="16"/>
                <w:b w:val="1"/>
                <w:bCs w:val="1"/>
                <w:color w:val="auto"/>
              </w:rPr>
              <w:t>6, 2017)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Investment in direct financing leases</w:t>
            </w:r>
          </w:p>
        </w:tc>
        <w:tc>
          <w:tcPr>
            <w:tcW w:w="700" w:type="dxa"/>
            <w:vAlign w:val="bottom"/>
          </w:tcPr>
          <w:p>
            <w:pPr>
              <w:jc w:val="right"/>
              <w:ind w:right="492"/>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7,124,000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Real Estate Investments:</w:t>
            </w: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460"/>
              <w:spacing w:after="0"/>
              <w:rPr>
                <w:sz w:val="20"/>
                <w:szCs w:val="20"/>
                <w:color w:val="auto"/>
              </w:rPr>
            </w:pPr>
            <w:r>
              <w:rPr>
                <w:rFonts w:ascii="Arial" w:cs="Arial" w:eastAsia="Arial" w:hAnsi="Arial"/>
                <w:sz w:val="18"/>
                <w:szCs w:val="18"/>
                <w:color w:val="auto"/>
              </w:rPr>
              <w:t>Accounted for using the operating method</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1,184,000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Property and equipment used in operations, net</w:t>
            </w: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55,771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7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97"/>
        </w:trPr>
        <w:tc>
          <w:tcPr>
            <w:tcW w:w="40" w:type="dxa"/>
            <w:vAlign w:val="bottom"/>
            <w:tcBorders>
              <w:bottom w:val="single" w:sz="8" w:color="CCEEFF"/>
            </w:tcBorders>
          </w:tcPr>
          <w:p>
            <w:pPr>
              <w:spacing w:after="0"/>
              <w:rPr>
                <w:sz w:val="24"/>
                <w:szCs w:val="24"/>
                <w:color w:val="auto"/>
              </w:rPr>
            </w:pPr>
          </w:p>
        </w:tc>
        <w:tc>
          <w:tcPr>
            <w:tcW w:w="83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7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8,439,452</w:t>
            </w:r>
          </w:p>
        </w:tc>
      </w:tr>
      <w:tr>
        <w:trPr>
          <w:trHeight w:val="271"/>
        </w:trPr>
        <w:tc>
          <w:tcPr>
            <w:tcW w:w="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Debt</w:t>
            </w:r>
          </w:p>
        </w:tc>
        <w:tc>
          <w:tcPr>
            <w:tcW w:w="70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4,917,000</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5,631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70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37"/>
        </w:trPr>
        <w:tc>
          <w:tcPr>
            <w:tcW w:w="40" w:type="dxa"/>
            <w:vAlign w:val="bottom"/>
          </w:tcPr>
          <w:p>
            <w:pPr>
              <w:spacing w:after="0"/>
              <w:rPr>
                <w:sz w:val="20"/>
                <w:szCs w:val="20"/>
                <w:color w:val="auto"/>
              </w:rPr>
            </w:pPr>
          </w:p>
        </w:tc>
        <w:tc>
          <w:tcPr>
            <w:tcW w:w="83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70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4,922,780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Redeemable preferred stock</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759,000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70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Common stock</w:t>
            </w: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2,672,900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VICI shareholders’ equity</w:t>
            </w:r>
          </w:p>
        </w:tc>
        <w:tc>
          <w:tcPr>
            <w:tcW w:w="7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2,674,672</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interests</w:t>
            </w:r>
          </w:p>
        </w:tc>
        <w:tc>
          <w:tcPr>
            <w:tcW w:w="70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83,000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70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2,757,672</w:t>
            </w:r>
          </w:p>
        </w:tc>
      </w:tr>
      <w:tr>
        <w:trPr>
          <w:trHeight w:val="257"/>
        </w:trPr>
        <w:tc>
          <w:tcPr>
            <w:tcW w:w="40" w:type="dxa"/>
            <w:vAlign w:val="bottom"/>
          </w:tcPr>
          <w:p>
            <w:pPr>
              <w:spacing w:after="0"/>
              <w:rPr>
                <w:sz w:val="22"/>
                <w:szCs w:val="22"/>
                <w:color w:val="auto"/>
              </w:rPr>
            </w:pPr>
          </w:p>
        </w:tc>
        <w:tc>
          <w:tcPr>
            <w:tcW w:w="8300" w:type="dxa"/>
            <w:vAlign w:val="bottom"/>
            <w:gridSpan w:val="2"/>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7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w w:val="99"/>
              </w:rPr>
              <w:t>$</w:t>
            </w:r>
          </w:p>
        </w:tc>
        <w:tc>
          <w:tcPr>
            <w:tcW w:w="2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8,439,452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Property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Las Vegas Real Estate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29, 2017, an indirect wholly owned subsidiary of VICI (the “HLV Purchaser”), and Harrah’s Las Vegas, LLC (the “HLV Seller”), a subsidiary of Caesars, entered into an agreement, pursuant to which the HLV Purchaser agreed to acquire from the HLV Seller all of the land and real property improvements associated with the property commonly known as Harrah’s Las Vegas Hotel &amp; Casino (“Harrah’s Las Vegas”) for a purchase price of $1,136.2 million. HLV Purchaser acquired the equity in a new entity (“HLV Owner”), which at the time of closing of the transaction on December 22, 2017 (“Closing Date”), became the owner of Harrah’s Las Vegas.</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Closing Date, HLV Owner, as landlord, entered into an amended and restated lease with the HLV Seller, as tenant, whereby the HLV Seller leased back Harrah’s Las Vegas from HLV Owner. Under the terms of the HLV Lease Agreement, the HLV Seller is responsible for ongoing costs relating to the property, including property taxes, insurance, and maintenance and repair costs that arise from the use of the property and the HLV Seller is required to continue to invest in the property and related equipment ($171.0 million for the period commencing January 1, 2017 and ending December 31, 2021 with additional amounts stipulated thereafter).</w:t>
      </w:r>
    </w:p>
    <w:p>
      <w:pPr>
        <w:spacing w:after="0" w:line="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HLV Lease Agreement has an initial 15 year term with four five-year renewal terms exercisable at the option of the HLV Seller (subject to certain conditions) and provides for a fixed base rent for each of the first seven years of the lease term equal to $87.4 million annually. In the eighth year of the lease, rent is split into an 80% fixed base rent component and 20% variable rent component, which is adjusted periodically from time to time. In addition, the HLV Lease Agreement contains an annual rent escalator on the fixed base rent equal to (i) 1% commencing in the second year of the lease and (ii) the greater of 2% or the increase in the Consumer Price Index commencing in the sixth year of the lease (subject to certain conditions).</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73"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conjunction with the closing, HLV Owner and a subsidiary of Caesars entered into a Guaranty of Lease whereby, a subsidiary of Caesars guarantees the HLV Seller’s payment obligation under the HLV Lease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recorded this purchase using the Direct Financing Method in our Balance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Eastside Property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29, 2017, Vegas Development LLC, an indirect wholly owned subsidiary of VICI (the “Land Seller”), and a subsidiary of Caesars (the “Land Purchaser”), entered into an agreement, pursuant to which the Land Purchaser agreed to acquire from the Land Seller an entity owning approximately 18.4 acres of certain parcels located in Las Vegas, Nevada, east of Harrah’s Las Vegas (“Eastside Property”). The sales price for the membership interests in the owner of the Eastside Property was $73.6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this agreement, Land Purchaser is responsible for the remediation of the flood plain mechanism on the Eastside Property. The costs of the remediation work will be borne fifty percent (50%) by Land Seller and fifty percent (50%) by Land Purchaser, </w:t>
      </w:r>
      <w:r>
        <w:rPr>
          <w:rFonts w:ascii="Arial" w:cs="Arial" w:eastAsia="Arial" w:hAnsi="Arial"/>
          <w:sz w:val="18"/>
          <w:szCs w:val="18"/>
          <w:i w:val="1"/>
          <w:iCs w:val="1"/>
          <w:color w:val="auto"/>
        </w:rPr>
        <w:t>pari passu</w:t>
      </w:r>
      <w:r>
        <w:rPr>
          <w:rFonts w:ascii="Arial" w:cs="Arial" w:eastAsia="Arial" w:hAnsi="Arial"/>
          <w:sz w:val="18"/>
          <w:szCs w:val="18"/>
          <w:color w:val="auto"/>
        </w:rPr>
        <w:t>, until such time as the total cost incurred in connection with the remediation work is equal to $12.0 million. Any costs in excess of $12.0 million incurred in connection with the remediation work shall be the sole responsibility of Land Purchaser.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29, 2017, VICI delivered a Guaranty (the “Guaranty”), in which VICI 1 guaranteed to the HLV Seller the payment in full of any Seller Liquidated Damages Amount (as defined in the Purchase Agreement) and to the Land Purchaser the payment of losses resulting from the breach by Land Seller of certain warranties under the Eastside Property Sales Agreement.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Eastside Property sales transaction also closed on December 22, 2017. Due to the put/call option on the land parcels, as described below, it was determined that the transaction does not meet the requirements of a completed sale for accounting purposes. As a result, we reclassified $73.6 million from Real estate investments accounted for using the operating method to Land. Additionally, the Company recorded a $73.6 million Deferred financing liability in its Balance Sheet.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transaction-related costs in conjunction with the purchase of Harrah’s Las Vegas and the sale of the Eastside property comprised primarily of valuation and legal expenses of approximately $9.0 million. The Company recorded this as Transaction and acquisition costs in its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Put-Call Agreement</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the Closing Date, the HLV Purchaser and certain subsidiaries of Caesars (collectively, “Owner”), the owners of certain parcels of real property located adjacent to the Harrah’s Las Vegas (including the Eastside Property) (collectively, the “Designated Property”), all or a portion of which Designated Property may in the future be improved by a convention center (in such case, the “Eastside Convention Center Property”), entered into a put-call right agreement (the “Put-Call Agreement”), which provides HLV Purchaser and Owner with certain rights and obligations in connection with: (i) a put right in favor of Owner, which, if exercised, would result in the sale by Owner to the HLV Purchaser and simultaneous leaseback by the HLV Purchaser to Owner of the Convention Center Property (the “Put Right”); (ii) if Owner exercises the Put Right and, among other things, the sale of the Eastside Convention Center Property to HLV Owner does not close for certain reasons more particularly described in the Put-Call Agreement, then a repurchase right in favor of Owner, which, if exercised, would result in the sale by HLV Purchaser to Owner of Harrah’s Las Vegas; and (iii) a call right in favor of HLV Purchaser, which, if exercised, would result in the sale by Owner to HLV Purchaser and simultaneous leaseback by HLV Purchaser to Owner of the Eastside Convention Center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Right of First Refusal Agreement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Closing Date, VICI Properties L.P., a wholly-owned subsidiary of the Company (“VICI LP”), and Caesars entered into an Amended and Restated Right of First Refusal Agreement pursuant to which VICI LP will have a right, subject to certain exclusions, (i) to acquire (and lease to Caesars) any of the gaming facilities of Centaur Holdings, LLC, which are proposed to be acquired by Caesars, (ii) to acquire (and lease to Caesars) any domestic gaming facilities located outside of the Gaming Enterprise District of Clark County, Nevada, proposed to be acquired or developed by Caesars, and (iii) to acquire certain income-producing improvements if built by Land Purchaser in lieu of a large-scale convention center on the Eastside Property, subject to certain exclusions.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Investment in Direct Financing Leases, Net and Real Estate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Amounts were recorded at fair value for real estate assets under lease through the initial Lease Agreements and the reclassification of such real estate assets to Investments in direct financing leases, net and Real estate investments accounted for using the operating</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73"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method. The fair value assigned to the buildings is classified as an Investment in direct financing leases, while the fair value assigned to certain portions of land is recorded as Real Estate Investments accounted for using the operating method.</w:t>
      </w:r>
    </w:p>
    <w:p>
      <w:pPr>
        <w:spacing w:after="0" w:line="116" w:lineRule="exact"/>
        <w:rPr>
          <w:sz w:val="20"/>
          <w:szCs w:val="20"/>
          <w:color w:val="auto"/>
        </w:rPr>
      </w:pPr>
    </w:p>
    <w:p>
      <w:pPr>
        <w:ind w:right="2180"/>
        <w:spacing w:after="0" w:line="438" w:lineRule="auto"/>
        <w:rPr>
          <w:sz w:val="20"/>
          <w:szCs w:val="20"/>
          <w:color w:val="auto"/>
        </w:rPr>
      </w:pPr>
      <w:r>
        <w:rPr>
          <w:rFonts w:ascii="Arial" w:cs="Arial" w:eastAsia="Arial" w:hAnsi="Arial"/>
          <w:sz w:val="18"/>
          <w:szCs w:val="18"/>
          <w:color w:val="auto"/>
        </w:rPr>
        <w:t>The weighted average remaining lease term for both operating and direct financing leases at December 31, 2017 was 34.9 years. VICI’s investment in direct financing leases, net consisted of the following as of December 31, 2017</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7"/>
                <w:szCs w:val="17"/>
                <w:color w:val="auto"/>
              </w:rPr>
            </w:pPr>
          </w:p>
        </w:tc>
        <w:tc>
          <w:tcPr>
            <w:tcW w:w="1880" w:type="dxa"/>
            <w:vAlign w:val="bottom"/>
          </w:tcPr>
          <w:p>
            <w:pPr>
              <w:jc w:val="right"/>
              <w:ind w:right="331"/>
              <w:spacing w:after="0"/>
              <w:rPr>
                <w:sz w:val="20"/>
                <w:szCs w:val="20"/>
                <w:color w:val="auto"/>
              </w:rPr>
            </w:pPr>
            <w:r>
              <w:rPr>
                <w:rFonts w:ascii="Arial" w:cs="Arial" w:eastAsia="Arial" w:hAnsi="Arial"/>
                <w:sz w:val="16"/>
                <w:szCs w:val="16"/>
                <w:b w:val="1"/>
                <w:bCs w:val="1"/>
                <w:color w:val="auto"/>
                <w:w w:val="99"/>
              </w:rPr>
              <w:t>December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92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w:t>
            </w:r>
            <w:r>
              <w:rPr>
                <w:rFonts w:ascii="Arial" w:cs="Arial" w:eastAsia="Arial" w:hAnsi="Arial"/>
                <w:sz w:val="25"/>
                <w:szCs w:val="25"/>
                <w:i w:val="1"/>
                <w:iCs w:val="1"/>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29,302,166</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(unguaranteed)</w:t>
            </w: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1,987,651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31,289,817</w:t>
            </w:r>
          </w:p>
        </w:tc>
        <w:tc>
          <w:tcPr>
            <w:tcW w:w="0" w:type="dxa"/>
            <w:vAlign w:val="bottom"/>
          </w:tcPr>
          <w:p>
            <w:pPr>
              <w:spacing w:after="0"/>
              <w:rPr>
                <w:sz w:val="1"/>
                <w:szCs w:val="1"/>
                <w:color w:val="auto"/>
              </w:rPr>
            </w:pP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2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(23,021,174)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Net investment in direct financing leases,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8,268,643</w:t>
            </w:r>
          </w:p>
        </w:tc>
        <w:tc>
          <w:tcPr>
            <w:tcW w:w="0" w:type="dxa"/>
            <w:vAlign w:val="bottom"/>
          </w:tcPr>
          <w:p>
            <w:pPr>
              <w:spacing w:after="0"/>
              <w:rPr>
                <w:sz w:val="1"/>
                <w:szCs w:val="1"/>
                <w:color w:val="auto"/>
              </w:rPr>
            </w:pPr>
          </w:p>
        </w:tc>
      </w:tr>
      <w:tr>
        <w:trPr>
          <w:trHeight w:val="20"/>
        </w:trPr>
        <w:tc>
          <w:tcPr>
            <w:tcW w:w="92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4"/>
        </w:numPr>
        <w:rPr>
          <w:rFonts w:ascii="Arial" w:cs="Arial" w:eastAsia="Arial" w:hAnsi="Arial"/>
          <w:sz w:val="13"/>
          <w:szCs w:val="13"/>
          <w:i w:val="1"/>
          <w:iCs w:val="1"/>
          <w:color w:val="auto"/>
        </w:rPr>
      </w:pPr>
      <w:r>
        <w:rPr>
          <w:rFonts w:ascii="Arial" w:cs="Arial" w:eastAsia="Arial" w:hAnsi="Arial"/>
          <w:sz w:val="13"/>
          <w:szCs w:val="13"/>
          <w:i w:val="1"/>
          <w:iCs w:val="1"/>
          <w:color w:val="auto"/>
        </w:rPr>
        <w:t>Minimum lease payments do not include contingent rent that may be received under the Lease Agreements. There was no contingent rent for the period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minimum lease payments owed to VICI for each of the five succeeding years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7"/>
                <w:szCs w:val="17"/>
                <w:color w:val="auto"/>
              </w:rPr>
            </w:pPr>
          </w:p>
        </w:tc>
        <w:tc>
          <w:tcPr>
            <w:tcW w:w="2020" w:type="dxa"/>
            <w:vAlign w:val="bottom"/>
          </w:tcPr>
          <w:p>
            <w:pPr>
              <w:jc w:val="right"/>
              <w:ind w:right="71"/>
              <w:spacing w:after="0"/>
              <w:rPr>
                <w:sz w:val="20"/>
                <w:szCs w:val="20"/>
                <w:color w:val="auto"/>
              </w:rPr>
            </w:pPr>
            <w:r>
              <w:rPr>
                <w:rFonts w:ascii="Arial" w:cs="Arial" w:eastAsia="Arial" w:hAnsi="Arial"/>
                <w:sz w:val="16"/>
                <w:szCs w:val="16"/>
                <w:b w:val="1"/>
                <w:bCs w:val="1"/>
                <w:color w:val="auto"/>
                <w:w w:val="91"/>
              </w:rPr>
              <w:t>Minimum Lease 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725,875</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730,060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734,320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1"/>
              <w:spacing w:after="0"/>
              <w:rPr>
                <w:sz w:val="20"/>
                <w:szCs w:val="20"/>
                <w:color w:val="auto"/>
              </w:rPr>
            </w:pPr>
            <w:r>
              <w:rPr>
                <w:rFonts w:ascii="Arial" w:cs="Arial" w:eastAsia="Arial" w:hAnsi="Arial"/>
                <w:sz w:val="18"/>
                <w:szCs w:val="18"/>
                <w:color w:val="auto"/>
              </w:rPr>
              <w:t>738,656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43"/>
        </w:trPr>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744,647</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Eastside Property, it was determined that the transaction does not meet the requirements of a completed sale for accounting purposes. As a result, we reclassified $73.6 million from Real estate investments accounted for using the operating method to Land. Additionally, the Company recorded a $73.6 million Deferred financing liability in its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Property and Equipment Used in Operations, Net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Used in Operations is primarily attributable to golf-related land, building and improvements and consists of the following:</w:t>
      </w:r>
    </w:p>
    <w:p>
      <w:pPr>
        <w:sectPr>
          <w:pgSz w:w="11900" w:h="16838" w:orient="portrait"/>
          <w:cols w:equalWidth="0" w:num="1">
            <w:col w:w="11420"/>
          </w:cols>
          <w:pgMar w:left="240" w:top="373" w:right="239" w:bottom="1440" w:gutter="0" w:footer="0" w:header="0"/>
        </w:sect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accumulated depreciation</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December 31, 2017</w:t>
      </w:r>
    </w:p>
    <w:p>
      <w:pPr>
        <w:spacing w:after="0" w:line="86"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57,901</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14,572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75,051</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48895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Period from October 6 to</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December 31, 2017</w:t>
      </w:r>
    </w:p>
    <w:p>
      <w:pPr>
        <w:spacing w:after="0" w:line="78" w:lineRule="exact"/>
        <w:rPr>
          <w:sz w:val="20"/>
          <w:szCs w:val="20"/>
          <w:color w:val="auto"/>
        </w:rPr>
      </w:pPr>
    </w:p>
    <w:p>
      <w:pPr>
        <w:ind w:left="100"/>
        <w:spacing w:after="0"/>
        <w:tabs>
          <w:tab w:leader="none" w:pos="1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48895</wp:posOffset>
            </wp:positionV>
            <wp:extent cx="1449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340" w:space="720"/>
            <w:col w:w="2360"/>
          </w:cols>
          <w:pgMar w:left="240" w:top="373" w:right="2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73"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Accounts Payable and Accrued Expenses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7"/>
                <w:szCs w:val="17"/>
                <w:color w:val="auto"/>
              </w:rPr>
            </w:pPr>
          </w:p>
        </w:tc>
        <w:tc>
          <w:tcPr>
            <w:tcW w:w="2240" w:type="dxa"/>
            <w:vAlign w:val="bottom"/>
          </w:tcPr>
          <w:p>
            <w:pPr>
              <w:jc w:val="right"/>
              <w:ind w:right="572"/>
              <w:spacing w:after="0"/>
              <w:rPr>
                <w:sz w:val="20"/>
                <w:szCs w:val="20"/>
                <w:color w:val="auto"/>
              </w:rPr>
            </w:pPr>
            <w:r>
              <w:rPr>
                <w:rFonts w:ascii="Arial" w:cs="Arial" w:eastAsia="Arial" w:hAnsi="Arial"/>
                <w:sz w:val="16"/>
                <w:szCs w:val="16"/>
                <w:b w:val="1"/>
                <w:bCs w:val="1"/>
                <w:color w:val="auto"/>
              </w:rPr>
              <w:t>December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44"/>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5,207</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380" w:type="dxa"/>
            <w:vAlign w:val="bottom"/>
          </w:tcPr>
          <w:p>
            <w:pPr>
              <w:spacing w:after="0"/>
              <w:rPr>
                <w:sz w:val="21"/>
                <w:szCs w:val="21"/>
                <w:color w:val="auto"/>
              </w:rPr>
            </w:pPr>
          </w:p>
        </w:tc>
        <w:tc>
          <w:tcPr>
            <w:tcW w:w="2240" w:type="dxa"/>
            <w:vAlign w:val="bottom"/>
          </w:tcPr>
          <w:p>
            <w:pPr>
              <w:jc w:val="right"/>
              <w:ind w:right="12"/>
              <w:spacing w:after="0"/>
              <w:rPr>
                <w:sz w:val="20"/>
                <w:szCs w:val="20"/>
                <w:color w:val="auto"/>
              </w:rPr>
            </w:pPr>
            <w:r>
              <w:rPr>
                <w:rFonts w:ascii="Arial" w:cs="Arial" w:eastAsia="Arial" w:hAnsi="Arial"/>
                <w:sz w:val="18"/>
                <w:szCs w:val="18"/>
                <w:color w:val="auto"/>
              </w:rPr>
              <w:t>2,559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2,796</w:t>
            </w:r>
          </w:p>
        </w:tc>
      </w:tr>
      <w:tr>
        <w:trPr>
          <w:trHeight w:val="257"/>
        </w:trPr>
        <w:tc>
          <w:tcPr>
            <w:tcW w:w="40" w:type="dxa"/>
            <w:vAlign w:val="bottom"/>
          </w:tcPr>
          <w:p>
            <w:pPr>
              <w:spacing w:after="0"/>
              <w:rPr>
                <w:sz w:val="22"/>
                <w:szCs w:val="22"/>
                <w:color w:val="auto"/>
              </w:rPr>
            </w:pP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Total accrued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10,562</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Indebtedness on December 31, 2017:</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ind w:left="660"/>
              <w:spacing w:after="0"/>
              <w:rPr>
                <w:sz w:val="20"/>
                <w:szCs w:val="20"/>
                <w:color w:val="auto"/>
              </w:rPr>
            </w:pPr>
            <w:r>
              <w:rPr>
                <w:rFonts w:ascii="Arial" w:cs="Arial" w:eastAsia="Arial" w:hAnsi="Arial"/>
                <w:sz w:val="16"/>
                <w:szCs w:val="16"/>
                <w:b w:val="1"/>
                <w:bCs w:val="1"/>
                <w:color w:val="auto"/>
              </w:rPr>
              <w:t>December 31, 2017</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Final</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60" w:type="dxa"/>
            <w:vAlign w:val="bottom"/>
          </w:tcPr>
          <w:p>
            <w:pPr>
              <w:ind w:left="1260"/>
              <w:spacing w:after="0"/>
              <w:rPr>
                <w:sz w:val="20"/>
                <w:szCs w:val="20"/>
                <w:color w:val="auto"/>
              </w:rPr>
            </w:pPr>
            <w:r>
              <w:rPr>
                <w:rFonts w:ascii="Arial" w:cs="Arial" w:eastAsia="Arial" w:hAnsi="Arial"/>
                <w:sz w:val="16"/>
                <w:szCs w:val="16"/>
                <w:b w:val="1"/>
                <w:bCs w:val="1"/>
                <w:color w:val="auto"/>
              </w:rPr>
              <w:t>Description of Debt</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Maturity</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Rate(s)</w:t>
            </w:r>
            <w:r>
              <w:rPr>
                <w:rFonts w:ascii="Arial" w:cs="Arial" w:eastAsia="Arial" w:hAnsi="Arial"/>
                <w:sz w:val="21"/>
                <w:szCs w:val="21"/>
                <w:b w:val="1"/>
                <w:bCs w:val="1"/>
                <w:color w:val="auto"/>
                <w:w w:val="86"/>
                <w:vertAlign w:val="superscript"/>
              </w:rPr>
              <w:t>(1)</w:t>
            </w: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8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Book Value</w:t>
            </w:r>
          </w:p>
        </w:tc>
        <w:tc>
          <w:tcPr>
            <w:tcW w:w="0" w:type="dxa"/>
            <w:vAlign w:val="bottom"/>
          </w:tcPr>
          <w:p>
            <w:pPr>
              <w:spacing w:after="0"/>
              <w:rPr>
                <w:sz w:val="1"/>
                <w:szCs w:val="1"/>
                <w:color w:val="auto"/>
              </w:rPr>
            </w:pPr>
          </w:p>
        </w:tc>
      </w:tr>
      <w:tr>
        <w:trPr>
          <w:trHeight w:val="244"/>
        </w:trPr>
        <w:tc>
          <w:tcPr>
            <w:tcW w:w="664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Senior Secured Revolving Credit Facility (“Revolving Credit Facility”) </w:t>
            </w:r>
            <w:r>
              <w:rPr>
                <w:rFonts w:ascii="Arial" w:cs="Arial" w:eastAsia="Arial" w:hAnsi="Arial"/>
                <w:sz w:val="25"/>
                <w:szCs w:val="25"/>
                <w:color w:val="auto"/>
                <w:vertAlign w:val="superscript"/>
              </w:rPr>
              <w:t>(3)</w:t>
            </w:r>
          </w:p>
        </w:tc>
        <w:tc>
          <w:tcPr>
            <w:tcW w:w="1040" w:type="dxa"/>
            <w:vAlign w:val="bottom"/>
          </w:tcPr>
          <w:p>
            <w:pPr>
              <w:jc w:val="center"/>
              <w:ind w:left="33"/>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60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First Lien Senior Secured Term Loan (“Term B Loan Facility”) </w:t>
            </w:r>
            <w:r>
              <w:rPr>
                <w:rFonts w:ascii="Arial" w:cs="Arial" w:eastAsia="Arial" w:hAnsi="Arial"/>
                <w:sz w:val="25"/>
                <w:szCs w:val="25"/>
                <w:color w:val="auto"/>
                <w:vertAlign w:val="superscript"/>
              </w:rPr>
              <w:t>(2)(3)(4)</w:t>
            </w:r>
          </w:p>
        </w:tc>
        <w:tc>
          <w:tcPr>
            <w:tcW w:w="104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2,168,864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60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Second Priority Senior Secured Notes (“Second Lien Notes”)</w:t>
            </w:r>
            <w:r>
              <w:rPr>
                <w:rFonts w:ascii="Arial" w:cs="Arial" w:eastAsia="Arial" w:hAnsi="Arial"/>
                <w:sz w:val="25"/>
                <w:szCs w:val="25"/>
                <w:color w:val="auto"/>
                <w:vertAlign w:val="superscript"/>
              </w:rPr>
              <w:t>(5)</w:t>
            </w:r>
          </w:p>
        </w:tc>
        <w:tc>
          <w:tcPr>
            <w:tcW w:w="1040" w:type="dxa"/>
            <w:vAlign w:val="bottom"/>
          </w:tcPr>
          <w:p>
            <w:pPr>
              <w:jc w:val="center"/>
              <w:ind w:left="33"/>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8.00%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766,892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600" w:type="dxa"/>
            <w:vAlign w:val="bottom"/>
            <w:tcBorders>
              <w:bottom w:val="single" w:sz="8" w:color="CCEEFF"/>
            </w:tcBorders>
            <w:gridSpan w:val="2"/>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color w:val="auto"/>
                <w:vertAlign w:val="superscript"/>
              </w:rPr>
              <w:t>(6)</w:t>
            </w:r>
          </w:p>
        </w:tc>
        <w:tc>
          <w:tcPr>
            <w:tcW w:w="104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89"/>
              </w:rPr>
              <w:t>2022</w:t>
            </w:r>
          </w:p>
        </w:tc>
        <w:tc>
          <w:tcPr>
            <w:tcW w:w="1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3"/>
              </w:rPr>
              <w:t>4.36%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1,550,000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4,816,892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4,785,756</w:t>
            </w: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64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373" w:right="239" w:bottom="1440" w:gutter="0" w:footer="0" w:header="0"/>
        </w:sectPr>
      </w:pPr>
    </w:p>
    <w:p>
      <w:pPr>
        <w:ind w:left="340" w:hanging="332"/>
        <w:spacing w:after="0" w:line="196"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rate is fixed, except where noted.</w:t>
      </w:r>
    </w:p>
    <w:p>
      <w:pPr>
        <w:spacing w:after="0" w:line="19"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Book value is net of unamortized original issue discount and unamortized debt issuance costs incurred in conjunction with debt.</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quarterly at a rate per annum and equal to LIBOR plus 2.25%.</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Final maturity is 2024 or three months prior to the maturity date of the Second Lien Notes, whichever is earlier.</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semi-annually.</w:t>
      </w:r>
    </w:p>
    <w:p>
      <w:pPr>
        <w:spacing w:after="0" w:line="18" w:lineRule="exact"/>
        <w:rPr>
          <w:rFonts w:ascii="Arial" w:cs="Arial" w:eastAsia="Arial" w:hAnsi="Arial"/>
          <w:sz w:val="19"/>
          <w:szCs w:val="19"/>
          <w:color w:val="auto"/>
          <w:vertAlign w:val="superscript"/>
        </w:rPr>
      </w:pPr>
    </w:p>
    <w:p>
      <w:pPr>
        <w:ind w:left="340" w:hanging="332"/>
        <w:spacing w:after="0" w:line="187" w:lineRule="auto"/>
        <w:tabs>
          <w:tab w:leader="none" w:pos="340" w:val="left"/>
        </w:tabs>
        <w:numPr>
          <w:ilvl w:val="0"/>
          <w:numId w:val="25"/>
        </w:numPr>
        <w:rPr>
          <w:rFonts w:ascii="Arial" w:cs="Arial" w:eastAsia="Arial" w:hAnsi="Arial"/>
          <w:sz w:val="19"/>
          <w:szCs w:val="19"/>
          <w:color w:val="auto"/>
          <w:vertAlign w:val="superscript"/>
        </w:rPr>
      </w:pPr>
      <w:r>
        <w:rPr>
          <w:rFonts w:ascii="Arial" w:cs="Arial" w:eastAsia="Arial" w:hAnsi="Arial"/>
          <w:sz w:val="13"/>
          <w:szCs w:val="13"/>
          <w:i w:val="1"/>
          <w:iCs w:val="1"/>
          <w:color w:val="auto"/>
        </w:rPr>
        <w:t>Interest is payable monthly.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schedule of future minimum repayments of long-term debt as of December 31, 2017:</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minimum repayments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6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21,918</w:t>
      </w:r>
    </w:p>
    <w:p>
      <w:pPr>
        <w:spacing w:after="0" w:line="8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21,699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21,483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21,269</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1,871,057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2,859,466</w:t>
      </w:r>
    </w:p>
    <w:p>
      <w:pPr>
        <w:spacing w:after="0" w:line="77" w:lineRule="exact"/>
        <w:rPr>
          <w:sz w:val="20"/>
          <w:szCs w:val="20"/>
          <w:color w:val="auto"/>
        </w:rPr>
      </w:pPr>
    </w:p>
    <w:p>
      <w:pPr>
        <w:spacing w:after="0"/>
        <w:tabs>
          <w:tab w:leader="none" w:pos="1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4,816,892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63500</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39" w:lineRule="exact"/>
        <w:rPr>
          <w:sz w:val="20"/>
          <w:szCs w:val="20"/>
          <w:color w:val="auto"/>
        </w:rPr>
      </w:pPr>
    </w:p>
    <w:p>
      <w:pPr>
        <w:sectPr>
          <w:pgSz w:w="11900" w:h="16838" w:orient="portrait"/>
          <w:cols w:equalWidth="0" w:num="2">
            <w:col w:w="8440" w:space="720"/>
            <w:col w:w="2260"/>
          </w:cols>
          <w:pgMar w:left="240" w:top="373" w:right="239" w:bottom="1440" w:gutter="0" w:footer="0" w:header="0"/>
          <w:type w:val="continuous"/>
        </w:sectPr>
      </w:pPr>
    </w:p>
    <w:p>
      <w:pPr>
        <w:jc w:val="both"/>
        <w:spacing w:after="0" w:line="273" w:lineRule="auto"/>
        <w:rPr>
          <w:sz w:val="20"/>
          <w:szCs w:val="20"/>
          <w:color w:val="auto"/>
        </w:rPr>
      </w:pPr>
      <w:r>
        <w:rPr>
          <w:rFonts w:ascii="Arial" w:cs="Arial" w:eastAsia="Arial" w:hAnsi="Arial"/>
          <w:sz w:val="17"/>
          <w:szCs w:val="17"/>
          <w:color w:val="auto"/>
        </w:rPr>
        <w:t>On December 22, 2017, VICI PropCo entered into a credit agreement with Goldman Sachs Bank USA, as administrative agent, and other parties thereto (the “Credit Agreement”) comprised of a $2,200.0 million Term B Loan Facility and a $400.0 million Revolving Credit Facility, $300.0 million of which was borrowed (the Term B Loan Facility and the Revolving Credit Facility together, the “Senior Secured Credit Facilities”). The Senior Secured Credit Facilities initially bear interest at LIBOR plus 2.25%; provided that following an underwritten public offering of the equity interests of any parent entity of VICI PropCo which results in such equity interests being listed on a national securities exchange and generates gross cash proceeds of at least $500.0 million, such interest rate will be reduced by 25 basis points. The Term B Loan Facility was funded with an original issue discount of</w:t>
      </w:r>
    </w:p>
    <w:p>
      <w:pPr>
        <w:sectPr>
          <w:pgSz w:w="11900" w:h="16838" w:orient="portrait"/>
          <w:cols w:equalWidth="0" w:num="1">
            <w:col w:w="11420"/>
          </w:cols>
          <w:pgMar w:left="240" w:top="373" w:right="23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373" w:right="2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0.25%. The Revolving Credit Facility will mature in 2022, and the Term B Loan Facility will mature in 2024 or the date that is three months prior to the maturity date of the Second Lien Notes, whichever is earlier. The Term B Loan Facility is subject to amortization of 1.0% of principal per annum payable in equal quarterly installments.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VICI PropCo used the net proceeds of the Term B Loan Facility and the Revolving Credit Facility drawn on the closing date of the Credit Agreement, together with the proceeds from the equity issuance by the Company on December 22, 2017 (See Note 12, Shareholders' Equity), to complete (i) the consummation of the acquisition of the Harrah’s Las Vegas Property (See Note 5, Property Transactions), (ii) the refinancing of the existing credit agreement of VICI PropCo, dated as of October 6, 2017 including the Prior Term Loan of $1,638.4 million, (iii) the redemption of the Prior First Lien Notes due 2022, issued on October 6, 2017, with an outstanding principal amount of $311.7 million plus accrued interest, (iv) the repurchase of (A) $200.0 million aggregate principal amount of CPLV existing indebtedness outstanding pursuant to that certain Mezzanine A (Senior tranche) Loan Agreement and (B) $200.0 million aggregate principal amount of CPLV existing indebtedness outstanding pursuant to that certain Mezzanine B (Intermediate tranche) Loan Agreement and (v) the payment of certain fees and expenses incurred in connection with the foregoing.</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Secured Credit Facilities are guaranteed by each of VICI PropCo’s existing and subsequently acquired wholly-owned material domestic restricted subsidiaries, and secured by a first priority lien on substantially all of the VICI PropCo’s and such restricted subsidiaries’ material assets, including mortgages on their respective real estate, subject to customary exclusions. None of VICI, certain subsidiaries of VICI PropCo, including CPLV and its subsidiaries, are subject to the covenants of the Credit Agreement or are guarantors of the Senior Secured Credit Facilities.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Credit Agreement provides for customary events of default, including, without limitation, (i) payment defaults, (ii) inaccuracies of representations and warranties, (iii) covenant defaults, (iv) cross-defaults to certain other indebtedness in excess of specified amounts, (v) certain events of bankruptcy and insolvency, (vi) judgment defaults in excess of specified amounts, (vii) actual or asserted invalidity or impairment of any loan documentation, (viii) the security documents cease to create a valid and perfected first priority lien on any material portion of the collateral, (ix) ERISA defaults, (x) termination of CEOC LLC’s initial master lease, dated as of October 6, 2017 and (xi) change of control.</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Agreement also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important exceptions and qualifications, including, with respect to the restricted payments covenant, the ability to make unlimited restricted payments to maintain the REIT status of the Company. Commencing with the first full fiscal quarter ending after the Closing Date, if there is 30% utilization of the Revolving Credit Facility, VICI PropCo will be required to maintain a maximum total net debt to adjusted asset ratio.</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Secured Credit Facilities may be voluntarily prepaid at VICI PropCo’s option, in whole or in part, at any time, and are subject to mandatory prepayment in the event of receipt by VICI PropCo or any of its restricted subsidiaries of the proceeds from the occurrence of certain events, including asset sales, casualty events and issuance of certain indebtedness.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Second Lien Notes were issued on October 6, 2017, pursuant to an indenture (the “Indenture”) by and among VICI Properties 1 LLC and VICI FC Inc., a wholly owned subsidiary of VICI PropCo, as issuers (together, the “Issuers”), the subsidiary guarantors party thereto, and UMB Bank National Association, as trustee. The Second Lien Notes are guaranteed by each of the Issuers’ existing and subsequently acquired wholly owned material domestic restricted subsidiaries, and secured by a second priority lien on substantially all of the Issuers’ and such restricted subsidiaries’ material assets, including mortgages on their respective real estate, subject to customary exclusions. None of VICI or certain subsidiaries of VICI PropCo, including CPLV and its subsidiaries, are subject to the covenants of the Indenture or are guarantors of the Second Lien Notes.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7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all or substantially all of their assets; (viii) enter into certain transactions with their affiliates; and (ix) designate their subsidiaries as unrestricted subsidiaries.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Second Lien Notes are redeemable at the option of the Issuers, in whole or in part, at any time, from time to time, at a price set forth in the Indenture with the option to redeem up to 35% of the original aggregate principal amount thereof with the net cash proceeds of certain issuances of common or preferred equity by VICI PropCo or VICI REIT, at a price equal to 108% of such principal amount of the Second Lien Notes redeemed plus accrued and unpaid interest to the redemption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CPLV CMBS Debt is secured by all of the assets of CPLV Borrower, including, but not limited to, the CPLV Borrower’s (1) fee interest (except as provided in (2)) in and to CPLV, (2) leasehold interest with respect to Octavius Tower, and (3) interest in the CPLV Lease Agreements and all related agreements, including the Lease Agreements. The CPLV CMBS Debt will be a first priority lien, subject only to permitted encumbrances (which are as set forth in the loan documentation), and an obligation to repay a specified sum with interest at 4.36% per annum. The CPLV CMBS Debt will be evidenced by one or more promissory notes and secured by, among other things, a mortgage, deed of trust or other similar security instrument that creates a mortgage lien on the fee and/or leasehold interest of the CPLV Borrower.</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loan documents governing the CPLV CMBS Debt contain covenants limiting CPLV Borrower’s ability to, among other things: (i) incur additional debt;</w:t>
      </w:r>
    </w:p>
    <w:p>
      <w:pPr>
        <w:spacing w:after="0" w:line="46" w:lineRule="exact"/>
        <w:rPr>
          <w:sz w:val="20"/>
          <w:szCs w:val="20"/>
          <w:color w:val="auto"/>
        </w:rPr>
      </w:pPr>
    </w:p>
    <w:p>
      <w:pPr>
        <w:ind w:firstLine="8"/>
        <w:spacing w:after="0" w:line="261" w:lineRule="auto"/>
        <w:tabs>
          <w:tab w:leader="none" w:pos="2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transactions with its affiliates; (iii) consolidate, merge, sell or otherwise dispose of its assets; and (iv) allow transfers of its direct or indirect equity interests.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Debt-related transactions since Formation Date: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 xml:space="preserve">Face Value </w:t>
            </w: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15"/>
        </w:trPr>
        <w:tc>
          <w:tcPr>
            <w:tcW w:w="5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Debt At</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Mandatory</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Refinancing</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Debt at December</w:t>
            </w:r>
          </w:p>
        </w:tc>
      </w:tr>
      <w:tr>
        <w:trPr>
          <w:trHeight w:val="210"/>
        </w:trPr>
        <w:tc>
          <w:tcPr>
            <w:tcW w:w="5960" w:type="dxa"/>
            <w:vAlign w:val="bottom"/>
            <w:gridSpan w:val="2"/>
          </w:tcPr>
          <w:p>
            <w:pPr>
              <w:ind w:left="2240"/>
              <w:spacing w:after="0"/>
              <w:rPr>
                <w:sz w:val="20"/>
                <w:szCs w:val="20"/>
                <w:color w:val="auto"/>
              </w:rPr>
            </w:pPr>
            <w:r>
              <w:rPr>
                <w:rFonts w:ascii="Arial" w:cs="Arial" w:eastAsia="Arial" w:hAnsi="Arial"/>
                <w:sz w:val="16"/>
                <w:szCs w:val="16"/>
                <w:b w:val="1"/>
                <w:bCs w:val="1"/>
                <w:color w:val="auto"/>
              </w:rPr>
              <w:t>Description of Debt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Formation</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Conversion</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Transactions</w:t>
            </w:r>
          </w:p>
        </w:tc>
        <w:tc>
          <w:tcPr>
            <w:tcW w:w="26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31, 2017</w:t>
            </w:r>
          </w:p>
        </w:tc>
      </w:tr>
      <w:tr>
        <w:trPr>
          <w:trHeight w:val="33"/>
        </w:trPr>
        <w:tc>
          <w:tcPr>
            <w:tcW w:w="5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5960" w:type="dxa"/>
            <w:vAlign w:val="bottom"/>
            <w:gridSpan w:val="2"/>
          </w:tcPr>
          <w:p>
            <w:pPr>
              <w:ind w:left="280"/>
              <w:spacing w:after="0" w:line="270" w:lineRule="exact"/>
              <w:rPr>
                <w:sz w:val="20"/>
                <w:szCs w:val="20"/>
                <w:color w:val="auto"/>
              </w:rPr>
            </w:pPr>
            <w:r>
              <w:rPr>
                <w:rFonts w:ascii="Arial" w:cs="Arial" w:eastAsia="Arial" w:hAnsi="Arial"/>
                <w:sz w:val="18"/>
                <w:szCs w:val="18"/>
                <w:color w:val="auto"/>
                <w:w w:val="99"/>
              </w:rPr>
              <w:t xml:space="preserve">Senior Secured Revolving Credit Facility (“Revolving Credit Facility”) </w:t>
            </w:r>
            <w:r>
              <w:rPr>
                <w:rFonts w:ascii="Arial" w:cs="Arial" w:eastAsia="Arial" w:hAnsi="Arial"/>
                <w:sz w:val="25"/>
                <w:szCs w:val="25"/>
                <w:color w:val="auto"/>
                <w:w w:val="99"/>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3"/>
                <w:szCs w:val="23"/>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300,000</w:t>
            </w: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First Lien Senior Secured Term Loan (“Term B Loan Facility”)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2,200,000</w:t>
            </w: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First Lien Term Loan (“Prior Term Loan”)</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1,638,387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First Priority Senior Secured Notes (“Prior First Lien Notes”)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Second Priority Senior Secured Notes (“Second Lien Notes”)</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766,892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766,892</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280"/>
              <w:spacing w:after="0"/>
              <w:rPr>
                <w:sz w:val="20"/>
                <w:szCs w:val="20"/>
                <w:color w:val="auto"/>
              </w:rPr>
            </w:pPr>
            <w:r>
              <w:rPr>
                <w:rFonts w:ascii="Arial" w:cs="Arial" w:eastAsia="Arial" w:hAnsi="Arial"/>
                <w:sz w:val="18"/>
                <w:szCs w:val="18"/>
                <w:color w:val="auto"/>
              </w:rPr>
              <w:t>CPLV CMBS Debt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1,550,000</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CPLV Mezzanine Debt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gridSpan w:val="2"/>
          </w:tcPr>
          <w:p>
            <w:pPr>
              <w:ind w:left="520"/>
              <w:spacing w:after="0"/>
              <w:rPr>
                <w:sz w:val="20"/>
                <w:szCs w:val="20"/>
                <w:color w:val="auto"/>
              </w:rPr>
            </w:pPr>
            <w:r>
              <w:rPr>
                <w:rFonts w:ascii="Arial" w:cs="Arial" w:eastAsia="Arial" w:hAnsi="Arial"/>
                <w:sz w:val="18"/>
                <w:szCs w:val="18"/>
                <w:color w:val="auto"/>
              </w:rPr>
              <w:t>Senior tranche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Intermediate tranche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gridSpan w:val="2"/>
          </w:tcPr>
          <w:p>
            <w:pPr>
              <w:ind w:left="520"/>
              <w:spacing w:after="0"/>
              <w:rPr>
                <w:sz w:val="20"/>
                <w:szCs w:val="20"/>
                <w:color w:val="auto"/>
              </w:rPr>
            </w:pPr>
            <w:r>
              <w:rPr>
                <w:rFonts w:ascii="Arial" w:cs="Arial" w:eastAsia="Arial" w:hAnsi="Arial"/>
                <w:sz w:val="18"/>
                <w:szCs w:val="18"/>
                <w:color w:val="auto"/>
              </w:rPr>
              <w:t>Junior tranche</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4,917,000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149,892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4,816,892</w:t>
            </w:r>
          </w:p>
        </w:tc>
      </w:tr>
      <w:tr>
        <w:trPr>
          <w:trHeight w:val="20"/>
        </w:trPr>
        <w:tc>
          <w:tcPr>
            <w:tcW w:w="5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Mandatory Conversion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CPLV mezzanine debt junior tranche of $250.0 million was automatically exchanged for 17,630,700 shares of the Company’s common stock on November 6,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73"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Additional Redemptions and Prepayments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at an offering price of $20.00 per share for an aggregate offering value of $1,391.5 million, resulting in net proceeds of $1,307.0 million after commissions and expenses. The Company utilized a portion of the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are used to estimate the fair value of each class of financial instruments for which it is practicable to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Company’s cash, cash equivalents and restricted cash approximate their carrying value due to the short maturity of these instruments.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of notes under the Senior Secured Credit Facilities and the CPLV CMBS debt is estimated based on quoted prices in active markets and as such is a Level 1 measurement as defined under ASC 820.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Company’s financial instruments at December 31, 2017 are as follows:</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4"/>
          </w:tcPr>
          <w:p>
            <w:pPr>
              <w:jc w:val="right"/>
              <w:ind w:right="109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40" w:type="dxa"/>
            <w:vAlign w:val="bottom"/>
          </w:tcPr>
          <w:p>
            <w:pPr>
              <w:spacing w:after="0"/>
              <w:rPr>
                <w:sz w:val="19"/>
                <w:szCs w:val="19"/>
                <w:color w:val="auto"/>
              </w:rPr>
            </w:pPr>
          </w:p>
        </w:tc>
        <w:tc>
          <w:tcPr>
            <w:tcW w:w="1460" w:type="dxa"/>
            <w:vAlign w:val="bottom"/>
          </w:tcPr>
          <w:p>
            <w:pPr>
              <w:jc w:val="right"/>
              <w:ind w:right="43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183,646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183,646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13,760</w:t>
            </w:r>
          </w:p>
        </w:tc>
      </w:tr>
      <w:tr>
        <w:trPr>
          <w:trHeight w:val="32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VICI PropCo Senior Secured Credit Facilities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Senior Secured Revolving Credit Facility (“Revolving Credit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r>
      <w:tr>
        <w:trPr>
          <w:trHeight w:val="243"/>
        </w:trPr>
        <w:tc>
          <w:tcPr>
            <w:tcW w:w="20" w:type="dxa"/>
            <w:vAlign w:val="bottom"/>
          </w:tcPr>
          <w:p>
            <w:pPr>
              <w:spacing w:after="0"/>
              <w:rPr>
                <w:sz w:val="21"/>
                <w:szCs w:val="21"/>
                <w:color w:val="auto"/>
              </w:rPr>
            </w:pPr>
          </w:p>
        </w:tc>
        <w:tc>
          <w:tcPr>
            <w:tcW w:w="7500" w:type="dxa"/>
            <w:vAlign w:val="bottom"/>
            <w:gridSpan w:val="2"/>
          </w:tcPr>
          <w:p>
            <w:pPr>
              <w:ind w:left="260"/>
              <w:spacing w:after="0"/>
              <w:rPr>
                <w:sz w:val="20"/>
                <w:szCs w:val="20"/>
                <w:color w:val="auto"/>
              </w:rPr>
            </w:pPr>
            <w:r>
              <w:rPr>
                <w:rFonts w:ascii="Arial" w:cs="Arial" w:eastAsia="Arial" w:hAnsi="Arial"/>
                <w:sz w:val="18"/>
                <w:szCs w:val="18"/>
                <w:color w:val="auto"/>
              </w:rPr>
              <w:t>First Priority Senior Secured Notes (“Term B Loan Facility”)</w:t>
            </w:r>
          </w:p>
        </w:tc>
        <w:tc>
          <w:tcPr>
            <w:tcW w:w="20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2,168,864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2,200,000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Second Priority Senior Secured Notes (“Second Lien Notes”)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853,167</w:t>
            </w:r>
          </w:p>
        </w:tc>
      </w:tr>
      <w:tr>
        <w:trPr>
          <w:trHeight w:val="243"/>
        </w:trPr>
        <w:tc>
          <w:tcPr>
            <w:tcW w:w="20" w:type="dxa"/>
            <w:vAlign w:val="bottom"/>
          </w:tcPr>
          <w:p>
            <w:pPr>
              <w:spacing w:after="0"/>
              <w:rPr>
                <w:sz w:val="21"/>
                <w:szCs w:val="21"/>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CPLV Debt</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7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CPLV CMBS Debt</w:t>
            </w:r>
          </w:p>
        </w:tc>
        <w:tc>
          <w:tcPr>
            <w:tcW w:w="20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1,550,000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1,559,486</w:t>
            </w:r>
          </w:p>
        </w:tc>
      </w:tr>
      <w:tr>
        <w:trPr>
          <w:trHeight w:val="27"/>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the Company may be subject to legal claims and administrative proceedings, none of which are currently outstanding, which the Company believes could have, individually or in the aggregate, a material adverse effect on its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liable under various operating leases for: (i) land at the Cascata golf course, which expires in 2039 and (ii) offices in Las Vegas, Nevada and New Orleans, Louisiana, which expire in 2018 and 2019, respectively. Total rental expense under these agreements, included in golf-related and general and administrative expenses in our Statement of Operations, was approximately $0.3 million for the period from October 6, 2017 through December 31, 2017.</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7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December 31, 2017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7"/>
                <w:szCs w:val="17"/>
                <w:color w:val="auto"/>
              </w:rPr>
            </w:pPr>
          </w:p>
        </w:tc>
        <w:tc>
          <w:tcPr>
            <w:tcW w:w="184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Lease Commitments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926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r>
      <w:tr>
        <w:trPr>
          <w:trHeight w:val="243"/>
        </w:trPr>
        <w:tc>
          <w:tcPr>
            <w:tcW w:w="9360" w:type="dxa"/>
            <w:vAlign w:val="bottom"/>
            <w:gridSpan w:val="3"/>
          </w:tcPr>
          <w:p>
            <w:pPr>
              <w:ind w:left="40"/>
              <w:spacing w:after="0"/>
              <w:rPr>
                <w:sz w:val="20"/>
                <w:szCs w:val="20"/>
                <w:color w:val="auto"/>
              </w:rPr>
            </w:pPr>
            <w:r>
              <w:rPr>
                <w:rFonts w:ascii="Arial" w:cs="Arial" w:eastAsia="Arial" w:hAnsi="Arial"/>
                <w:sz w:val="18"/>
                <w:szCs w:val="18"/>
                <w:color w:val="auto"/>
              </w:rPr>
              <w:t>2023 and thereafter</w:t>
            </w:r>
          </w:p>
        </w:tc>
        <w:tc>
          <w:tcPr>
            <w:tcW w:w="220" w:type="dxa"/>
            <w:vAlign w:val="bottom"/>
          </w:tcPr>
          <w:p>
            <w:pPr>
              <w:spacing w:after="0"/>
              <w:rPr>
                <w:sz w:val="21"/>
                <w:szCs w:val="21"/>
                <w:color w:val="auto"/>
              </w:rPr>
            </w:pPr>
          </w:p>
        </w:tc>
        <w:tc>
          <w:tcPr>
            <w:tcW w:w="1840" w:type="dxa"/>
            <w:vAlign w:val="bottom"/>
          </w:tcPr>
          <w:p>
            <w:pPr>
              <w:jc w:val="right"/>
              <w:ind w:right="11"/>
              <w:spacing w:after="0"/>
              <w:rPr>
                <w:sz w:val="20"/>
                <w:szCs w:val="20"/>
                <w:color w:val="auto"/>
              </w:rPr>
            </w:pPr>
            <w:r>
              <w:rPr>
                <w:rFonts w:ascii="Arial" w:cs="Arial" w:eastAsia="Arial" w:hAnsi="Arial"/>
                <w:sz w:val="18"/>
                <w:szCs w:val="18"/>
                <w:color w:val="auto"/>
              </w:rPr>
              <w:t>17,966</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9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minimum rental commitments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golf-related commitments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TRS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as golf-related expenses in our Statement of Operations was approximately $0.7 million for the period from October 6, 2017 through December 31, 2017.</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Total commitments relating to golf-related maintenance agreements at December 31, 2017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jc w:val="right"/>
              <w:ind w:right="294"/>
              <w:spacing w:after="0"/>
              <w:rPr>
                <w:sz w:val="20"/>
                <w:szCs w:val="20"/>
                <w:color w:val="auto"/>
              </w:rPr>
            </w:pPr>
            <w:r>
              <w:rPr>
                <w:rFonts w:ascii="Arial" w:cs="Arial" w:eastAsia="Arial" w:hAnsi="Arial"/>
                <w:sz w:val="16"/>
                <w:szCs w:val="16"/>
                <w:b w:val="1"/>
                <w:bCs w:val="1"/>
                <w:color w:val="auto"/>
                <w:w w:val="96"/>
              </w:rPr>
              <w:t>Golf-related maintenance</w:t>
            </w:r>
          </w:p>
        </w:tc>
      </w:t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7"/>
                <w:szCs w:val="17"/>
                <w:color w:val="auto"/>
              </w:rPr>
            </w:pPr>
          </w:p>
        </w:tc>
        <w:tc>
          <w:tcPr>
            <w:tcW w:w="2260" w:type="dxa"/>
            <w:vAlign w:val="bottom"/>
          </w:tcPr>
          <w:p>
            <w:pPr>
              <w:jc w:val="right"/>
              <w:ind w:right="774"/>
              <w:spacing w:after="0"/>
              <w:rPr>
                <w:sz w:val="20"/>
                <w:szCs w:val="20"/>
                <w:color w:val="auto"/>
              </w:rPr>
            </w:pPr>
            <w:r>
              <w:rPr>
                <w:rFonts w:ascii="Arial" w:cs="Arial" w:eastAsia="Arial" w:hAnsi="Arial"/>
                <w:sz w:val="16"/>
                <w:szCs w:val="16"/>
                <w:b w:val="1"/>
                <w:bCs w:val="1"/>
                <w:color w:val="auto"/>
              </w:rPr>
              <w:t>agreements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44"/>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9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2,969</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tcPr>
          <w:p>
            <w:pPr>
              <w:jc w:val="right"/>
              <w:ind w:right="14"/>
              <w:spacing w:after="0"/>
              <w:rPr>
                <w:sz w:val="20"/>
                <w:szCs w:val="20"/>
                <w:color w:val="auto"/>
              </w:rPr>
            </w:pPr>
            <w:r>
              <w:rPr>
                <w:rFonts w:ascii="Arial" w:cs="Arial" w:eastAsia="Arial" w:hAnsi="Arial"/>
                <w:sz w:val="18"/>
                <w:szCs w:val="18"/>
                <w:color w:val="auto"/>
              </w:rPr>
              <w:t>225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golf-related maintenance agreement commitments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3,194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Shareholders'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VICI’s conversion to a corporation under the laws of the State of Maryland, the Company authorized 100,000,000 shares of common stock with a par value of $0.01 per share. On May 5, 2017, VICI REIT issued 1,000 shares of common stock to CEOC.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Effective on the Formation Date, the Company had authority to issue 750,000,000 shares of stock, consisting of 700,000,000 shares of Common Stock, $0.01 par value per share and 50,000,000 shares of Preferred Stock, $0.01 par value per share (“Preferred Stock”), of which 12,000,000 shares has been classified as Series A Convertible Preferred Stock, $0.01 par value per share (“Series A Preferred Stock”).</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the Formation Date, the Company issued 177,160,494 shares of common stock and 12,000,000 shares of Series A preferred stock with an aggregate liquidation preference of $300.0 million ($25 per share) to CEOC and certain of its subsidiaries in exchange for the Properties and Caesars Entertainment Outdoor. CEOC distributed such shares to certain of its creditors and to certain backstop parties.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Plan and a Backstop Commitment Agreement dated September 12, 2017, the backstop purchasers agreed, or otherwise had the right, to purchase a specified number of the shares of the Series A preferred stock for cash, with the cash proceeds of such purchases being paid to certain creditors of CEOC. An aggregate of 6,002,907 shares of Series A preferred stock were purchased by the backstop purchasers on the Formation Date (the “Backstop Shares”) at a price of $20.83 per share and an aggregate of 5,997,093 shares of Series A preferred stock were issued to certain creditors of CEOC as a portion of the recovery on account of their claims.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7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Mandatory Conversions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6, 2017, all of the Series A preferred stock automatically converted into 51,433,692 shares of the Company’s common stock (the “Mandatory Preferred Conversion”). No additional consideration was payable in connection with the Mandatory Preferred Conversion.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on the Formation Date, CPLV Mezz 3 LLC, a special-purpose parent entity of CPLV Mezz 2 LLC (which itself is the special-purpose parent entity of CPLV Mezz 1 LLC, the special-purpose parent entity of CPLV Property Owner LLC (the mortgage borrower under the CPLV CMBS Debt and the owner of CPLV)), issued a junior tranche of CPLV mezzanine debt in an amount of $250.0 million to institutional accredited investors, which debt automatically converted into an aggregate of 17,630,700 shares of the Company’s common stock on November 6, 2017 (the “Mandatory Mezzanine Conversion”). No additional consideration was payable in connection with the Mandatory Mezzanine Conversion.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Private Equity Placement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we entered into a common stock purchase agreement with certain of our existing investors, which certain additional investors joined in December 2017, pursuant to which we agreed to sell, contemporaneously with the consummation of the acquisition of the Harrah’s Las Vegas property, an aggregate of 54,054,052 shares of our common stock at a price of $18.50 per share in a private placement transaction, for gross proceeds of approximately $1.0 billion. The net proceeds from the transaction of approximately $963.8 million was used to partially fund the purchase price for the Harrah’s Las Vegas property and for working capital and general corporate purposes. At the closing of the private placement, on December 22, 2017, we made a cash payment equal to 2% of the committed amount, or $17.0 million in the aggregate, to the investors who entered into the purchase agreement with us in November 2017. In addition, at the private placement closing, we entered into a registration rights agreement with the investors, which provides, among other things, for us to file a shelf registration statement for the benefit of the investors within 75 days following the closing.</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Formation and Post-Formation equity transactions, the Company has 300,278,938 shares of Common Stock issued and outstanding and no shares of Preferred Stock outstanding at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at an offering price of $20.00 per share for an aggregate offering value of $1,391.5 million, resulting in net proceeds of $1,307.0 million after commissions and expenses. After giving effect to the offering, the Company has 369,853,938 shares of Common Stock issued and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Earnings Per Share</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Basic earnings per share is computed by dividing net income attributable to common shareholders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and unvested performance-based restricted shares. The following table reconciles the weighted-average common shares outstanding used in the calculation of basic earnings per share to the weighted-average common shares outstanding used in the calculation of diluted earnings per share for the period ended December 31,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160" w:type="dxa"/>
            <w:vAlign w:val="bottom"/>
          </w:tcPr>
          <w:p>
            <w:pPr>
              <w:jc w:val="right"/>
              <w:ind w:right="119"/>
              <w:spacing w:after="0"/>
              <w:rPr>
                <w:sz w:val="20"/>
                <w:szCs w:val="20"/>
                <w:color w:val="auto"/>
              </w:rPr>
            </w:pPr>
            <w:r>
              <w:rPr>
                <w:rFonts w:ascii="Arial" w:cs="Arial" w:eastAsia="Arial" w:hAnsi="Arial"/>
                <w:sz w:val="16"/>
                <w:szCs w:val="16"/>
                <w:b w:val="1"/>
                <w:bCs w:val="1"/>
                <w:color w:val="auto"/>
              </w:rPr>
              <w:t>Period from October 6 to</w:t>
            </w:r>
          </w:p>
        </w:tc>
        <w:tc>
          <w:tcPr>
            <w:tcW w:w="0" w:type="dxa"/>
            <w:vAlign w:val="bottom"/>
          </w:tcPr>
          <w:p>
            <w:pPr>
              <w:spacing w:after="0"/>
              <w:rPr>
                <w:sz w:val="1"/>
                <w:szCs w:val="1"/>
                <w:color w:val="auto"/>
              </w:rPr>
            </w:pPr>
          </w:p>
        </w:tc>
      </w:tr>
      <w:tr>
        <w:trPr>
          <w:trHeight w:val="203"/>
        </w:trPr>
        <w:tc>
          <w:tcPr>
            <w:tcW w:w="49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340" w:type="dxa"/>
            <w:vAlign w:val="bottom"/>
          </w:tcPr>
          <w:p>
            <w:pPr>
              <w:spacing w:after="0"/>
              <w:rPr>
                <w:sz w:val="17"/>
                <w:szCs w:val="17"/>
                <w:color w:val="auto"/>
              </w:rPr>
            </w:pPr>
          </w:p>
        </w:tc>
        <w:tc>
          <w:tcPr>
            <w:tcW w:w="216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9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Determination of shares:</w:t>
            </w:r>
          </w:p>
        </w:tc>
        <w:tc>
          <w:tcPr>
            <w:tcW w:w="43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920" w:type="dxa"/>
            <w:vAlign w:val="bottom"/>
            <w:gridSpan w:val="3"/>
            <w:vMerge w:val="continue"/>
          </w:tcPr>
          <w:p>
            <w:pPr>
              <w:spacing w:after="0"/>
              <w:rPr>
                <w:sz w:val="20"/>
                <w:szCs w:val="20"/>
                <w:color w:val="auto"/>
              </w:rPr>
            </w:pPr>
          </w:p>
        </w:tc>
        <w:tc>
          <w:tcPr>
            <w:tcW w:w="43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65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80" w:type="dxa"/>
            <w:vAlign w:val="bottom"/>
            <w:gridSpan w:val="2"/>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6500" w:type="dxa"/>
            <w:vAlign w:val="bottom"/>
            <w:gridSpan w:val="2"/>
          </w:tcPr>
          <w:p>
            <w:pPr>
              <w:jc w:val="right"/>
              <w:ind w:right="19"/>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65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78</w:t>
            </w: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Basic and Diluted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Period from October 6 to</w:t>
            </w:r>
          </w:p>
        </w:tc>
        <w:tc>
          <w:tcPr>
            <w:tcW w:w="0" w:type="dxa"/>
            <w:vAlign w:val="bottom"/>
          </w:tcPr>
          <w:p>
            <w:pPr>
              <w:spacing w:after="0"/>
              <w:rPr>
                <w:sz w:val="1"/>
                <w:szCs w:val="1"/>
                <w:color w:val="auto"/>
              </w:rPr>
            </w:pPr>
          </w:p>
        </w:tc>
      </w:tr>
      <w:tr>
        <w:trPr>
          <w:trHeight w:val="203"/>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0" w:type="dxa"/>
            <w:vAlign w:val="bottom"/>
          </w:tcPr>
          <w:p>
            <w:pPr>
              <w:spacing w:after="0"/>
              <w:rPr>
                <w:sz w:val="17"/>
                <w:szCs w:val="17"/>
                <w:color w:val="auto"/>
              </w:rPr>
            </w:pPr>
          </w:p>
        </w:tc>
        <w:tc>
          <w:tcPr>
            <w:tcW w:w="2000" w:type="dxa"/>
            <w:vAlign w:val="bottom"/>
          </w:tcPr>
          <w:p>
            <w:pPr>
              <w:jc w:val="right"/>
              <w:ind w:right="332"/>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2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Basic:</w:t>
            </w: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2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160" w:type="dxa"/>
            <w:vAlign w:val="bottom"/>
          </w:tcPr>
          <w:p>
            <w:pPr>
              <w:spacing w:after="0"/>
              <w:rPr>
                <w:sz w:val="21"/>
                <w:szCs w:val="21"/>
                <w:color w:val="auto"/>
              </w:rPr>
            </w:pP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227,829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Basic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7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Net income attributable to common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2"/>
              <w:spacing w:after="0"/>
              <w:rPr>
                <w:sz w:val="20"/>
                <w:szCs w:val="20"/>
                <w:color w:val="auto"/>
              </w:rPr>
            </w:pPr>
            <w:r>
              <w:rPr>
                <w:rFonts w:ascii="Arial" w:cs="Arial" w:eastAsia="Arial" w:hAnsi="Arial"/>
                <w:sz w:val="18"/>
                <w:szCs w:val="18"/>
                <w:color w:val="auto"/>
              </w:rPr>
              <w:t>42,662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16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Diluted EPS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Share-Based Compensation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2017 Stock Incentive Plan is designed to provide long-term equity based compensation to directors and employees of the Company and its subsidiaries. The 2017 Stock Incentive Plan was adopted by the Board of Directors upon Formation and is administered by the Compensation Committee of the Board of Directors.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Awards under the 2017 Stock Incentive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2017 Stock Incentive Plan limits the total number of shares of common stock with respect to which awards may be granted to any employee or director during any one calendar year.</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we granted a total of 174,572 restricted stock awards, 145,062 of which were valued based on an independent appraisal of the value of the Company’s common stock as of the Formation Date and 29,510 of which were valued based on the 10-day volume weighted average price using the 10 trading days ending on the grant date.</w:t>
      </w:r>
    </w:p>
    <w:p>
      <w:pPr>
        <w:spacing w:after="0" w:line="12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shared-based compensation expense recorded as General and administrative expense in the Statement of Operations totaled $1.4 million for the period from October 6, 2017 to December 31, 2017. Compensation expense is recognized on a straight-line basis for awards with only service conditions.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Activity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Arial" w:cs="Arial" w:eastAsia="Arial" w:hAnsi="Arial"/>
                <w:sz w:val="16"/>
                <w:szCs w:val="16"/>
                <w:b w:val="1"/>
                <w:bCs w:val="1"/>
                <w:color w:val="auto"/>
              </w:rPr>
              <w:t>Units</w:t>
            </w:r>
          </w:p>
        </w:tc>
        <w:tc>
          <w:tcPr>
            <w:tcW w:w="16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Wtd Avg Fair Value</w:t>
            </w:r>
          </w:p>
        </w:tc>
      </w:tr>
      <w:tr>
        <w:trPr>
          <w:trHeight w:val="33"/>
        </w:trPr>
        <w:tc>
          <w:tcPr>
            <w:tcW w:w="8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Formation Date</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174,572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15.41</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(50,962)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Outstanding as of December 31, 2017</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123,610</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15.61</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that vested in 2017 were issued as common stock in February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there was $1.8 million of unrecognized compensation cost related to non-vested share-based compensation arrangements under the 2017 Stock Incentive Plan. This cost is expected to be recognized over a weighted average period of 3.6 years.</w:t>
      </w:r>
    </w:p>
    <w:p>
      <w:pPr>
        <w:sectPr>
          <w:pgSz w:w="11900" w:h="16838" w:orient="portrait"/>
          <w:cols w:equalWidth="0" w:num="1">
            <w:col w:w="11420"/>
          </w:cols>
          <w:pgMar w:left="240" w:top="373"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73"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Income Taxes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elect to be taxed and qualify as a REIT for U.S. federal income tax purposes commencing with our taxable year ended December 31, 2017.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The Company intends to meet those requirements and as a result, we generally will not be subject to federal income tax except for the TRS operations.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activities of the Company which occur within its TRS operations are subject to federal and state income taxes. Accordingly, the Company's tax provision and deferred tax analysis are primarily from the results of TRS activities.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tax legislation, commonly referred to as the Tax Cuts and Jobs Act (“Tax Reform Act”), was enacted on December 22, 2017, which significantly changes U.S. tax law by, among other things, a permanent reduction of the U.S. corporate income tax rate from 35% to 21%, effective January 1, 2018. ASC 740, Accounting for Income Taxes, requires companies to recognize the effect of tax law changes in the period of enactment. Accordingly, we have recorded a reduction to our net deferred tax liability of $2.4 million, and a corresponding increase to income tax benefit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income tax expense (benefit) for the period from October 6, 2017 to December 31, 2017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4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Current</w:t>
            </w:r>
          </w:p>
        </w:tc>
        <w:tc>
          <w:tcPr>
            <w:tcW w:w="30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w:t>
            </w:r>
          </w:p>
        </w:tc>
        <w:tc>
          <w:tcPr>
            <w:tcW w:w="36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43"/>
        </w:trPr>
        <w:tc>
          <w:tcPr>
            <w:tcW w:w="40" w:type="dxa"/>
            <w:vAlign w:val="bottom"/>
          </w:tcPr>
          <w:p>
            <w:pPr>
              <w:spacing w:after="0"/>
              <w:rPr>
                <w:sz w:val="21"/>
                <w:szCs w:val="21"/>
                <w:color w:val="auto"/>
              </w:rPr>
            </w:pPr>
          </w:p>
        </w:tc>
        <w:tc>
          <w:tcPr>
            <w:tcW w:w="6360" w:type="dxa"/>
            <w:vAlign w:val="bottom"/>
            <w:gridSpan w:val="2"/>
          </w:tcPr>
          <w:p>
            <w:pPr>
              <w:ind w:left="22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300" w:type="dxa"/>
            <w:vAlign w:val="bottom"/>
          </w:tcPr>
          <w:p>
            <w:pPr>
              <w:ind w:left="10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the net effects of temporary differences that gave rise to significant portions of the deferred tax assets and deferred tax liabilities were:</w:t>
      </w:r>
    </w:p>
    <w:p>
      <w:pPr>
        <w:sectPr>
          <w:pgSz w:w="11900" w:h="16838" w:orient="portrait"/>
          <w:cols w:equalWidth="0" w:num="1">
            <w:col w:w="11420"/>
          </w:cols>
          <w:pgMar w:left="240" w:top="373" w:right="239" w:bottom="1440" w:gutter="0" w:footer="0" w:header="0"/>
        </w:sectPr>
      </w:pP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Federal net operating loss</w:t>
      </w:r>
    </w:p>
    <w:p>
      <w:pPr>
        <w:spacing w:after="0" w:line="75" w:lineRule="exact"/>
        <w:rPr>
          <w:sz w:val="20"/>
          <w:szCs w:val="20"/>
          <w:color w:val="auto"/>
        </w:rPr>
      </w:pPr>
    </w:p>
    <w:p>
      <w:pPr>
        <w:jc w:val="right"/>
        <w:ind w:right="6020"/>
        <w:spacing w:after="0"/>
        <w:rPr>
          <w:sz w:val="20"/>
          <w:szCs w:val="20"/>
          <w:color w:val="auto"/>
        </w:rPr>
      </w:pPr>
      <w:r>
        <w:rPr>
          <w:rFonts w:ascii="Arial" w:cs="Arial" w:eastAsia="Arial" w:hAnsi="Arial"/>
          <w:sz w:val="17"/>
          <w:szCs w:val="17"/>
          <w:color w:val="auto"/>
        </w:rPr>
        <w:t>Accruals, reserves and other</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deferred tax assets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tax liabilities: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37465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spacing w:after="0"/>
        <w:tabs>
          <w:tab w:leader="none" w:pos="2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46355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5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31750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340" w:space="720"/>
            <w:col w:w="2360"/>
          </w:cols>
          <w:pgMar w:left="240" w:top="373"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8420" w:type="dxa"/>
            <w:vAlign w:val="bottom"/>
            <w:gridSpan w:val="2"/>
          </w:tcPr>
          <w:p>
            <w:pPr>
              <w:ind w:left="240"/>
              <w:spacing w:after="0"/>
              <w:rPr>
                <w:sz w:val="20"/>
                <w:szCs w:val="20"/>
                <w:color w:val="auto"/>
              </w:rPr>
            </w:pPr>
            <w:r>
              <w:rPr>
                <w:rFonts w:ascii="Arial" w:cs="Arial" w:eastAsia="Arial" w:hAnsi="Arial"/>
                <w:sz w:val="18"/>
                <w:szCs w:val="18"/>
                <w:color w:val="auto"/>
              </w:rPr>
              <w:t>Land, buildings and equipment, net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2"/>
            <w:shd w:val="clear" w:color="auto" w:fill="CCEEFF"/>
          </w:tcPr>
          <w:p>
            <w:pPr>
              <w:jc w:val="right"/>
              <w:ind w:right="59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20" w:type="dxa"/>
            <w:vAlign w:val="bottom"/>
            <w:gridSpan w:val="2"/>
          </w:tcPr>
          <w:p>
            <w:pPr>
              <w:jc w:val="right"/>
              <w:ind w:right="5980"/>
              <w:spacing w:after="0"/>
              <w:rPr>
                <w:sz w:val="20"/>
                <w:szCs w:val="20"/>
                <w:color w:val="auto"/>
              </w:rPr>
            </w:pPr>
            <w:r>
              <w:rPr>
                <w:rFonts w:ascii="Arial" w:cs="Arial" w:eastAsia="Arial" w:hAnsi="Arial"/>
                <w:sz w:val="18"/>
                <w:szCs w:val="18"/>
                <w:color w:val="auto"/>
              </w:rPr>
              <w:t>Net deferred tax liability</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reconciles our effective income tax rate to the historical federal statutory rate of 35%.</w:t>
            </w: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4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280" w:type="dxa"/>
            <w:vAlign w:val="bottom"/>
          </w:tcPr>
          <w:p>
            <w:pPr>
              <w:spacing w:after="0"/>
              <w:rPr>
                <w:sz w:val="24"/>
                <w:szCs w:val="24"/>
                <w:color w:val="auto"/>
              </w:rPr>
            </w:pPr>
          </w:p>
        </w:tc>
        <w:tc>
          <w:tcPr>
            <w:tcW w:w="13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7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income tax expense at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15,414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REIT income not subject to federal income tax</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(14,897)</w:t>
            </w:r>
          </w:p>
        </w:tc>
        <w:tc>
          <w:tcPr>
            <w:tcW w:w="1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State income taxes, net of federal benefits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60" w:type="dxa"/>
            <w:vAlign w:val="bottom"/>
            <w:gridSpan w:val="3"/>
          </w:tcPr>
          <w:p>
            <w:pPr>
              <w:ind w:left="40"/>
              <w:spacing w:after="0"/>
              <w:rPr>
                <w:sz w:val="20"/>
                <w:szCs w:val="20"/>
                <w:color w:val="auto"/>
              </w:rPr>
            </w:pPr>
            <w:r>
              <w:rPr>
                <w:rFonts w:ascii="Arial" w:cs="Arial" w:eastAsia="Arial" w:hAnsi="Arial"/>
                <w:sz w:val="18"/>
                <w:szCs w:val="18"/>
                <w:color w:val="auto"/>
              </w:rPr>
              <w:t>Impact of Tax Reform on deferred tax liability</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8460" w:type="dxa"/>
            <w:vAlign w:val="bottom"/>
            <w:gridSpan w:val="3"/>
            <w:vMerge w:val="restart"/>
          </w:tcPr>
          <w:p>
            <w:pPr>
              <w:ind w:left="562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846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3" w:right="239" w:bottom="1440" w:gutter="0" w:footer="0" w:header="0"/>
          <w:type w:val="continuous"/>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 Segment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each reportable segment presented below are consistent with the way VICI management assesses these results and allocates resources, which is a consolidated view that adjusts for the impact of certain transactions between reportable segments within VICI, as described below. Accordingly, the results of certain reportable segments presented in this footnote differ from the financial statement information presented in their standalone reports.</w:t>
      </w:r>
    </w:p>
    <w:p>
      <w:pPr>
        <w:spacing w:after="0" w:line="19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Period Ended December 31, 2017</w:t>
            </w:r>
          </w:p>
        </w:tc>
        <w:tc>
          <w:tcPr>
            <w:tcW w:w="3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b w:val="1"/>
                <w:bCs w:val="1"/>
                <w:color w:val="auto"/>
              </w:rPr>
              <w:t>Real Property Business</w:t>
            </w:r>
          </w:p>
        </w:tc>
        <w:tc>
          <w:tcPr>
            <w:tcW w:w="300" w:type="dxa"/>
            <w:vAlign w:val="bottom"/>
          </w:tcPr>
          <w:p>
            <w:pPr>
              <w:spacing w:after="0"/>
              <w:rPr>
                <w:sz w:val="19"/>
                <w:szCs w:val="19"/>
                <w:color w:val="auto"/>
              </w:rPr>
            </w:pPr>
          </w:p>
        </w:tc>
        <w:tc>
          <w:tcPr>
            <w:tcW w:w="2400" w:type="dxa"/>
            <w:vAlign w:val="bottom"/>
            <w:gridSpan w:val="2"/>
          </w:tcPr>
          <w:p>
            <w:pPr>
              <w:ind w:left="180"/>
              <w:spacing w:after="0"/>
              <w:rPr>
                <w:sz w:val="20"/>
                <w:szCs w:val="20"/>
                <w:color w:val="auto"/>
              </w:rPr>
            </w:pPr>
            <w:r>
              <w:rPr>
                <w:rFonts w:ascii="Arial" w:cs="Arial" w:eastAsia="Arial" w:hAnsi="Arial"/>
                <w:sz w:val="18"/>
                <w:szCs w:val="18"/>
                <w:b w:val="1"/>
                <w:bCs w:val="1"/>
                <w:color w:val="auto"/>
              </w:rPr>
              <w:t>Golf Course Business</w:t>
            </w:r>
          </w:p>
        </w:tc>
        <w:tc>
          <w:tcPr>
            <w:tcW w:w="340" w:type="dxa"/>
            <w:vAlign w:val="bottom"/>
          </w:tcPr>
          <w:p>
            <w:pPr>
              <w:spacing w:after="0"/>
              <w:rPr>
                <w:sz w:val="19"/>
                <w:szCs w:val="19"/>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VICI 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187,609</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142,722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144,196</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(63,354)</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(38,488)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(38,488)</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42,636</w:t>
            </w:r>
          </w:p>
        </w:tc>
      </w:tr>
      <w:tr>
        <w:trPr>
          <w:trHeight w:val="243"/>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2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1,901</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44,537</w:t>
            </w:r>
          </w:p>
        </w:tc>
      </w:tr>
      <w:tr>
        <w:trPr>
          <w:trHeight w:val="32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r>
      <w:tr>
        <w:trPr>
          <w:trHeight w:val="32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43"/>
        </w:trPr>
        <w:tc>
          <w:tcPr>
            <w:tcW w:w="20" w:type="dxa"/>
            <w:vAlign w:val="bottom"/>
            <w:shd w:val="clear" w:color="auto" w:fill="CCEEFF"/>
          </w:tcPr>
          <w:p>
            <w:pPr>
              <w:spacing w:after="0"/>
              <w:rPr>
                <w:sz w:val="21"/>
                <w:szCs w:val="21"/>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9,660,244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79,468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9,739,712</w:t>
            </w:r>
          </w:p>
        </w:tc>
      </w:tr>
      <w:tr>
        <w:trPr>
          <w:trHeight w:val="27"/>
        </w:trPr>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32406B"/>
        </w:rPr>
        <w:t>All of our real estate holdings (other than those related to the Golf Course Business) are leased to Caesars and certain of its subsidiaries, and substantially all of our revenues are derived from the Lease Agreements, which represents a concentration of credit risk due to the single tenant nature of our leases. Management does not believe there are any other significant concentrations of credit risk.</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Subsequent Events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5, 2018, the Company completed an initial public offering of 69,575,000 shares of common stock at an offering price of $20.00 per share for an aggregate offering value of $1,391.5 million, resulting in net proceeds of $1,307.0 million after commissions and expenses. The Company utilized a portion of the proceeds from the stock offering to: (a) pay down $300.0 million of indebtedness outstanding under the Revolving Credit Facility; (b) redeem $268.4 million in aggregate principal amount of the Second Lien Notes at a redemption price of 108% plus accrued and unpaid interest to the date of the redemption; and (c) repay $100.0 million of the Term Loan B Facility.</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giving effect to the offering, the Company has 369,853,938 shares of Common Stock issued and outstanding as of the date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Quarterly Results of Operations (Unaudited)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VICI began operations on October 6, 2017, our first quarter of operations is represented in our Consolidated Statement of Operations.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73" w:right="239" w:bottom="1440" w:gutter="0" w:footer="0" w:header="0"/>
        </w:sectPr>
      </w:pPr>
    </w:p>
    <w:bookmarkStart w:id="83" w:name="page84"/>
    <w:bookmarkEnd w:id="83"/>
    <w:p>
      <w:pPr>
        <w:ind w:right="524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VICI Properties Inc.</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combined balance sheets of Caesars Entertainment Outdoor (the "Business") as of October 5, 2017 and December 31, 2016, the related combined statements of operations, equity, and cash flows for the period from January 1, 2017 to October 5, 2017 and for each of the two years in the period ended December 31, 2016, and the related notes to the combined financial statements (collectively referred to as the "Financial Statements"). In our opinion, the financial statements present fairly, in all material respects, the financial position of the Business as of October 5, 2017 and December 31, 2016, and the results of its operations and its cash flows for the period from January 1, 2017 to October 5, 2017 and for each of the two years in the period ended December 31, 2016,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Business’ management. Our responsibility is to express an opinion on the Business’ financial statements based on our audits. We are a public accounting firm registered with the Public Company Accounting Oversight Board (United States) (PCAOB) and are required to be independent with respect to the Business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Business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Business’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Business’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ind w:left="140"/>
              <w:spacing w:after="0"/>
              <w:rPr>
                <w:sz w:val="20"/>
                <w:szCs w:val="20"/>
                <w:color w:val="auto"/>
              </w:rPr>
            </w:pPr>
            <w:r>
              <w:rPr>
                <w:rFonts w:ascii="Arial" w:cs="Arial" w:eastAsia="Arial" w:hAnsi="Arial"/>
                <w:sz w:val="18"/>
                <w:szCs w:val="18"/>
                <w:b w:val="1"/>
                <w:bCs w:val="1"/>
                <w:color w:val="auto"/>
              </w:rPr>
              <w:t>October 5, 2017</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Prepayments</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88,831</w:t>
            </w:r>
          </w:p>
        </w:tc>
        <w:tc>
          <w:tcPr>
            <w:tcW w:w="0" w:type="dxa"/>
            <w:vAlign w:val="bottom"/>
          </w:tcPr>
          <w:p>
            <w:pPr>
              <w:spacing w:after="0"/>
              <w:rPr>
                <w:sz w:val="1"/>
                <w:szCs w:val="1"/>
                <w:color w:val="auto"/>
              </w:rPr>
            </w:pPr>
          </w:p>
        </w:tc>
      </w:tr>
      <w:tr>
        <w:trPr>
          <w:trHeight w:val="297"/>
        </w:trPr>
        <w:tc>
          <w:tcPr>
            <w:tcW w:w="720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90,475</w:t>
            </w:r>
          </w:p>
        </w:tc>
        <w:tc>
          <w:tcPr>
            <w:tcW w:w="0" w:type="dxa"/>
            <w:vAlign w:val="bottom"/>
          </w:tcPr>
          <w:p>
            <w:pPr>
              <w:spacing w:after="0"/>
              <w:rPr>
                <w:sz w:val="1"/>
                <w:szCs w:val="1"/>
                <w:color w:val="auto"/>
              </w:rPr>
            </w:pPr>
          </w:p>
        </w:tc>
      </w:tr>
      <w:tr>
        <w:trPr>
          <w:trHeight w:val="271"/>
        </w:trPr>
        <w:tc>
          <w:tcPr>
            <w:tcW w:w="7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 and Equity</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84"/>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Liabilities subject to compromise</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investment</w:t>
            </w: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84,091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83,141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84,143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liabilities and equity</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89,253</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90,475</w:t>
            </w:r>
          </w:p>
        </w:tc>
        <w:tc>
          <w:tcPr>
            <w:tcW w:w="0" w:type="dxa"/>
            <w:vAlign w:val="bottom"/>
          </w:tcPr>
          <w:p>
            <w:pPr>
              <w:spacing w:after="0"/>
              <w:rPr>
                <w:sz w:val="1"/>
                <w:szCs w:val="1"/>
                <w:color w:val="auto"/>
              </w:rPr>
            </w:pPr>
          </w:p>
        </w:tc>
      </w:tr>
      <w:tr>
        <w:trPr>
          <w:trHeight w:val="95"/>
        </w:trPr>
        <w:tc>
          <w:tcPr>
            <w:tcW w:w="72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7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vMerge w:val="continue"/>
            <w:shd w:val="clear" w:color="auto" w:fill="CCEEFF"/>
          </w:tcPr>
          <w:p>
            <w:pPr>
              <w:spacing w:after="0"/>
              <w:rPr>
                <w:sz w:val="8"/>
                <w:szCs w:val="8"/>
                <w:color w:val="auto"/>
              </w:rPr>
            </w:pPr>
          </w:p>
        </w:tc>
        <w:tc>
          <w:tcPr>
            <w:tcW w:w="18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Period from January 1,</w:t>
            </w:r>
          </w:p>
        </w:tc>
        <w:tc>
          <w:tcPr>
            <w:tcW w:w="14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w:t>
            </w:r>
          </w:p>
        </w:tc>
        <w:tc>
          <w:tcPr>
            <w:tcW w:w="140" w:type="dxa"/>
            <w:vAlign w:val="bottom"/>
          </w:tcPr>
          <w:p>
            <w:pPr>
              <w:spacing w:after="0"/>
              <w:rPr>
                <w:sz w:val="18"/>
                <w:szCs w:val="18"/>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Year Ended December</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2017 to October 5, 2017</w:t>
            </w: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630"/>
              <w:spacing w:after="0"/>
              <w:rPr>
                <w:sz w:val="20"/>
                <w:szCs w:val="20"/>
                <w:color w:val="auto"/>
              </w:rPr>
            </w:pPr>
            <w:r>
              <w:rPr>
                <w:rFonts w:ascii="Arial" w:cs="Arial" w:eastAsia="Arial" w:hAnsi="Arial"/>
                <w:sz w:val="18"/>
                <w:szCs w:val="18"/>
                <w:b w:val="1"/>
                <w:bCs w:val="1"/>
                <w:color w:val="auto"/>
              </w:rPr>
              <w:t>31, 2015</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 xml:space="preserve">Golf </w:t>
            </w:r>
            <w:r>
              <w:rPr>
                <w:rFonts w:ascii="Arial" w:cs="Arial" w:eastAsia="Arial" w:hAnsi="Arial"/>
                <w:sz w:val="16"/>
                <w:szCs w:val="16"/>
                <w:color w:val="auto"/>
              </w:rPr>
              <w:t>($5,685, $6,353 and $5,146 attributable to related parties)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14,558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14,071</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Retail and other</w:t>
            </w: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1,856</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revenues</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18,077</w:t>
            </w:r>
          </w:p>
        </w:tc>
      </w:tr>
      <w:tr>
        <w:trPr>
          <w:trHeight w:val="277"/>
        </w:trPr>
        <w:tc>
          <w:tcPr>
            <w:tcW w:w="5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Direct</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Golf</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6,767</w:t>
            </w:r>
          </w:p>
        </w:tc>
      </w:tr>
      <w:tr>
        <w:trPr>
          <w:trHeight w:val="243"/>
        </w:trPr>
        <w:tc>
          <w:tcPr>
            <w:tcW w:w="5040" w:type="dxa"/>
            <w:vAlign w:val="bottom"/>
          </w:tcPr>
          <w:p>
            <w:pPr>
              <w:ind w:left="50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1,936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Retail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Property costs</w:t>
            </w: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3,133</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Administrative and other</w:t>
            </w:r>
          </w:p>
        </w:tc>
        <w:tc>
          <w:tcPr>
            <w:tcW w:w="1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1,760</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18,059</w:t>
            </w:r>
          </w:p>
        </w:tc>
      </w:tr>
      <w:tr>
        <w:trPr>
          <w:trHeight w:val="277"/>
        </w:trPr>
        <w:tc>
          <w:tcPr>
            <w:tcW w:w="5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12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 Investment</w:t>
            </w:r>
          </w:p>
        </w:tc>
        <w:tc>
          <w:tcPr>
            <w:tcW w:w="16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Retained Earnings</w:t>
            </w:r>
          </w:p>
        </w:tc>
        <w:tc>
          <w:tcPr>
            <w:tcW w:w="28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87,353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85,323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85,375</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Transactions with parent, net</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(1,232)</w:t>
            </w:r>
          </w:p>
        </w:tc>
      </w:tr>
      <w:tr>
        <w:trPr>
          <w:trHeight w:val="27"/>
        </w:trPr>
        <w:tc>
          <w:tcPr>
            <w:tcW w:w="5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84,143</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Transactions with parent, net</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Balance at October 5, 2017</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83,091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83,141</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Period from January</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1, 2017 to October 5,</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r>
      <w:tr>
        <w:trPr>
          <w:trHeight w:val="234"/>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31, 2015</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Adjustments to reconcile net income to cash flows provided by operating</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2,882</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on asset sales</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Provisions for (recoveries of) bad debt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Change in current assets and liabilities:</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Prepayments</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r>
      <w:tr>
        <w:trPr>
          <w:trHeight w:val="277"/>
        </w:trPr>
        <w:tc>
          <w:tcPr>
            <w:tcW w:w="5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w w:val="92"/>
              </w:rPr>
              <w:t>Acquisitions of property and equipment, net of change in related payables</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assets</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37"/>
        </w:trPr>
        <w:tc>
          <w:tcPr>
            <w:tcW w:w="5720" w:type="dxa"/>
            <w:vAlign w:val="bottom"/>
          </w:tcPr>
          <w:p>
            <w:pPr>
              <w:ind w:left="680"/>
              <w:spacing w:after="0"/>
              <w:rPr>
                <w:sz w:val="20"/>
                <w:szCs w:val="20"/>
                <w:color w:val="auto"/>
              </w:rPr>
            </w:pPr>
            <w:r>
              <w:rPr>
                <w:rFonts w:ascii="Arial" w:cs="Arial" w:eastAsia="Arial" w:hAnsi="Arial"/>
                <w:sz w:val="18"/>
                <w:szCs w:val="18"/>
                <w:color w:val="auto"/>
              </w:rPr>
              <w:t>Cash flows used in investing activities</w:t>
            </w:r>
          </w:p>
        </w:tc>
        <w:tc>
          <w:tcPr>
            <w:tcW w:w="1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7"/>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for capital leases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720" w:type="dxa"/>
            <w:vAlign w:val="bottom"/>
          </w:tcPr>
          <w:p>
            <w:pPr>
              <w:ind w:left="200"/>
              <w:spacing w:after="0"/>
              <w:rPr>
                <w:sz w:val="20"/>
                <w:szCs w:val="20"/>
                <w:color w:val="auto"/>
              </w:rPr>
            </w:pPr>
            <w:r>
              <w:rPr>
                <w:rFonts w:ascii="Arial" w:cs="Arial" w:eastAsia="Arial" w:hAnsi="Arial"/>
                <w:sz w:val="18"/>
                <w:szCs w:val="18"/>
                <w:color w:val="auto"/>
              </w:rPr>
              <w:t>Transactions with parent, net</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(1,981)</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Cash flows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r>
      <w:tr>
        <w:trPr>
          <w:trHeight w:val="277"/>
        </w:trPr>
        <w:tc>
          <w:tcPr>
            <w:tcW w:w="57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Period from January</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1, 2017 to October 5,</w:t>
            </w:r>
          </w:p>
        </w:tc>
        <w:tc>
          <w:tcPr>
            <w:tcW w:w="19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Year Ended December</w:t>
            </w: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Year Ended December</w:t>
            </w:r>
          </w:p>
        </w:tc>
      </w:tr>
      <w:tr>
        <w:trPr>
          <w:trHeight w:val="234"/>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31, 2015</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Combined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337"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In these notes, the words “Caesars Entertainment Outdoor,” “Business,” “Outdoor Business,” “we,” “our,” and “us” refer to the business and operation of the golf courses listed in Note 1 that were wholly-owned by Caesars Entertainment Operating Company, Inc. through October 5, 2017.</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“CEOC” refers to the Caesars Entertainment Operating Company, Inc. “CEC”, “Caesars” and “Caesars Entertainment” refer to Caesars Entertainment Corporation. On October 6, 2017 (the “Formation Date”), CEOC merged with and into CEOC LLC, a Delaware limited liability company (“New CEOC”) with New CEOC surviving the merger.</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i w:val="1"/>
          <w:iCs w:val="1"/>
          <w:color w:val="auto"/>
        </w:rPr>
        <w:t xml:space="preserve">We </w:t>
      </w:r>
      <w:r>
        <w:rPr>
          <w:rFonts w:ascii="Arial" w:cs="Arial" w:eastAsia="Arial" w:hAnsi="Arial"/>
          <w:sz w:val="18"/>
          <w:szCs w:val="18"/>
          <w:i w:val="1"/>
          <w:iCs w:val="1"/>
          <w:color w:val="auto"/>
        </w:rPr>
        <w:t>also refer to (i) our Combined Financial Statements as our “Financial Statements,” (ii) our Combined Statements of Operations as our “Statements of</w:t>
      </w:r>
      <w:r>
        <w:rPr>
          <w:rFonts w:ascii="Arial" w:cs="Arial" w:eastAsia="Arial" w:hAnsi="Arial"/>
          <w:sz w:val="20"/>
          <w:szCs w:val="20"/>
          <w:i w:val="1"/>
          <w:iCs w:val="1"/>
          <w:color w:val="auto"/>
        </w:rPr>
        <w:t xml:space="preserve"> </w:t>
      </w:r>
      <w:r>
        <w:rPr>
          <w:rFonts w:ascii="Arial" w:cs="Arial" w:eastAsia="Arial" w:hAnsi="Arial"/>
          <w:sz w:val="18"/>
          <w:szCs w:val="18"/>
          <w:i w:val="1"/>
          <w:iCs w:val="1"/>
          <w:color w:val="auto"/>
        </w:rPr>
        <w:t>Operations,” and (iii) our Combined Balance Sheets as our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Formation Date, the Outdoor Business was a wholly-owned business of CEOC, and included the operations of the Cascata golf course in Boulder City, Nevada, the Rio Secco golf course in Henderson, Nevada, the Grand Bear golf course in Biloxi, Mississippi, and the Chariot Run golf course in Elizabeth, Indiana. Caesars Entertainment Golf, Inc., Rio Development Company, Inc., Grand Casinos of Biloxi, LLC, and Riverboat Casino, LLC, directly owned these golf courses, respectively, and were debtor-in-possession subsidiaries of CEOC.</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golf courses generate revenue through fees charged for general golf course usage (including green fees, golf club rentals, and cart charges), annual or corporate memberships (at Rio Secco, Grand Bear and Chariot Run), a school of golf (at Rio Secco), and food, beverage, and merchandise sales.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15, 2015, CEOC and certain of its subsidiaries (the “Caesars Debtors”) voluntarily filed for relief under Chapter 11 of the United States Bankruptcy Code (the “Bankruptcy Code”) with the United States Bankruptcy Court for the Northern District of Illinois (the “Bankruptcy Court”). As a result of this filing, CEOC operated as a debtor-in-possession under the Bankruptcy Code. Because each of the four golf courses were owned by Caesars Debtor entities, the Outdoor Business was also considered a debtor-in-possession prior to the Formation Date. CEOC’s plan of reorganization (the “Plan”) was confirmed by the Bankruptcy Court on January 17,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Operations and Assets to VICI</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Formation Date, pursuant to the Bankruptcy Plan, subsidiaries of CEOC contributed the ownership of the Business to VICI Properties Inc. (“VICI”). Following the Formation, the assets, liabilities and operations of the Business are now included in VICI Golf LLC (“VICI Golf”), a Delaware limited-liability company. VICI Golf is a wholly-owned subsidiary of VICI. VICI is a separate entity initially owned by certain former creditors of CEOC.</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on the Formation Date, subsidiaries of VICI Golf, entered into a golf course use agreement (the “Golf Course Use Agreement”) with New CEOC and Caesars Enterprise Services, LLC (“CES”) (collectively, the “users”), whereby the users were granted certain priority rights and privileges with respect to access and use of certain golf course properties. Payments under the Golf Course Use Agreement are comprised of a $10.0 million annual membership fee, $3.0 million in annual use fees and minimum rounds fees of at least $1.1 million. The annual membership fee, use fees and minimum round fees are subject to an annual escalator beginning at the times provided under the Golf Course Use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Financial Statements were prepared in accordance with accounting principles generally accepted in the United States (“GAAP”) and with the applicable rules and regulations of the Securities and Exchange Commission (“SEC”).</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Statements were derived from the financial statements of CEOC, prepared on a “carve-out” basis, to present the financial position and results of operations of the Outdoor Business on a stand-alone basis. The legal entities that own the Grand Bear and the Chariot Run golf courses also include non-golf course operations that are excluded from these carve-out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37"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include allocations of certain revenue amounts and general corporate expenses among affiliated entities. Such allocated revenue and expenses may not reflect the results we would have incurred if we had operated as a stand-alone company nor are they necessarily indicative of our future results. Management believes the assumptions and methodologies used in the allocation of these revenues and expenses are reasonable. Actual amounts could differ from those estimates.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Golf revenue from CEOC and Caesars' affiliates includes reimbursement for below market-rate golf tee times and free play for certain casino guests. Variable golf fees provided by CEOC and Caesars affiliates are based on revenue shortfalls necessary to cover the cost of maintaining the courses in appropriate playing conditions for casino guests. The variable fee is dependent upon the number of rounds played, the types of rounds played (market-rate or discounted rate), and costs incurred to allow the golf course to continue to offer golf as an amenity to its gaming customers. These reimbursements and adjustments are included in golf revenue in the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Each of the golf courses represents a separate operating segment and we aggregate all such operations into one reportable segment.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Financial Statements reflect the application of ASC 852. This guidance requires that transactions and events directly associated with the reorganization be distinguished from the ongoing operations of the business. In addition, the guidance provides for changes in the accounting and presentation of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consists of cash-on-hand and cash-in-bank.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Accounts receivable are non-interest bearing and are initially recorded at cost. They include amounts for sponsorship and other golf tournament fees, amounts due for hosted private events, and amounts due from credit card clearing activities. The allowance for doubtful accounts is established and maintained based on our best estimate of accounts receivable collectibility. Management estimates collectibility by specifically analyzing accounts receivable aging, known troubled accounts and other historical factors that affect collections. Accounts are written off when management deems the account to be uncollectible. Recoveries of accounts previously written off are recorded into income when received. Trade receivables are due within one year or less and approximates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Allowance for Doubtful Accounts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jc w:val="right"/>
              <w:ind w:right="653"/>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1280" w:type="dxa"/>
            <w:vAlign w:val="bottom"/>
            <w:tcBorders>
              <w:bottom w:val="single" w:sz="8" w:color="CCEEFF"/>
            </w:tcBorders>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Charges (credits) to income</w:t>
            </w:r>
          </w:p>
        </w:tc>
        <w:tc>
          <w:tcPr>
            <w:tcW w:w="1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less recoveries</w:t>
            </w:r>
          </w:p>
        </w:tc>
        <w:tc>
          <w:tcPr>
            <w:tcW w:w="1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5720" w:type="dxa"/>
            <w:vAlign w:val="bottom"/>
          </w:tcPr>
          <w:p>
            <w:pPr>
              <w:ind w:left="40"/>
              <w:spacing w:after="0"/>
              <w:rPr>
                <w:sz w:val="20"/>
                <w:szCs w:val="20"/>
                <w:color w:val="auto"/>
              </w:rPr>
            </w:pPr>
            <w:r>
              <w:rPr>
                <w:rFonts w:ascii="Arial" w:cs="Arial" w:eastAsia="Arial" w:hAnsi="Arial"/>
                <w:sz w:val="18"/>
                <w:szCs w:val="18"/>
                <w:color w:val="auto"/>
                <w:w w:val="91"/>
              </w:rPr>
              <w:t>Balance as of October 5, 2017; December 31, 2016; and December 31, 2015,</w:t>
            </w:r>
          </w:p>
        </w:tc>
        <w:tc>
          <w:tcPr>
            <w:tcW w:w="1280" w:type="dxa"/>
            <w:vAlign w:val="bottom"/>
            <w:tcBorders>
              <w:top w:val="single" w:sz="8" w:color="auto"/>
            </w:tcBorders>
            <w:vMerge w:val="restart"/>
          </w:tcPr>
          <w:p>
            <w:pPr>
              <w:jc w:val="right"/>
              <w:ind w:right="1073"/>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2"/>
        </w:trPr>
        <w:tc>
          <w:tcPr>
            <w:tcW w:w="5720" w:type="dxa"/>
            <w:vAlign w:val="bottom"/>
          </w:tcPr>
          <w:p>
            <w:pPr>
              <w:ind w:left="40"/>
              <w:spacing w:after="0"/>
              <w:rPr>
                <w:sz w:val="20"/>
                <w:szCs w:val="20"/>
                <w:color w:val="auto"/>
              </w:rPr>
            </w:pPr>
            <w:r>
              <w:rPr>
                <w:rFonts w:ascii="Arial" w:cs="Arial" w:eastAsia="Arial" w:hAnsi="Arial"/>
                <w:sz w:val="18"/>
                <w:szCs w:val="18"/>
                <w:color w:val="auto"/>
              </w:rPr>
              <w:t>respectively</w:t>
            </w:r>
          </w:p>
        </w:tc>
        <w:tc>
          <w:tcPr>
            <w:tcW w:w="1280" w:type="dxa"/>
            <w:vAlign w:val="bottom"/>
            <w:tcBorders>
              <w:bottom w:val="single" w:sz="8" w:color="auto"/>
            </w:tcBorders>
            <w:vMerge w:val="continue"/>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Inventory, which consists primarily of food and beverages and merchandise held for resale, is stated at the lower of cost or market. Losses on obsolete or excess inventory are not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has significant capital invested in long-lived assets and judgments are made in determining their estimated useful lives and salvage values and if or when an asset (or asset group) has been impaired. The accuracy of these estimates affects the amount of depreciation and amortization expense recognized in the financial results and whether a gain or loss should be recognized on the disposal of an asset. Lives assigned to the assets are based on standard policy, established by management as representative of the useful life of each category of asset.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37" w:right="2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carrying value of our long-lived assets is reviewed whenever events and circumstances indicate the carrying value of an asset may not be recoverable from the estimated future cash flows expected to result from its use and eventual disposition. The factors considered by management in performing this assessment may include current operating results, trends, prospects, as well as the effect of demand, competition, and other economic, legal, and regulatory factors. In estimating expected future cash flows for determining whether an asset is impaired, assets are grouped at the lowest level of identifiable cash flows, which in this case, is the four golf courses combined together as an asset group. These analyses are sensitive to management assumptions and the estimates of the obsolescence factors. Changes in these assumptions and estimates could have a material impact on the analyses and the Financial Statements. For the period from January 1, 2017 to October 5, 2017 and the years ended December 31, 2016 and 2015, no impairment on long-lived assets was recorded.</w:t>
      </w:r>
    </w:p>
    <w:p>
      <w:pPr>
        <w:spacing w:after="0" w:line="1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Additions to property and equipment are stated at cost. Costs of improvements that extend the life of the asset are capitalized. Maintenance and repair costs are expensed as incurred. Gains or losses on the dispositions of property and equipment are recognized in the period of disposal. With respect to golf course improvements (included in land improvements), only costs associated with original construction, complete replacements of items such as tee boxes and putting greens, or the addition of new trees, sand traps, fairways or putting greens are capitalized. All other related costs are expensed as incurred. For building improvements, only costs that extend the useful life of the building are capitalized.</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land improvements include site preparations that prepare land for its intended use as a golf course. Like the land itself, these improvements are inexhaustible and therefore not depreciated. Examples include excavation, filling, grading and preparation of fairways and roughs. Depreciable land improvements are defined as improvements made to land that have determinable estimated useful lives and deteriorate with use or passage of time. These improvements were built or installed to enhance or facilitate the use of the land for a particular purpose. Depreciable land improvements associated with the golf courses include greens, bunkers, tee boxes, cart paths, fences and gates, landscaping and sprinkler systems.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Depreciation is calculated using the straight-line method over the shorter of the estimated useful life of the asset or the related lease, as follows: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Useful Lives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40 years</w:t>
            </w:r>
          </w:p>
        </w:tc>
      </w:tr>
      <w:tr>
        <w:trPr>
          <w:trHeight w:val="27"/>
        </w:trPr>
        <w:tc>
          <w:tcPr>
            <w:tcW w:w="10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0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improvements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 years</w:t>
            </w:r>
          </w:p>
        </w:tc>
      </w:tr>
      <w:tr>
        <w:trPr>
          <w:trHeight w:val="243"/>
        </w:trPr>
        <w:tc>
          <w:tcPr>
            <w:tcW w:w="103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2-10 years</w:t>
            </w:r>
          </w:p>
        </w:tc>
      </w:tr>
      <w:tr>
        <w:trPr>
          <w:trHeight w:val="513"/>
        </w:trPr>
        <w:tc>
          <w:tcPr>
            <w:tcW w:w="10320" w:type="dxa"/>
            <w:vAlign w:val="bottom"/>
          </w:tcPr>
          <w:p>
            <w:pPr>
              <w:spacing w:after="0"/>
              <w:rPr>
                <w:sz w:val="20"/>
                <w:szCs w:val="20"/>
                <w:color w:val="auto"/>
              </w:rPr>
            </w:pPr>
            <w:r>
              <w:rPr>
                <w:rFonts w:ascii="Arial" w:cs="Arial" w:eastAsia="Arial" w:hAnsi="Arial"/>
                <w:sz w:val="18"/>
                <w:szCs w:val="18"/>
                <w:color w:val="auto"/>
                <w:w w:val="92"/>
              </w:rPr>
              <w:t>Leasehold improvements are amortized over the shorter of the term of the respective lease or their useful life using the straight-line method.</w:t>
            </w:r>
          </w:p>
        </w:tc>
        <w:tc>
          <w:tcPr>
            <w:tcW w:w="1100" w:type="dxa"/>
            <w:vAlign w:val="bottom"/>
          </w:tcPr>
          <w:p>
            <w:pPr>
              <w:spacing w:after="0"/>
              <w:rPr>
                <w:sz w:val="24"/>
                <w:szCs w:val="24"/>
                <w:color w:val="auto"/>
              </w:rPr>
            </w:pPr>
          </w:p>
        </w:tc>
      </w:tr>
      <w:tr>
        <w:trPr>
          <w:trHeight w:val="378"/>
        </w:trPr>
        <w:tc>
          <w:tcPr>
            <w:tcW w:w="10320" w:type="dxa"/>
            <w:vAlign w:val="bottom"/>
          </w:tcPr>
          <w:p>
            <w:pPr>
              <w:spacing w:after="0"/>
              <w:rPr>
                <w:sz w:val="20"/>
                <w:szCs w:val="20"/>
                <w:color w:val="auto"/>
              </w:rPr>
            </w:pPr>
            <w:r>
              <w:rPr>
                <w:rFonts w:ascii="Arial" w:cs="Arial" w:eastAsia="Arial" w:hAnsi="Arial"/>
                <w:sz w:val="18"/>
                <w:szCs w:val="18"/>
                <w:b w:val="1"/>
                <w:bCs w:val="1"/>
                <w:i w:val="1"/>
                <w:iCs w:val="1"/>
                <w:color w:val="auto"/>
              </w:rPr>
              <w:t>Liabilities Subject to Compromise</w:t>
            </w:r>
          </w:p>
        </w:tc>
        <w:tc>
          <w:tcPr>
            <w:tcW w:w="1100" w:type="dxa"/>
            <w:vAlign w:val="bottom"/>
          </w:tcPr>
          <w:p>
            <w:pPr>
              <w:spacing w:after="0"/>
              <w:rPr>
                <w:sz w:val="24"/>
                <w:szCs w:val="24"/>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bankruptcy law, actions by creditors to collect amounts owed prior to the Petition Date are stayed and certain other prepetition contractual obligations may not be enforced against the companies that own the Business. Substantially all liabilities of the Debtors as of the Petition Date, except those paid under certain first day motions filed with the Bankruptcy Court, have been classified as liabilities subject to compromise in the Balance Sheets. Liabilities subject to compromise, including claims that became known after the bankruptcy petition was filed, are reported using our best estimates of the expected amount of the total allowed claim.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course operations, food and beverage and merchandise sales are recognized at the time of sale or when the service is provided and are reported net of sales tax. Golf memberships sold are typically to individuals and are not refundable and are deferred and recognized within golf revenue in the Statements of Operations over the expected life of an active membership, which is typically one year or less.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golf revenue are market-rate fees received from public customers as well as discounted fees received from CEOC and Caesars-affiliated customers or associates. In addition, certain VIP casino guests play the golf courses for free. In these cases, the golf course receives amounts paid by CEOC and Caesars’ affiliates at an agreed upon rate for the free play provided to their VIP guests. The reimbursement for free play was approximately $611,000 for the period January 1, 2017 to October 5, 2017, and $620,000 and $708,000 for the years ended December 31, 2016 and 2015,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37"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additional variable golf fees provided by CEOC and Caesars’ affiliates based on revenue shortfalls necessary to cover the cost of operating the courses at a high level appropriate for casino guests. The variable fee is dependent upon the number of rounds played, the types of rounds played (market-rate or discounted rate), and costs incurred to allow the golf course to continue to offer golf as an amenity to its gaming customers. Variable golf fees included in golf revenue were approximately $4,692,000 for the period January 1, 2017 to October 5, 2017 and $4,862,000 and $3,669,000 for the years ended December 31, 2016 and 2015,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golf courses are marketed through advertising and other promotional activities. Advertising expense is charged to income during the period incurred. Advertising expense totaled approximately $63,000 for the period January 1, 2017 to October 5, 2017, and $118,000 and $74,000 for the years ended December 31, 2016 and 2015, respectively, and is included in Administrative and other in the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Property costs are charged to income during the period incurred and include land rent, utilities and general repairs and maintenance.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Historically, the Outdoor Business has been included in the consolidated federal income tax return of Caesars, as well as certain state tax returns where Caesars or one of its subsidiaries files a state tax return. The provisions of ASC 740, “Income Taxes,” was applied and the provision for income taxes was computed on a separate return basis. The separate return method applies the accounting guidance for income taxes to the stand-alone combined Financial Statements as if the Business was a separate taxpayer and a stand-alone enterprise for the periods presented. As discussed in Note 7, these Financial Statements include certain allocations of income and expense amongst affiliated entities. The tax provision was calculated assuming such allocations were appropriate for income tax reporting purposes and do not include any transfer pricing adjustments with respect to such allocations. The calculation of income taxes on a separate return basis requires a considerable amount of judgment and use of both estimates and allocations. Management believes that the assumptions and estimates used to compute these tax amounts are reasonable. However, the Financial Statements may not necessarily reflect our income tax expense or tax payments in the future, or what tax amounts would have been if the Business had been a stand-alone enterprise during the periods presented.</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Federal and state income taxes currently payable are settled though our net investment equity account. Certain taxes provided for are deferred because of temporary differences between reporting income and expenses for financial statement purposes versus tax purposes. Federal income tax credits are recorded as a reduction of income taxes.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earnings in the period that includes the enactment date. Accruals for tax uncertainties are classified within other liabilities in our combined balance sheets. Amounts accrued relate to any potential income tax liabilities resulting from uncertain tax positions, as well as potential interest or penalties associated with those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Accounting Standards Board (the “FASB”) issued the following authoritative guidance amending the FASB Accounting Standards Codification.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Business Combinations -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Updated amendments intend to clarify the definition of a business with the objective of adding guidance to assist</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to annual periods beginning after December 15, 2017, including interim periods within those periods.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37"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not been reported in Financial Statements that have been issued or made available for issuance. The adoption of this standard could have a material impact on our Financial Statements should we have a future acquisition of a business.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Leases - February 2016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guidance requires most lease obligations to be recognized as a right-of-use asset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liability on the balance sheet. The guidance also requires additional qualitative and quantitative disclosures to assess the amount, timing, and uncertainty of cash flows arising from leases. This guidance is effective for fiscal years, and interim periods within those fiscal years, beginning after December 15, 2018. The guidance should be implemented for the earliest period presented using a modified retrospective approach, which includes optional practical expedients primarily focused on leases that commence before the effective date. The qualitative and quantitative effects of adoption are still being analyzed. We are in the process of evaluating the full impact the new guidance will have on our Financial Statements.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Revenue from Contracts with Customers - May 2014 (amended January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new guidance is intended to clarify the principles for recognizing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to develop a common revenue standard for GAAP applicable to revenue transactions. Existing industry guidance will be eliminated. The FASB has recently issued several amendments to the standard, including clarification on accounting for and identifying performance obligations. This guidance is effective for annual reporting periods beginning after December 15, 2017, including interim periods within those reporting periods. The guidance should be applied using the full retrospective method or retrospectively with the cumulative effect initially applying the guidance recognized at the date of initial application. We are adopting this standard effective January 1, 2018, retrospectively, and determined that there will not be a material impact to our Financial Statements. The adoption of this guidance does not change the timing or process in which we recognize golf revenue.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Income Taxes - October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guidance that addresses intra-entity transfers of assets other than inventory, which requires the recognition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income tax consequences when such transfers occur. The amendments should be applied on a modified retrospective basis through a cumulative-effect adjustment directly to retained earnings as of the beginning of the period of adoption. Amendments are effective for fiscal years beginning after December 15, 2017, and interim reporting periods within those years. Early adoption is permitted. We do not expect this standard will have a material impact on our Financial Statements.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Statement of Cash Flows - August 2016</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guidance addresses eight specific cash flow issues with the objective of reducing diversity in how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are presented and classified in the statement of cash flows. The amendments should be applied retrospectively to each period presented. The amendments are effective for fiscal years beginning after December 15, 2017, and interim periods within those fiscal years. Early adoption is permitted. We have adopted this standard for our October 5, 2017 Statement of Cash Flows.</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and Equipment,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gridSpan w:val="5"/>
          </w:tcPr>
          <w:p>
            <w:pPr>
              <w:jc w:val="right"/>
              <w:ind w:right="1392"/>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95"/>
              </w:rPr>
              <w:t>October 5, 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non-depreciable land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Depreciable land improvements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40,183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40,174</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35,133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Furniture and equipment (including capital leases)</w:t>
            </w: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5,445</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w:t>
            </w: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117,525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116,277</w:t>
            </w:r>
          </w:p>
        </w:tc>
      </w:tr>
      <w:tr>
        <w:trPr>
          <w:trHeight w:val="27"/>
        </w:trPr>
        <w:tc>
          <w:tcPr>
            <w:tcW w:w="5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7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r>
      <w:tr>
        <w:trPr>
          <w:trHeight w:val="257"/>
        </w:trPr>
        <w:tc>
          <w:tcPr>
            <w:tcW w:w="572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7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88,309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88,831</w:t>
            </w:r>
          </w:p>
        </w:tc>
      </w:tr>
      <w:tr>
        <w:trPr>
          <w:trHeight w:val="20"/>
        </w:trPr>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521"/>
        </w:trPr>
        <w:tc>
          <w:tcPr>
            <w:tcW w:w="5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3"/>
        </w:trPr>
        <w:tc>
          <w:tcPr>
            <w:tcW w:w="572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7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8"/>
              </w:rPr>
              <w:t>Period from January 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2017 to October 5,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31, 2016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2"/>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 (including capital lease amortization)</w:t>
            </w:r>
          </w:p>
        </w:tc>
        <w:tc>
          <w:tcPr>
            <w:tcW w:w="72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2,445</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2,882</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Accrued Expenses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20" w:type="dxa"/>
            <w:vAlign w:val="bottom"/>
            <w:gridSpan w:val="4"/>
          </w:tcPr>
          <w:p>
            <w:pPr>
              <w:jc w:val="right"/>
              <w:ind w:right="1511"/>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72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October 5, 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2016</w:t>
            </w:r>
          </w:p>
        </w:tc>
      </w:tr>
      <w:tr>
        <w:trPr>
          <w:trHeight w:val="33"/>
        </w:trPr>
        <w:tc>
          <w:tcPr>
            <w:tcW w:w="7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utilities</w:t>
            </w:r>
          </w:p>
        </w:tc>
        <w:tc>
          <w:tcPr>
            <w:tcW w:w="1600" w:type="dxa"/>
            <w:vAlign w:val="bottom"/>
            <w:tcBorders>
              <w:bottom w:val="single" w:sz="8" w:color="CCEEFF"/>
            </w:tcBorders>
            <w:shd w:val="clear" w:color="auto" w:fill="CCEEFF"/>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real estate taxes and other taxes</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deposits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professional fees</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Payroll and other compensation</w:t>
            </w:r>
          </w:p>
        </w:tc>
        <w:tc>
          <w:tcPr>
            <w:tcW w:w="16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7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accruals</w:t>
            </w:r>
          </w:p>
        </w:tc>
        <w:tc>
          <w:tcPr>
            <w:tcW w:w="1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1600" w:type="dxa"/>
            <w:vAlign w:val="bottom"/>
            <w:tcBorders>
              <w:top w:val="single" w:sz="8" w:color="auto"/>
              <w:bottom w:val="single" w:sz="8" w:color="auto"/>
            </w:tcBorders>
          </w:tcPr>
          <w:p>
            <w:pPr>
              <w:jc w:val="right"/>
              <w:ind w:right="13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705</w:t>
            </w:r>
          </w:p>
        </w:tc>
      </w:tr>
      <w:tr>
        <w:trPr>
          <w:trHeight w:val="20"/>
        </w:trPr>
        <w:tc>
          <w:tcPr>
            <w:tcW w:w="7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Liabilities Subject to Compromise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2015, the Bankruptcy Court entered an order establishing May 26, 2015 as the bar date for potential general creditors to file proofs of claims and established the required procedures with respect to filing such claims. A bar date is the deadline by which creditors must file a proof of claim against the Debtors for the claim to be allowed. In addition, a bar date of July 14, 2015 was established as a deadline for claims from governmental units.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October 5, 2017, the Business had received 55 proofs of claim, a portion of which assert, in part or in whole, unliquidated claims. These proofs of claims include 9 claims that were carved out of the legal entities that own the Business and that have additional claims, which do not correspond to the Business. In addition, the Business has been assigned by the court an additional 13 claims. In the aggregate, total asserted liquidated proofs of claim for approximately $122.2 million had been filed against or assigned to the Business. Based on reasonable current estimates, the Business expects to ask the Bankruptcy Court to disallow 19 claims representing approximately $116.3 million of such claims. These claims are classified by the Business as amended and replaced, duplicate, redundant or non-Caesars Debtor claims.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October 5, 2017 and December 31, 2016, liabilities subject to compromise was approximately $249,000 and $265,000, respectively, and consisted of accounts payable-related liabilities.</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October 6, 2017, the Business settled claims included in liabilities subject to compromise for $125,000 recognizing a reorganization gain of $124,000. In addition, approximately $5.1 million of claims are still disputed and unresolved and have been transferred to New CEOC for final resolution.</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Income Taxes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(Provision)/Benefit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3"/>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20"/>
              <w:spacing w:after="0"/>
              <w:rPr>
                <w:sz w:val="20"/>
                <w:szCs w:val="20"/>
                <w:color w:val="auto"/>
              </w:rPr>
            </w:pPr>
            <w:r>
              <w:rPr>
                <w:rFonts w:ascii="Arial" w:cs="Arial" w:eastAsia="Arial" w:hAnsi="Arial"/>
                <w:sz w:val="18"/>
                <w:szCs w:val="18"/>
                <w:color w:val="auto"/>
              </w:rPr>
              <w:t>Federal</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5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7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84"/>
        </w:trPr>
        <w:tc>
          <w:tcPr>
            <w:tcW w:w="5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7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r>
      <w:tr>
        <w:trPr>
          <w:trHeight w:val="257"/>
        </w:trPr>
        <w:tc>
          <w:tcPr>
            <w:tcW w:w="5720" w:type="dxa"/>
            <w:vAlign w:val="bottom"/>
          </w:tcPr>
          <w:p>
            <w:pPr>
              <w:ind w:left="120"/>
              <w:spacing w:after="0"/>
              <w:rPr>
                <w:sz w:val="20"/>
                <w:szCs w:val="20"/>
                <w:color w:val="auto"/>
              </w:rPr>
            </w:pPr>
            <w:r>
              <w:rPr>
                <w:rFonts w:ascii="Arial" w:cs="Arial" w:eastAsia="Arial" w:hAnsi="Arial"/>
                <w:sz w:val="18"/>
                <w:szCs w:val="18"/>
                <w:color w:val="auto"/>
              </w:rPr>
              <w:t>Income Tax Benefit</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r>
      <w:tr>
        <w:trPr>
          <w:trHeight w:val="20"/>
        </w:trPr>
        <w:tc>
          <w:tcPr>
            <w:tcW w:w="5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the Outdoor Business does not have a formal tax sharing agreement in place with Caesars Entertainment for federal income tax purposes, Caesars Entertainment pays all of the Outdoor Business’ federal income taxes. The Outdoor Business’ portion was approximately $100,000 for the period January 1, 2017 to October 5, 2017 and $111,000 and $98,000 for the years ended December 31, 2016 and 2015, respectively.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337" w:right="2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Expense Reconciliation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center"/>
              <w:ind w:right="51"/>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1"/>
              <w:spacing w:after="0"/>
              <w:rPr>
                <w:sz w:val="20"/>
                <w:szCs w:val="20"/>
                <w:color w:val="auto"/>
              </w:rPr>
            </w:pPr>
            <w:r>
              <w:rPr>
                <w:rFonts w:ascii="Arial" w:cs="Arial" w:eastAsia="Arial" w:hAnsi="Arial"/>
                <w:sz w:val="16"/>
                <w:szCs w:val="16"/>
                <w:b w:val="1"/>
                <w:bCs w:val="1"/>
                <w:color w:val="auto"/>
                <w:w w:val="93"/>
              </w:rPr>
              <w:t>31, 2015</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federal tax at the statutory tax rate</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Increases/(decreases) in tax resulting from:</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State taxes, net of federal tax benefit</w:t>
            </w:r>
          </w:p>
        </w:tc>
        <w:tc>
          <w:tcPr>
            <w:tcW w:w="8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28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Income tax (expense)/benefit</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Temporary Differences Resulting in Deferred Tax Assets and Liabilities</w:t>
            </w: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7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1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4"/>
          </w:tcPr>
          <w:p>
            <w:pPr>
              <w:jc w:val="right"/>
              <w:ind w:right="1271"/>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As of October 5, 2017</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 2016</w:t>
            </w:r>
          </w:p>
        </w:tc>
        <w:tc>
          <w:tcPr>
            <w:tcW w:w="0" w:type="dxa"/>
            <w:vAlign w:val="bottom"/>
          </w:tcPr>
          <w:p>
            <w:pPr>
              <w:spacing w:after="0"/>
              <w:rPr>
                <w:sz w:val="1"/>
                <w:szCs w:val="1"/>
                <w:color w:val="auto"/>
              </w:rPr>
            </w:pPr>
          </w:p>
        </w:tc>
      </w:tr>
      <w:tr>
        <w:trPr>
          <w:trHeight w:val="33"/>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net operating loss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5,561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State net operating loss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Federal tax credits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Subtotal</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assets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20"/>
              <w:spacing w:after="0"/>
              <w:rPr>
                <w:sz w:val="20"/>
                <w:szCs w:val="20"/>
                <w:color w:val="auto"/>
              </w:rPr>
            </w:pPr>
            <w:r>
              <w:rPr>
                <w:rFonts w:ascii="Arial" w:cs="Arial" w:eastAsia="Arial" w:hAnsi="Arial"/>
                <w:sz w:val="18"/>
                <w:szCs w:val="18"/>
                <w:color w:val="auto"/>
              </w:rPr>
              <w:t>Depreciation and other property related items</w:t>
            </w: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8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5720" w:type="dxa"/>
            <w:vAlign w:val="bottom"/>
            <w:gridSpan w:val="2"/>
          </w:tcPr>
          <w:p>
            <w:pPr>
              <w:ind w:left="300"/>
              <w:spacing w:after="0"/>
              <w:rPr>
                <w:sz w:val="20"/>
                <w:szCs w:val="20"/>
                <w:color w:val="auto"/>
              </w:rPr>
            </w:pPr>
            <w:r>
              <w:rPr>
                <w:rFonts w:ascii="Arial" w:cs="Arial" w:eastAsia="Arial" w:hAnsi="Arial"/>
                <w:sz w:val="18"/>
                <w:szCs w:val="18"/>
                <w:color w:val="auto"/>
              </w:rPr>
              <w:t>Total deferred tax liabilities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(9,043)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deferred tax liability</w:t>
            </w:r>
          </w:p>
        </w:tc>
        <w:tc>
          <w:tcPr>
            <w:tcW w:w="8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October 5, 2017 and December 31, 2016, we had federal NOL carryforwards of $19.2 million and $20.1 million, respectively. These NOL carryforwards will begin to expire in 2032. In addition, we have federal general business tax credit carryforwards of approximately $82 thousand which will begin to expire in 2032. As of October 5, 2017 and December 31, 2016, we had state NOL carryforwards of $15.1 million and $15.5 million, respectively. These NOL carryforwards will begin to expire in 2032.</w:t>
      </w: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i w:val="1"/>
          <w:iCs w:val="1"/>
          <w:u w:val="single" w:color="auto"/>
          <w:color w:val="auto"/>
        </w:rPr>
        <w:t>Reconciliation of Unrecognized Tax Benefit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5720" w:type="dxa"/>
            <w:vAlign w:val="bottom"/>
          </w:tcPr>
          <w:p>
            <w:pPr>
              <w:spacing w:after="0"/>
              <w:rPr>
                <w:sz w:val="18"/>
                <w:szCs w:val="18"/>
                <w:color w:val="auto"/>
              </w:rPr>
            </w:pPr>
          </w:p>
        </w:tc>
        <w:tc>
          <w:tcPr>
            <w:tcW w:w="1940" w:type="dxa"/>
            <w:vAlign w:val="bottom"/>
            <w:gridSpan w:val="3"/>
          </w:tcPr>
          <w:p>
            <w:pPr>
              <w:ind w:left="120"/>
              <w:spacing w:after="0"/>
              <w:rPr>
                <w:sz w:val="20"/>
                <w:szCs w:val="20"/>
                <w:color w:val="auto"/>
              </w:rPr>
            </w:pPr>
            <w:r>
              <w:rPr>
                <w:rFonts w:ascii="Arial" w:cs="Arial" w:eastAsia="Arial" w:hAnsi="Arial"/>
                <w:sz w:val="16"/>
                <w:szCs w:val="16"/>
                <w:b w:val="1"/>
                <w:bCs w:val="1"/>
                <w:color w:val="auto"/>
              </w:rPr>
              <w:t>Period from January 1,</w:t>
            </w:r>
          </w:p>
        </w:tc>
        <w:tc>
          <w:tcPr>
            <w:tcW w:w="140" w:type="dxa"/>
            <w:vAlign w:val="bottom"/>
          </w:tcPr>
          <w:p>
            <w:pPr>
              <w:spacing w:after="0"/>
              <w:rPr>
                <w:sz w:val="18"/>
                <w:szCs w:val="18"/>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Year Ended December</w:t>
            </w:r>
          </w:p>
        </w:tc>
        <w:tc>
          <w:tcPr>
            <w:tcW w:w="12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Year Ended December</w:t>
            </w:r>
          </w:p>
        </w:tc>
      </w:tr>
      <w:tr>
        <w:trPr>
          <w:trHeight w:val="210"/>
        </w:trPr>
        <w:tc>
          <w:tcPr>
            <w:tcW w:w="5720" w:type="dxa"/>
            <w:vAlign w:val="bottom"/>
          </w:tcPr>
          <w:p>
            <w:pPr>
              <w:spacing w:after="0"/>
              <w:rPr>
                <w:sz w:val="18"/>
                <w:szCs w:val="18"/>
                <w:color w:val="auto"/>
              </w:rPr>
            </w:pPr>
          </w:p>
        </w:tc>
        <w:tc>
          <w:tcPr>
            <w:tcW w:w="19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2017 to October 5, 2017</w:t>
            </w:r>
          </w:p>
        </w:tc>
        <w:tc>
          <w:tcPr>
            <w:tcW w:w="140" w:type="dxa"/>
            <w:vAlign w:val="bottom"/>
          </w:tcPr>
          <w:p>
            <w:pPr>
              <w:spacing w:after="0"/>
              <w:rPr>
                <w:sz w:val="18"/>
                <w:szCs w:val="18"/>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31, 2016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ind w:right="534"/>
              <w:spacing w:after="0"/>
              <w:rPr>
                <w:sz w:val="20"/>
                <w:szCs w:val="20"/>
                <w:color w:val="auto"/>
              </w:rPr>
            </w:pPr>
            <w:r>
              <w:rPr>
                <w:rFonts w:ascii="Arial" w:cs="Arial" w:eastAsia="Arial" w:hAnsi="Arial"/>
                <w:sz w:val="16"/>
                <w:szCs w:val="16"/>
                <w:b w:val="1"/>
                <w:bCs w:val="1"/>
                <w:color w:val="auto"/>
              </w:rPr>
              <w:t>31, 2015</w:t>
            </w:r>
          </w:p>
        </w:tc>
      </w:tr>
      <w:tr>
        <w:trPr>
          <w:trHeight w:val="33"/>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period</w:t>
            </w:r>
          </w:p>
        </w:tc>
        <w:tc>
          <w:tcPr>
            <w:tcW w:w="7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7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classify reserves for tax uncertainties within accrued expenses and deferred credits and other in our balance sheets, separate from any related income tax payable or deferred income taxes. Reserve amounts related to potential income tax liabilities resulting from uncertain tax positions as well as potential interest or penalties associated with those liabilities.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337"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accrue interest and penalties related to unrecognized tax benefits in income tax expense. There were no adjustments to our accrual for the period ending October 5, 2017 and the years ending December 31, 2016 and 2015, respectively, for accrued interest or penalties. There are no unrecognized tax benefits included in the balances of unrecognized tax benefits as of October 5, 2017, December 31, 2016 and 2015 that, if recognized, would impact the effective tax rate.</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Related Party Transactions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transactions with CEOC resulting in net distributions of approximately $1.0 million for the period January 1, 2017 to October 5, 2017 and $1.2 million and $2.0 million for the years ending December 31, 2016 and 2015, respectively. The net distributions are the result of cash generated by the operations of the Business and proceeds from the sale of assets, partially offset by amounts contributed by CEOC to fund capital improvements and capital lease obligations. These transactions are included as transactions with parent, net in our Combined Statements of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Fees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amounts are recorded with respect to the related-party transactions described in this section: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January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1, 2017 to October 5,</w:t>
            </w:r>
          </w:p>
        </w:tc>
        <w:tc>
          <w:tcPr>
            <w:tcW w:w="120" w:type="dxa"/>
            <w:vAlign w:val="bottom"/>
          </w:tcPr>
          <w:p>
            <w:pPr>
              <w:spacing w:after="0"/>
              <w:rPr>
                <w:sz w:val="17"/>
                <w:szCs w:val="17"/>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Year Ended</w:t>
            </w:r>
          </w:p>
        </w:tc>
        <w:tc>
          <w:tcPr>
            <w:tcW w:w="120" w:type="dxa"/>
            <w:vAlign w:val="bottom"/>
          </w:tcPr>
          <w:p>
            <w:pPr>
              <w:spacing w:after="0"/>
              <w:rPr>
                <w:sz w:val="17"/>
                <w:szCs w:val="17"/>
                <w:color w:val="auto"/>
              </w:rPr>
            </w:pPr>
          </w:p>
        </w:tc>
        <w:tc>
          <w:tcPr>
            <w:tcW w:w="1460" w:type="dxa"/>
            <w:vAlign w:val="bottom"/>
          </w:tcPr>
          <w:p>
            <w:pPr>
              <w:jc w:val="right"/>
              <w:ind w:right="292"/>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Transaction type</w:t>
            </w:r>
          </w:p>
        </w:tc>
        <w:tc>
          <w:tcPr>
            <w:tcW w:w="120" w:type="dxa"/>
            <w:vAlign w:val="bottom"/>
          </w:tcPr>
          <w:p>
            <w:pPr>
              <w:spacing w:after="0"/>
              <w:rPr>
                <w:sz w:val="18"/>
                <w:szCs w:val="18"/>
                <w:color w:val="auto"/>
              </w:rPr>
            </w:pPr>
          </w:p>
        </w:tc>
        <w:tc>
          <w:tcPr>
            <w:tcW w:w="27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Recorded as:</w:t>
            </w:r>
          </w:p>
        </w:tc>
        <w:tc>
          <w:tcPr>
            <w:tcW w:w="380" w:type="dxa"/>
            <w:vAlign w:val="bottom"/>
          </w:tcPr>
          <w:p>
            <w:pPr>
              <w:spacing w:after="0"/>
              <w:rPr>
                <w:sz w:val="18"/>
                <w:szCs w:val="18"/>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146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December 31, 2015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 expense</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3"/>
              </w:rPr>
              <w:t>Allocation of indirect expenses from CEOC and</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Administrative and other</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tcPr>
          <w:p>
            <w:pPr>
              <w:ind w:left="100"/>
              <w:spacing w:after="0" w:line="257" w:lineRule="exact"/>
              <w:rPr>
                <w:sz w:val="20"/>
                <w:szCs w:val="20"/>
                <w:color w:val="auto"/>
              </w:rPr>
            </w:pPr>
            <w:r>
              <w:rPr>
                <w:rFonts w:ascii="Arial" w:cs="Arial" w:eastAsia="Arial" w:hAnsi="Arial"/>
                <w:sz w:val="18"/>
                <w:szCs w:val="18"/>
                <w:color w:val="auto"/>
              </w:rPr>
              <w:t xml:space="preserve">Caesars’ affiliates </w:t>
            </w:r>
            <w:r>
              <w:rPr>
                <w:rFonts w:ascii="Arial" w:cs="Arial" w:eastAsia="Arial" w:hAnsi="Arial"/>
                <w:sz w:val="25"/>
                <w:szCs w:val="25"/>
                <w:i w:val="1"/>
                <w:iCs w:val="1"/>
                <w:color w:val="auto"/>
                <w:vertAlign w:val="superscript"/>
              </w:rPr>
              <w:t>(1)</w:t>
            </w:r>
          </w:p>
        </w:tc>
        <w:tc>
          <w:tcPr>
            <w:tcW w:w="1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Golf revenue from CEOC and Caesars’</w:t>
            </w:r>
          </w:p>
        </w:tc>
        <w:tc>
          <w:tcPr>
            <w:tcW w:w="1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ind w:left="100"/>
              <w:spacing w:after="0" w:line="257" w:lineRule="exact"/>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(2)</w:t>
            </w:r>
          </w:p>
        </w:tc>
        <w:tc>
          <w:tcPr>
            <w:tcW w:w="1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w w:val="91"/>
              </w:rPr>
              <w:t>Pass-through revenue with CEOC and Caesars’</w:t>
            </w:r>
          </w:p>
        </w:tc>
        <w:tc>
          <w:tcPr>
            <w:tcW w:w="120" w:type="dxa"/>
            <w:vAlign w:val="bottom"/>
          </w:tcPr>
          <w:p>
            <w:pPr>
              <w:spacing w:after="0"/>
              <w:rPr>
                <w:sz w:val="19"/>
                <w:szCs w:val="19"/>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Golf revenue</w:t>
            </w:r>
          </w:p>
        </w:tc>
        <w:tc>
          <w:tcPr>
            <w:tcW w:w="3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540" w:type="dxa"/>
            <w:vAlign w:val="bottom"/>
            <w:vMerge w:val="restart"/>
          </w:tcPr>
          <w:p>
            <w:pPr>
              <w:ind w:left="100"/>
              <w:spacing w:after="0"/>
              <w:rPr>
                <w:sz w:val="20"/>
                <w:szCs w:val="20"/>
                <w:color w:val="auto"/>
              </w:rPr>
            </w:pPr>
            <w:r>
              <w:rPr>
                <w:rFonts w:ascii="Arial" w:cs="Arial" w:eastAsia="Arial" w:hAnsi="Arial"/>
                <w:sz w:val="18"/>
                <w:szCs w:val="18"/>
                <w:color w:val="auto"/>
              </w:rPr>
              <w:t xml:space="preserve">affiliates </w:t>
            </w:r>
            <w:r>
              <w:rPr>
                <w:rFonts w:ascii="Arial" w:cs="Arial" w:eastAsia="Arial" w:hAnsi="Arial"/>
                <w:sz w:val="25"/>
                <w:szCs w:val="25"/>
                <w:i w:val="1"/>
                <w:iCs w:val="1"/>
                <w:color w:val="auto"/>
                <w:vertAlign w:val="superscript"/>
              </w:rPr>
              <w:t>(3)</w:t>
            </w: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vMerge w:val="continue"/>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and beverage revenue</w:t>
            </w: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Retail and other revenue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9"/>
        </w:trPr>
        <w:tc>
          <w:tcPr>
            <w:tcW w:w="3560" w:type="dxa"/>
            <w:vAlign w:val="bottom"/>
            <w:gridSpan w:val="2"/>
          </w:tcPr>
          <w:p>
            <w:pPr>
              <w:jc w:val="right"/>
              <w:ind w:right="2291"/>
              <w:spacing w:after="0"/>
              <w:rPr>
                <w:sz w:val="20"/>
                <w:szCs w:val="20"/>
                <w:color w:val="auto"/>
              </w:rPr>
            </w:pPr>
            <w:r>
              <w:rPr>
                <w:rFonts w:ascii="Arial" w:cs="Arial" w:eastAsia="Arial" w:hAnsi="Arial"/>
                <w:sz w:val="18"/>
                <w:szCs w:val="18"/>
                <w:i w:val="1"/>
                <w:iCs w:val="1"/>
                <w:color w:val="auto"/>
                <w:w w:val="89"/>
              </w:rPr>
              <w:t>_____________</w:t>
            </w:r>
          </w:p>
        </w:tc>
        <w:tc>
          <w:tcPr>
            <w:tcW w:w="1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40" w:hanging="332"/>
        <w:spacing w:after="0" w:line="229" w:lineRule="auto"/>
        <w:tabs>
          <w:tab w:leader="none" w:pos="340" w:val="left"/>
        </w:tabs>
        <w:numPr>
          <w:ilvl w:val="0"/>
          <w:numId w:val="2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The Statements of Operations include allocated overhead costs for certain functions historically performed by CEOC and Caesars’ affiliates, including allocations of direct and indirect operating and maintenance costs and expenses for procurement, logistics and general and administrative costs and expenses related to executive oversight, marketing, information technology, accounting, treasury, tax, and legal. These costs were allocated on the basis of either revenue or payroll costs.</w:t>
      </w:r>
    </w:p>
    <w:p>
      <w:pPr>
        <w:spacing w:after="0" w:line="1" w:lineRule="exact"/>
        <w:rPr>
          <w:rFonts w:ascii="Arial" w:cs="Arial" w:eastAsia="Arial" w:hAnsi="Arial"/>
          <w:sz w:val="25"/>
          <w:szCs w:val="25"/>
          <w:i w:val="1"/>
          <w:iCs w:val="1"/>
          <w:color w:val="auto"/>
          <w:vertAlign w:val="superscript"/>
        </w:rPr>
      </w:pPr>
    </w:p>
    <w:p>
      <w:pPr>
        <w:ind w:left="340" w:hanging="332"/>
        <w:spacing w:after="0" w:line="180" w:lineRule="auto"/>
        <w:tabs>
          <w:tab w:leader="none" w:pos="340" w:val="left"/>
        </w:tabs>
        <w:numPr>
          <w:ilvl w:val="0"/>
          <w:numId w:val="2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See Summary of Significant Accounting Policies - Revenue Recognition.</w:t>
      </w:r>
    </w:p>
    <w:p>
      <w:pPr>
        <w:spacing w:after="0" w:line="2" w:lineRule="exact"/>
        <w:rPr>
          <w:rFonts w:ascii="Arial" w:cs="Arial" w:eastAsia="Arial" w:hAnsi="Arial"/>
          <w:sz w:val="25"/>
          <w:szCs w:val="25"/>
          <w:i w:val="1"/>
          <w:iCs w:val="1"/>
          <w:color w:val="auto"/>
          <w:vertAlign w:val="superscript"/>
        </w:rPr>
      </w:pPr>
    </w:p>
    <w:p>
      <w:pPr>
        <w:ind w:left="340" w:hanging="332"/>
        <w:spacing w:after="0" w:line="208" w:lineRule="auto"/>
        <w:tabs>
          <w:tab w:leader="none" w:pos="340" w:val="left"/>
        </w:tabs>
        <w:numPr>
          <w:ilvl w:val="0"/>
          <w:numId w:val="27"/>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Primarily includes transactions where CEOC and Caesars affiliates’ customers charge their golf, food and beverage and retail purchases directly to their hotel bill. Amounts collected from the customer by the hotel are remitted to the golf course.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and Retirement Plans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CEOC maintains a defined contribution savings and retirement plan that allows certain employees of the Business to make pre-tax and after-tax contributions. Under the plan, participating employees may elect to contribute up to 50% of their eligible earnings, subject to IRS rules and regulations, and are eligible to receive a company match of up to $600. Participating employees become vested in matching contributions on a pro-rata basis over five years of credited service. Our contribution expense, included in direct operating expenses and administrative and other expense, was approximately $27,000 for the period January 1, 2017 to October 5, 2017 and $34,000 and $39,000 for the years ended December 31, 2016 and 2015, respectively.</w:t>
      </w: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Litigation, Contractual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Business and its operations may be subject to litigation involving employment matters, personal injuries, and other matters that arise in the normal course of business. We do not expect the outcome of such ordinary and routine litigation to have a material effect on our combined financial position, results of operations, or cash flows.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337" w:right="2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CAESARS ENTERTAINMENT OUTDOOR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2015, a majority of the Trustees of the National Retirement Fund (“NRF”), a multi-employer defined benefit pension plan, voted to expel Caesars and certain of its affiliates from the plan. The NRF has advised Caesars and Caesars Entertainment Resort Properties, LLC (“CERP”) that this expulsion triggered a withdrawal liability with a present value of approximately $360 million, payable in 80 quarterly payments of about $6 million. The NRF filed a similar claim against each Caesars Debtor in CEOC’s bankruptcy. Although the Business’ employees did not participate in this plan, because the entities that own the Business are a member of the Caesars Group (as defined below), such entities are jointly and severally liable with Caesars and CEOC for any liability under the NRF’s claims.</w:t>
      </w:r>
    </w:p>
    <w:p>
      <w:pPr>
        <w:spacing w:after="0" w:line="1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March 13, 2017, CEOC, CEC, CERP, the Caesars employers that contribute to the NRF, and the NRF and certain of its related parties entered into a settlement agreement resolving all issues related to the disputes with the NRF. Under the terms of the settlement, CEC, or a person on CEC’s behalf, was required to pay a total of $45 million to the NRF on the Formation Date.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Caesars Debtors’ Plan, the NRF is barred from asserting any claims against the Company and its subsidiaries to the extent such claims arose prior to the Formation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is liable under operating leases for land at the Cascata golf course, equipment and other miscellaneous assets, which expire at various dates through 2039. Total rental expense under these agreements included in direct golf operating expenses and property costs in our Statements of Operations were approximately $0.7 million for the period January 1, 2017 to October 5, 2017 and approximately $1.0 million for each of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October 5, 2017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ind w:right="333"/>
              <w:spacing w:after="0"/>
              <w:rPr>
                <w:sz w:val="20"/>
                <w:szCs w:val="20"/>
                <w:color w:val="auto"/>
              </w:rPr>
            </w:pPr>
            <w:r>
              <w:rPr>
                <w:rFonts w:ascii="Arial" w:cs="Arial" w:eastAsia="Arial" w:hAnsi="Arial"/>
                <w:sz w:val="16"/>
                <w:szCs w:val="16"/>
                <w:b w:val="1"/>
                <w:bCs w:val="1"/>
                <w:color w:val="auto"/>
                <w:w w:val="99"/>
              </w:rPr>
              <w:t>Operating Leases</w:t>
            </w:r>
          </w:p>
        </w:tc>
      </w:tr>
      <w:tr>
        <w:trPr>
          <w:trHeight w:val="33"/>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873</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908</w:t>
            </w:r>
          </w:p>
        </w:tc>
      </w:tr>
      <w:tr>
        <w:trPr>
          <w:trHeight w:val="27"/>
        </w:trPr>
        <w:tc>
          <w:tcPr>
            <w:tcW w:w="9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2022 and thereafter</w:t>
            </w:r>
          </w:p>
        </w:tc>
        <w:tc>
          <w:tcPr>
            <w:tcW w:w="28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Arial" w:cs="Arial" w:eastAsia="Arial" w:hAnsi="Arial"/>
                <w:sz w:val="18"/>
                <w:szCs w:val="18"/>
                <w:color w:val="auto"/>
              </w:rPr>
              <w:t>18,911</w:t>
            </w:r>
          </w:p>
        </w:tc>
      </w:tr>
      <w:tr>
        <w:trPr>
          <w:trHeight w:val="27"/>
        </w:trPr>
        <w:tc>
          <w:tcPr>
            <w:tcW w:w="9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minimum rental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22,723</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utilizes a third-party golf maintenance company for its Rio Secco and Cascata golf courses. The agreements are for five years and expire in February 2019 and include all labor and equipment necessary to maintain both golf course grounds. Total expense under these agreements included in direct golf operating expenses in the Statements of Operations were approximately $2.1 million for the period January 1, 2017 to October 5, 2017 and $2.9 million and $2.8 million for the years ended December 31, 2016 and 2015,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future commitments relating to these agreements at October 5, 2017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Maintenance Agreements</w:t>
            </w:r>
          </w:p>
        </w:tc>
      </w:tr>
      <w:tr>
        <w:trPr>
          <w:trHeight w:val="33"/>
        </w:trPr>
        <w:tc>
          <w:tcPr>
            <w:tcW w:w="9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r>
      <w:tr>
        <w:trPr>
          <w:trHeight w:val="243"/>
        </w:trPr>
        <w:tc>
          <w:tcPr>
            <w:tcW w:w="9360" w:type="dxa"/>
            <w:vAlign w:val="bottom"/>
          </w:tcPr>
          <w:p>
            <w:pPr>
              <w:jc w:val="right"/>
              <w:ind w:right="8870"/>
              <w:spacing w:after="0"/>
              <w:rPr>
                <w:sz w:val="20"/>
                <w:szCs w:val="20"/>
                <w:color w:val="auto"/>
              </w:rPr>
            </w:pPr>
            <w:r>
              <w:rPr>
                <w:rFonts w:ascii="Arial" w:cs="Arial" w:eastAsia="Arial" w:hAnsi="Arial"/>
                <w:sz w:val="18"/>
                <w:szCs w:val="18"/>
                <w:color w:val="auto"/>
                <w:w w:val="94"/>
              </w:rPr>
              <w:t>2018</w:t>
            </w:r>
          </w:p>
        </w:tc>
        <w:tc>
          <w:tcPr>
            <w:tcW w:w="14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2,969</w:t>
            </w:r>
          </w:p>
        </w:tc>
      </w:tr>
      <w:tr>
        <w:trPr>
          <w:trHeight w:val="27"/>
        </w:trPr>
        <w:tc>
          <w:tcPr>
            <w:tcW w:w="9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jc w:val="right"/>
              <w:ind w:right="8870"/>
              <w:spacing w:after="0"/>
              <w:rPr>
                <w:sz w:val="20"/>
                <w:szCs w:val="20"/>
                <w:color w:val="auto"/>
              </w:rPr>
            </w:pPr>
            <w:r>
              <w:rPr>
                <w:rFonts w:ascii="Arial" w:cs="Arial" w:eastAsia="Arial" w:hAnsi="Arial"/>
                <w:sz w:val="18"/>
                <w:szCs w:val="18"/>
                <w:color w:val="auto"/>
                <w:w w:val="94"/>
              </w:rPr>
              <w:t>2019</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r>
      <w:tr>
        <w:trPr>
          <w:trHeight w:val="257"/>
        </w:trPr>
        <w:tc>
          <w:tcPr>
            <w:tcW w:w="9360" w:type="dxa"/>
            <w:vAlign w:val="bottom"/>
          </w:tcPr>
          <w:p>
            <w:pPr>
              <w:jc w:val="right"/>
              <w:ind w:right="5910"/>
              <w:spacing w:after="0"/>
              <w:rPr>
                <w:sz w:val="20"/>
                <w:szCs w:val="20"/>
                <w:color w:val="auto"/>
              </w:rPr>
            </w:pPr>
            <w:r>
              <w:rPr>
                <w:rFonts w:ascii="Arial" w:cs="Arial" w:eastAsia="Arial" w:hAnsi="Arial"/>
                <w:sz w:val="18"/>
                <w:szCs w:val="18"/>
                <w:color w:val="auto"/>
                <w:w w:val="95"/>
              </w:rPr>
              <w:t>Total maintenance agreement commitments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3,969</w:t>
            </w:r>
          </w:p>
        </w:tc>
      </w:tr>
      <w:tr>
        <w:trPr>
          <w:trHeight w:val="20"/>
        </w:trPr>
        <w:tc>
          <w:tcPr>
            <w:tcW w:w="9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337"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COMBINED STATEMENT OF INVESTMENTS OF REAL ESTATE ASSETS TO BE CONTRIBUTED TO VICI PROPERTIES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Caesars Entertainment Operating Company, Inc.</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combined statement of investments (the “combined statement”) of real estate assets to be contributed to VICI Properties Inc. as of December 31, 2016. Our audit also included the financial statement schedule listed in the Index to the financial statements. This combined statement and financial statement schedule are the responsibility of Caesars Entertainment Operating Company, Inc.’s (the “Company”) management. Our responsibility is to express an opinion on this combined statement and financial statement schedule based on our audit.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combined statement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combined statement, assessing the accounting principles used and significant estimates made by management, as well as evaluating the overall combined statement presentation. We believe that our audit provides a reasonable basis for our opinion.</w:t>
      </w:r>
    </w:p>
    <w:p>
      <w:pPr>
        <w:spacing w:after="0" w:line="1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our opinion, such combined statement presents fairly, in all material respects, real estate assets to be contributed to VICI Properties Inc. as of December 31, 2016, in conformity with accounting principles generally accepted in the United States of America. Also, in our opinion, such financial statement schedule, when considered in relation to the basic combined statement taken as a whole, present fairly, in all material respects, the information set forth therein.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12,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53"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COMBINED STATEMENT OF INVESTMENTS OF REAL ESTATE ASSETS TO BE CONTRIBUTED TO VICI PROPERTIES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December 31, 2016</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Property, net</w:t>
            </w:r>
          </w:p>
        </w:tc>
        <w:tc>
          <w:tcPr>
            <w:tcW w:w="480" w:type="dxa"/>
            <w:vAlign w:val="bottom"/>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4,856.6</w:t>
            </w:r>
          </w:p>
        </w:tc>
      </w:tr>
      <w:tr>
        <w:trPr>
          <w:trHeight w:val="27"/>
        </w:trPr>
        <w:tc>
          <w:tcPr>
            <w:tcW w:w="99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4,856.6</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Statement of Investments of Real Estate Assets to be Contributed to VICI Properties, Inc.</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55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NOTES TO COMBINED STATEMENT OF INVESTMENTS OF REAL ESTATE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CONTRIBUTED TO VICI PROPERTIES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we refer to the Combined Statement of Investments of Real Estate Assets to be Contributed to VICI Properties Inc. as the “Combined Statement of Investments of Real Estate Assets.”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Formation and Basis of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Formation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Caesars Entertainment Operating Company, Inc. (“CEOC”) owns, operates and manages gaming and resort properties. On January 15, 2015, CEOC and certain of its subsidiaries (the “Debtors”) voluntarily filed for reorganization under Chapter 11 of the United States Bankruptcy Code (the “Bankruptcy Code”) with the United States Bankruptcy Court for the Northern District of Illinois (the “Bankruptcy Court”). As a result of this filing, CEOC operates as a debtor-in-possession under the Bankruptcy Code. CEOC’s plan of reorganization (the “Plan”) was confirmed by the Bankruptcy Court on January 17, 2017.</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VICI Properties Inc. (“VICI REIT”) was organized as a limited liability company in Delaware on July 5, 2016 and was subsequently converted to a corporation under the laws of the State of Maryland. VICI REIT intends to elect to be treated as a “real estate investment trust” (“REIT”) for federal income tax purposes. CEOC intends to engage in a series of transactions in connection with its emergence from bankruptcy in which subsidiaries of CEOC will transfer certain real estate assets (the “Properties”) and the assets and operations comprising CEOC’s historical golf course business (the “Caesars Entertainment Outdoor”) to VICI REIT (the “Transactions”). Following effectiveness of the Plan, VICI REIT will be an owner, acquirer and developer of gaming, hospitality and entertainment destinations.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Combined Statement of Investments of Real Estate Assets reflects certain owned real estate gaming and related facilities that will be transferred from CEOC to VICI REIT upon effectiveness of the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Combined Statement of Investments of Real Estate Assets reflects the assets directly attributable to CEOC’s real estate holdings to be owned by VICI REIT, with the exception of the four golf course businesses. The Combined Statement of Investments of Real Estate Assets is combined on the basis of common control and is prepared in conformity with accounting principles generally accepted in the United States of America (“GAAP”). Management believes the assumptions underlying the Combined Statement of Investments of Real Estate Assets are reasonable; however, the Combined Statement of Investments of Real Estate Assets may not necessarily reflect VICI REIT’s financial position in the future or what their financial position would have been had VICI REIT operated as a stand-alone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Properties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Bally’s Atlantic City</w:t>
            </w:r>
          </w:p>
        </w:tc>
        <w:tc>
          <w:tcPr>
            <w:tcW w:w="3840" w:type="dxa"/>
            <w:vAlign w:val="bottom"/>
          </w:tcPr>
          <w:p>
            <w:pPr>
              <w:ind w:left="1800"/>
              <w:spacing w:after="0"/>
              <w:rPr>
                <w:sz w:val="20"/>
                <w:szCs w:val="20"/>
                <w:color w:val="auto"/>
              </w:rPr>
            </w:pPr>
            <w:r>
              <w:rPr>
                <w:rFonts w:ascii="Arial" w:cs="Arial" w:eastAsia="Arial" w:hAnsi="Arial"/>
                <w:sz w:val="18"/>
                <w:szCs w:val="18"/>
                <w:color w:val="auto"/>
              </w:rPr>
              <w:t>Harrah’s Reno</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Bluegrass Downs</w:t>
            </w:r>
          </w:p>
        </w:tc>
        <w:tc>
          <w:tcPr>
            <w:tcW w:w="3840" w:type="dxa"/>
            <w:vAlign w:val="bottom"/>
          </w:tcPr>
          <w:p>
            <w:pPr>
              <w:ind w:left="1800"/>
              <w:spacing w:after="0"/>
              <w:rPr>
                <w:sz w:val="20"/>
                <w:szCs w:val="20"/>
                <w:color w:val="auto"/>
              </w:rPr>
            </w:pPr>
            <w:r>
              <w:rPr>
                <w:rFonts w:ascii="Arial" w:cs="Arial" w:eastAsia="Arial" w:hAnsi="Arial"/>
                <w:sz w:val="18"/>
                <w:szCs w:val="18"/>
                <w:color w:val="auto"/>
              </w:rPr>
              <w:t>Harvey’s Lake Tahoe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Caesars Atlantic City</w:t>
            </w:r>
          </w:p>
        </w:tc>
        <w:tc>
          <w:tcPr>
            <w:tcW w:w="3840" w:type="dxa"/>
            <w:vAlign w:val="bottom"/>
          </w:tcPr>
          <w:p>
            <w:pPr>
              <w:ind w:left="1800"/>
              <w:spacing w:after="0"/>
              <w:rPr>
                <w:sz w:val="20"/>
                <w:szCs w:val="20"/>
                <w:color w:val="auto"/>
              </w:rPr>
            </w:pPr>
            <w:r>
              <w:rPr>
                <w:rFonts w:ascii="Arial" w:cs="Arial" w:eastAsia="Arial" w:hAnsi="Arial"/>
                <w:sz w:val="18"/>
                <w:szCs w:val="18"/>
                <w:color w:val="auto"/>
              </w:rPr>
              <w:t>Horseshoe Bossier City</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Caesars Palace Las Vegas</w:t>
            </w:r>
          </w:p>
        </w:tc>
        <w:tc>
          <w:tcPr>
            <w:tcW w:w="3840" w:type="dxa"/>
            <w:vAlign w:val="bottom"/>
          </w:tcPr>
          <w:p>
            <w:pPr>
              <w:ind w:left="1800"/>
              <w:spacing w:after="0"/>
              <w:rPr>
                <w:sz w:val="20"/>
                <w:szCs w:val="20"/>
                <w:color w:val="auto"/>
              </w:rPr>
            </w:pPr>
            <w:r>
              <w:rPr>
                <w:rFonts w:ascii="Arial" w:cs="Arial" w:eastAsia="Arial" w:hAnsi="Arial"/>
                <w:sz w:val="18"/>
                <w:szCs w:val="18"/>
                <w:color w:val="auto"/>
                <w:w w:val="99"/>
              </w:rPr>
              <w:t>Horseshoe Council Bluffs</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Harrah’s Gulf Coast</w:t>
            </w:r>
          </w:p>
        </w:tc>
        <w:tc>
          <w:tcPr>
            <w:tcW w:w="3840" w:type="dxa"/>
            <w:vAlign w:val="bottom"/>
          </w:tcPr>
          <w:p>
            <w:pPr>
              <w:ind w:left="1800"/>
              <w:spacing w:after="0"/>
              <w:rPr>
                <w:sz w:val="20"/>
                <w:szCs w:val="20"/>
                <w:color w:val="auto"/>
              </w:rPr>
            </w:pPr>
            <w:r>
              <w:rPr>
                <w:rFonts w:ascii="Arial" w:cs="Arial" w:eastAsia="Arial" w:hAnsi="Arial"/>
                <w:sz w:val="18"/>
                <w:szCs w:val="18"/>
                <w:color w:val="auto"/>
              </w:rPr>
              <w:t>Horseshoe Hammond</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Harrah’s Council Bluffs</w:t>
            </w:r>
          </w:p>
        </w:tc>
        <w:tc>
          <w:tcPr>
            <w:tcW w:w="3840" w:type="dxa"/>
            <w:vAlign w:val="bottom"/>
          </w:tcPr>
          <w:p>
            <w:pPr>
              <w:ind w:left="1800"/>
              <w:spacing w:after="0"/>
              <w:rPr>
                <w:sz w:val="20"/>
                <w:szCs w:val="20"/>
                <w:color w:val="auto"/>
              </w:rPr>
            </w:pPr>
            <w:r>
              <w:rPr>
                <w:rFonts w:ascii="Arial" w:cs="Arial" w:eastAsia="Arial" w:hAnsi="Arial"/>
                <w:sz w:val="18"/>
                <w:szCs w:val="18"/>
                <w:color w:val="auto"/>
                <w:w w:val="88"/>
              </w:rPr>
              <w:t>Horseshoe Southern Indiana</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Harrah’s Joliet</w:t>
            </w:r>
          </w:p>
        </w:tc>
        <w:tc>
          <w:tcPr>
            <w:tcW w:w="3840" w:type="dxa"/>
            <w:vAlign w:val="bottom"/>
          </w:tcPr>
          <w:p>
            <w:pPr>
              <w:ind w:left="1800"/>
              <w:spacing w:after="0"/>
              <w:rPr>
                <w:sz w:val="20"/>
                <w:szCs w:val="20"/>
                <w:color w:val="auto"/>
              </w:rPr>
            </w:pPr>
            <w:r>
              <w:rPr>
                <w:rFonts w:ascii="Arial" w:cs="Arial" w:eastAsia="Arial" w:hAnsi="Arial"/>
                <w:sz w:val="18"/>
                <w:szCs w:val="18"/>
                <w:color w:val="auto"/>
              </w:rPr>
              <w:t>Horseshoe Tunica</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Harrah’s Lake Tahoe</w:t>
            </w:r>
          </w:p>
        </w:tc>
        <w:tc>
          <w:tcPr>
            <w:tcW w:w="3840" w:type="dxa"/>
            <w:vAlign w:val="bottom"/>
          </w:tcPr>
          <w:p>
            <w:pPr>
              <w:ind w:left="1800"/>
              <w:spacing w:after="0"/>
              <w:rPr>
                <w:sz w:val="20"/>
                <w:szCs w:val="20"/>
                <w:color w:val="auto"/>
              </w:rPr>
            </w:pPr>
            <w:r>
              <w:rPr>
                <w:rFonts w:ascii="Arial" w:cs="Arial" w:eastAsia="Arial" w:hAnsi="Arial"/>
                <w:sz w:val="18"/>
                <w:szCs w:val="18"/>
                <w:color w:val="auto"/>
              </w:rPr>
              <w:t>Louisiana Downs</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Harrah’s Metropolis</w:t>
            </w:r>
          </w:p>
        </w:tc>
        <w:tc>
          <w:tcPr>
            <w:tcW w:w="3840" w:type="dxa"/>
            <w:vAlign w:val="bottom"/>
          </w:tcPr>
          <w:p>
            <w:pPr>
              <w:ind w:left="1800"/>
              <w:spacing w:after="0"/>
              <w:rPr>
                <w:sz w:val="20"/>
                <w:szCs w:val="20"/>
                <w:color w:val="auto"/>
              </w:rPr>
            </w:pPr>
            <w:r>
              <w:rPr>
                <w:rFonts w:ascii="Arial" w:cs="Arial" w:eastAsia="Arial" w:hAnsi="Arial"/>
                <w:sz w:val="18"/>
                <w:szCs w:val="18"/>
                <w:color w:val="auto"/>
              </w:rPr>
              <w:t>Tunica Roadhouse</w:t>
            </w:r>
          </w:p>
        </w:tc>
      </w:tr>
      <w:tr>
        <w:trPr>
          <w:trHeight w:val="283"/>
        </w:trPr>
        <w:tc>
          <w:tcPr>
            <w:tcW w:w="4240" w:type="dxa"/>
            <w:vAlign w:val="bottom"/>
          </w:tcPr>
          <w:p>
            <w:pPr>
              <w:ind w:left="40"/>
              <w:spacing w:after="0"/>
              <w:rPr>
                <w:sz w:val="20"/>
                <w:szCs w:val="20"/>
                <w:color w:val="auto"/>
              </w:rPr>
            </w:pPr>
            <w:r>
              <w:rPr>
                <w:rFonts w:ascii="Arial" w:cs="Arial" w:eastAsia="Arial" w:hAnsi="Arial"/>
                <w:sz w:val="18"/>
                <w:szCs w:val="18"/>
                <w:color w:val="auto"/>
              </w:rPr>
              <w:t>Harrah’s North Kansas City</w:t>
            </w:r>
          </w:p>
        </w:tc>
        <w:tc>
          <w:tcPr>
            <w:tcW w:w="3840" w:type="dxa"/>
            <w:vAlign w:val="bottom"/>
          </w:tcPr>
          <w:p>
            <w:pPr>
              <w:ind w:left="1800"/>
              <w:spacing w:after="0" w:line="283" w:lineRule="exact"/>
              <w:rPr>
                <w:sz w:val="20"/>
                <w:szCs w:val="20"/>
                <w:color w:val="auto"/>
              </w:rPr>
            </w:pPr>
            <w:r>
              <w:rPr>
                <w:rFonts w:ascii="Arial" w:cs="Arial" w:eastAsia="Arial" w:hAnsi="Arial"/>
                <w:sz w:val="18"/>
                <w:szCs w:val="18"/>
                <w:color w:val="auto"/>
              </w:rPr>
              <w:t xml:space="preserve">Other property </w:t>
            </w:r>
            <w:r>
              <w:rPr>
                <w:rFonts w:ascii="Arial" w:cs="Arial" w:eastAsia="Arial" w:hAnsi="Arial"/>
                <w:sz w:val="25"/>
                <w:szCs w:val="25"/>
                <w:color w:val="auto"/>
                <w:vertAlign w:val="superscript"/>
              </w:rPr>
              <w:t>(1)</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3840" w:type="dxa"/>
            <w:vAlign w:val="bottom"/>
          </w:tcPr>
          <w:p>
            <w:pPr>
              <w:spacing w:after="0"/>
              <w:rPr>
                <w:sz w:val="20"/>
                <w:szCs w:val="20"/>
                <w:color w:val="auto"/>
              </w:rPr>
            </w:pPr>
          </w:p>
        </w:tc>
      </w:tr>
    </w:tbl>
    <w:p>
      <w:pPr>
        <w:spacing w:after="0" w:line="150"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Consists primarily of miscellaneous vacant land holdings.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553"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NOTES TO COMBINED STATEMENT OF INVESTMENTS OF REAL ESTATE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CONTRIBUTED TO VICI PROPERTIES INC. (CONTINUED)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Statement of Investments of Real Estate Assets has been prepared on a going concern basis. The following information reflects the results of management’s assessment of VICI REIT’s ability to continue as a going concern.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the Plan was confirmed by order of the Bankruptcy Court on January 17, 2017, several issues must be resolved before CEOC successfully emerges from bankruptcy. VICI REIT’s ability to continue as a going concern is dependent upon CEOC’s ability to restructure its indebtedness and emerge from bankruptcy. The Debtors’ emergence from bankruptcy is still subject to numerous conditions and third party approvals, including a favorable resolution to the continued ability to use cash collateral. These uncertainties raise substantial doubt about VICI REIT’s ability to continue as a going concern. The Combined Statement of Investments of Real Estate Assets does not include any adjustments that might result from the outcome of uncertainties. There can be no assurance that the restructuring of the Debtors will be completed as contemplated in the Plan.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capital invested in our long-lived assets, and judgments are made in determining their estimated useful lives and salvage values and if or when an asset (or asset group) has been impaired. The accuracy of these estimates affects the amount of depreciation and amortization expense recognized in our financial results and whether we have a gain or loss on the disposal of an asset. We assign lives to our assets based on our standard policy, which is established by management as representative of the useful life of each category of asset.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carrying value of our long-lived assets whenever events and circumstances indicate that the carrying value of an asset may not be recoverable from the estimated future cash flows expected to result from its use and eventual disposition. Other factors considered by management in performing this assessment may include current operating results, trends, prospects, and third-party appraisals, as well as the effect of demand, competition, and other economic, legal, and regulatory factors. In estimating expected future cash flows for determining whether an asset is impaired, assets are grouped at the lowest level of identifiable cash flows, which, for most of our assets, is the individual property. We typically estimate the fair value of assets starting with a “Replacement Cost New” approach and then deduct appropriate amounts for both functional and economic obsolescence to arrive at the fair value estimates. These analyses are sensitive to management assumptions and the estimates of the obsolescence factors. Changes in these assumptions and estimates could have a material impact on the analyses and the Combined Statement of Investments of Real Estate Assets.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Land is recorded at cost and buildings are recorded at cost, less accumulated depreciation. Additions to property and equipment are stated at cost. We capitalize the costs of improvements that extend the life of the asset. We expense maintenance and repair costs as incurred. Gains or losses on the dispositions of property and equipment are recognized in the period of disposal.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calculated using the straight-line method over the shorter of the estimated useful life of the asset or the related lease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years</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5160" w:type="dxa"/>
            <w:vAlign w:val="bottom"/>
          </w:tcPr>
          <w:p>
            <w:pPr>
              <w:jc w:val="right"/>
              <w:spacing w:after="0"/>
              <w:rPr>
                <w:sz w:val="20"/>
                <w:szCs w:val="20"/>
                <w:color w:val="auto"/>
              </w:rPr>
            </w:pPr>
            <w:r>
              <w:rPr>
                <w:rFonts w:ascii="Arial" w:cs="Arial" w:eastAsia="Arial" w:hAnsi="Arial"/>
                <w:sz w:val="18"/>
                <w:szCs w:val="18"/>
                <w:color w:val="auto"/>
              </w:rPr>
              <w:t>5 to 40 years</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Net</w:t>
      </w:r>
    </w:p>
    <w:p>
      <w:pPr>
        <w:sectPr>
          <w:pgSz w:w="11900" w:h="16838" w:orient="portrait"/>
          <w:cols w:equalWidth="0" w:num="1">
            <w:col w:w="11420"/>
          </w:cols>
          <w:pgMar w:left="240" w:top="553" w:right="239" w:bottom="1440" w:gutter="0" w:footer="0" w:header="0"/>
        </w:sect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 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property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Total property, net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December 31, 2016</w:t>
      </w:r>
    </w:p>
    <w:p>
      <w:pPr>
        <w:spacing w:after="0" w:line="81"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2,492.6</w:t>
      </w:r>
    </w:p>
    <w:p>
      <w:pPr>
        <w:spacing w:after="0" w:line="7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3,571.7</w:t>
      </w:r>
    </w:p>
    <w:p>
      <w:pPr>
        <w:spacing w:after="0" w:line="8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6,064.3</w:t>
      </w:r>
    </w:p>
    <w:p>
      <w:pPr>
        <w:spacing w:after="0" w:line="7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(1,207.7)</w:t>
      </w:r>
    </w:p>
    <w:p>
      <w:pPr>
        <w:spacing w:after="0" w:line="7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4,856.6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56515</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8560" w:space="720"/>
            <w:col w:w="2140"/>
          </w:cols>
          <w:pgMar w:left="240" w:top="55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553"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Note 4 — Concentration of Credit Risks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Transactions, all of the real estate holdings of VICI REIT (other than Caesars Entertainment Outdoor) will be leased to CEOC, and substantially all of VICI REIT’s revenues will be derived from the leases with CEOC. Other than VICI REIT having a single tenant from which it will derive substantially all of its revenue, management does not believe there are any other significant concentrations of credit risk.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Subsequent Events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Events subsequent to December 31, 2016 were evaluated through May 12, 2017, the date this audited Combined Statement of Investments of Real Estate Assets was available to be issued, and no events were identified requiring further disclosure.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531"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ITEM 9.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4"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disclosure controls and procedures designed to provide reasonable assurance that information required to be disclosed in reports filed under the Securities Exchange Act of 1934, as amended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(as defined in Rules 13a-15(e) or 15d-15(e) promulgated under the Exchange Act) at December 31, 2017. Based on this evaluation required by paragraph (b) of Rules 13a-15 or 15d-15, our principal executive officer and principal financial officer concluded that our disclosure controls and procedures were effective as of December 31, 2017.</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this evaluation, our principal executive officer and principal financial officer concluded that the Company's disclosure controls and procedures were effective as of December 31, 2017 to ensure that information required to be disclosed by the Company in the reports that we file or submit under the Exchange Act is (i) recorded, processed, summarized and reported within the time periods specified in the SEC’s rules and forms and (ii) accumulated and communicated to the Company's management, including the Company's principal executive officer and principal financial officer, as appropriate to allow timely decisions regarding required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company's registered public accounting firm due to a transition period established by the rules of the Securities and Exchange Commission for newly public companies.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internal control over financial reporting was established in conjunction with the Formation of the Company in October 2017. There has been no change in our internal control over financial reporting during the quarter ended December 31, 2017 that has materially affected, or is reasonably likely to materially affect, our internal control over financial reporting.</w:t>
      </w:r>
    </w:p>
    <w:p>
      <w:pPr>
        <w:spacing w:after="0" w:line="29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PART III</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adopted a Code of Business Conduct that applies to our principal executive officer, principal financial officer and principal accounting officer, and have posted the Code on our website at www.viciproperties.com. In the event that we have any amendments to or waivers from any provision of the Code applicable to our principal executive officer, principal financial officer or principal accounting officer, we intend to satisfy the disclosure requirement under Item 5.05 of Form 8-K by posting such information on our website.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Company's definitive proxy statement for its 2018 Annual Meeting of Shareholders (the "2018 Proxy Statement"), which we expect will be filed with the SEC within 120 days after December 31, 2017 pursuant to Regulation 14A under the Securities Act. If such proxy statement is not filed within 120 days after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909"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December 31, 2017, the information called for by this item will be filed as part of an amendment to this Annual Report on Form 10-K on or before such date.</w:t>
      </w:r>
    </w:p>
    <w:p>
      <w:pPr>
        <w:spacing w:after="0" w:line="195"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2018 Proxy Statement, which we expect will be filed with the SEC within 120 days after December 31, 2017. If such proxy statement is not filed within 120 days after December 31, 2017, the information called for by this item will be filed as part of an amendment to this Annual Report on Form 10-K on or before such date.</w:t>
      </w:r>
    </w:p>
    <w:p>
      <w:pPr>
        <w:spacing w:after="0" w:line="23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2018 Proxy Statement, which we expect will be filed with the SEC within 120 days after December 31, 2017. If such proxy statement is not filed within 120 days after December 31, 2017, the information called for by this item will be filed as part of an amendment to this Annual Report on Form 10-K on or before such date.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information as of December 31, 2017, relating to equity compensation plans of the Company pursuant to which shares of our common stock are authorized for issuance: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Number of securities to be</w:t>
            </w:r>
          </w:p>
        </w:tc>
        <w:tc>
          <w:tcPr>
            <w:tcW w:w="14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2260" w:type="dxa"/>
            <w:vAlign w:val="bottom"/>
          </w:tcPr>
          <w:p>
            <w:pPr>
              <w:jc w:val="center"/>
              <w:ind w:right="255"/>
              <w:spacing w:after="0"/>
              <w:rPr>
                <w:sz w:val="20"/>
                <w:szCs w:val="20"/>
                <w:color w:val="auto"/>
              </w:rPr>
            </w:pPr>
            <w:r>
              <w:rPr>
                <w:rFonts w:ascii="Arial" w:cs="Arial" w:eastAsia="Arial" w:hAnsi="Arial"/>
                <w:sz w:val="16"/>
                <w:szCs w:val="16"/>
                <w:b w:val="1"/>
                <w:bCs w:val="1"/>
                <w:color w:val="auto"/>
                <w:w w:val="90"/>
              </w:rPr>
              <w:t>Number of securities</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issued upon exercise of</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exercise price of</w:t>
            </w:r>
          </w:p>
        </w:tc>
        <w:tc>
          <w:tcPr>
            <w:tcW w:w="2260" w:type="dxa"/>
            <w:vAlign w:val="bottom"/>
          </w:tcPr>
          <w:p>
            <w:pPr>
              <w:jc w:val="center"/>
              <w:ind w:right="275"/>
              <w:spacing w:after="0"/>
              <w:rPr>
                <w:sz w:val="20"/>
                <w:szCs w:val="20"/>
                <w:color w:val="auto"/>
              </w:rPr>
            </w:pPr>
            <w:r>
              <w:rPr>
                <w:rFonts w:ascii="Arial" w:cs="Arial" w:eastAsia="Arial" w:hAnsi="Arial"/>
                <w:sz w:val="16"/>
                <w:szCs w:val="16"/>
                <w:b w:val="1"/>
                <w:bCs w:val="1"/>
                <w:color w:val="auto"/>
                <w:w w:val="93"/>
              </w:rPr>
              <w:t>available for future</w:t>
            </w: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outstanding options,</w:t>
            </w:r>
          </w:p>
        </w:tc>
        <w:tc>
          <w:tcPr>
            <w:tcW w:w="14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outstanding options,</w:t>
            </w:r>
          </w:p>
        </w:tc>
        <w:tc>
          <w:tcPr>
            <w:tcW w:w="2260" w:type="dxa"/>
            <w:vAlign w:val="bottom"/>
          </w:tcPr>
          <w:p>
            <w:pPr>
              <w:jc w:val="center"/>
              <w:ind w:right="275"/>
              <w:spacing w:after="0"/>
              <w:rPr>
                <w:sz w:val="20"/>
                <w:szCs w:val="20"/>
                <w:color w:val="auto"/>
              </w:rPr>
            </w:pPr>
            <w:r>
              <w:rPr>
                <w:rFonts w:ascii="Arial" w:cs="Arial" w:eastAsia="Arial" w:hAnsi="Arial"/>
                <w:sz w:val="16"/>
                <w:szCs w:val="16"/>
                <w:b w:val="1"/>
                <w:bCs w:val="1"/>
                <w:color w:val="auto"/>
                <w:w w:val="88"/>
              </w:rPr>
              <w:t>issuance under equity</w:t>
            </w:r>
          </w:p>
        </w:tc>
      </w:tr>
      <w:tr>
        <w:trPr>
          <w:trHeight w:val="210"/>
        </w:trPr>
        <w:tc>
          <w:tcPr>
            <w:tcW w:w="5280" w:type="dxa"/>
            <w:vAlign w:val="bottom"/>
            <w:gridSpan w:val="2"/>
          </w:tcPr>
          <w:p>
            <w:pPr>
              <w:ind w:left="2080"/>
              <w:spacing w:after="0"/>
              <w:rPr>
                <w:sz w:val="20"/>
                <w:szCs w:val="20"/>
                <w:color w:val="auto"/>
              </w:rPr>
            </w:pPr>
            <w:r>
              <w:rPr>
                <w:rFonts w:ascii="Arial" w:cs="Arial" w:eastAsia="Arial" w:hAnsi="Arial"/>
                <w:sz w:val="16"/>
                <w:szCs w:val="16"/>
                <w:b w:val="1"/>
                <w:bCs w:val="1"/>
                <w:color w:val="auto"/>
              </w:rPr>
              <w:t>Plan Category</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warrants and rights</w:t>
            </w:r>
          </w:p>
        </w:tc>
        <w:tc>
          <w:tcPr>
            <w:tcW w:w="1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warrants and rights</w:t>
            </w:r>
          </w:p>
        </w:tc>
        <w:tc>
          <w:tcPr>
            <w:tcW w:w="2260" w:type="dxa"/>
            <w:vAlign w:val="bottom"/>
          </w:tcPr>
          <w:p>
            <w:pPr>
              <w:jc w:val="center"/>
              <w:ind w:right="255"/>
              <w:spacing w:after="0"/>
              <w:rPr>
                <w:sz w:val="20"/>
                <w:szCs w:val="20"/>
                <w:color w:val="auto"/>
              </w:rPr>
            </w:pPr>
            <w:r>
              <w:rPr>
                <w:rFonts w:ascii="Arial" w:cs="Arial" w:eastAsia="Arial" w:hAnsi="Arial"/>
                <w:sz w:val="16"/>
                <w:szCs w:val="16"/>
                <w:b w:val="1"/>
                <w:bCs w:val="1"/>
                <w:color w:val="auto"/>
                <w:w w:val="87"/>
              </w:rPr>
              <w:t>compensation plans</w:t>
            </w: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shareholders</w:t>
            </w: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174,572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8"/>
                <w:szCs w:val="18"/>
                <w:color w:val="auto"/>
              </w:rPr>
              <w:t>N/A</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2260" w:type="dxa"/>
            <w:vAlign w:val="bottom"/>
          </w:tcPr>
          <w:p>
            <w:pPr>
              <w:jc w:val="right"/>
              <w:ind w:right="355"/>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4"/>
        </w:trPr>
        <w:tc>
          <w:tcPr>
            <w:tcW w:w="5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174,572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2260" w:type="dxa"/>
            <w:vAlign w:val="bottom"/>
            <w:shd w:val="clear" w:color="auto" w:fill="CCEEFF"/>
          </w:tcPr>
          <w:p>
            <w:pPr>
              <w:jc w:val="right"/>
              <w:ind w:right="75"/>
              <w:spacing w:after="0" w:line="264" w:lineRule="exact"/>
              <w:rPr>
                <w:sz w:val="20"/>
                <w:szCs w:val="20"/>
                <w:color w:val="auto"/>
              </w:rPr>
            </w:pPr>
            <w:r>
              <w:rPr>
                <w:rFonts w:ascii="Arial" w:cs="Arial" w:eastAsia="Arial" w:hAnsi="Arial"/>
                <w:sz w:val="18"/>
                <w:szCs w:val="18"/>
                <w:color w:val="auto"/>
              </w:rPr>
              <w:t xml:space="preserve">12,575,428  </w:t>
            </w:r>
            <w:r>
              <w:rPr>
                <w:rFonts w:ascii="Arial" w:cs="Arial" w:eastAsia="Arial" w:hAnsi="Arial"/>
                <w:sz w:val="25"/>
                <w:szCs w:val="25"/>
                <w:color w:val="auto"/>
                <w:vertAlign w:val="superscript"/>
              </w:rPr>
              <w:t>(1)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color w:val="auto"/>
        </w:rPr>
        <w:t>A combined total of 12,750,000 shares of common stock may be issued under the Company’s 2017 Stock Incentive Plan.</w:t>
      </w:r>
    </w:p>
    <w:p>
      <w:pPr>
        <w:spacing w:after="0" w:line="25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2018 Proxy Statement, which we expect will be filed with the SEC within 120 days after December 31, 2017. If such proxy statement is not filed within 120 days after December 31, 2017, the information called for by this item will be filed as part of an amendment to this Annual Report on Form 10-K on or before such date.</w:t>
      </w:r>
    </w:p>
    <w:p>
      <w:pPr>
        <w:spacing w:after="0" w:line="236"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2018 Proxy Statement, which we expect will be filed with the SEC within 120 days after December 31, 2017. If such proxy statement is not filed within 120 days after December 31, 2017, the information called for by this item will be filed as part of an amendment to this Annual Report on Form 10-K on or before such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74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PART IV</w:t>
      </w:r>
    </w:p>
    <w:p>
      <w:pPr>
        <w:spacing w:after="0" w:line="220"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Schedules</w:t>
      </w:r>
    </w:p>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Included in Part II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gridSpan w:val="22"/>
          </w:tcPr>
          <w:p>
            <w:pPr>
              <w:ind w:left="40"/>
              <w:spacing w:after="0"/>
              <w:rPr>
                <w:sz w:val="20"/>
                <w:szCs w:val="20"/>
                <w:color w:val="auto"/>
              </w:rPr>
            </w:pPr>
            <w:r>
              <w:rPr>
                <w:rFonts w:ascii="Arial" w:cs="Arial" w:eastAsia="Arial" w:hAnsi="Arial"/>
                <w:sz w:val="18"/>
                <w:szCs w:val="18"/>
                <w:color w:val="auto"/>
              </w:rPr>
              <w:t>VICI Properties Inc.:</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62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8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8"/>
              </w:rPr>
            </w:pPr>
            <w:hyperlink w:anchor="page60">
              <w:r>
                <w:rPr>
                  <w:rFonts w:ascii="Arial" w:cs="Arial" w:eastAsia="Arial" w:hAnsi="Arial"/>
                  <w:sz w:val="18"/>
                  <w:szCs w:val="18"/>
                  <w:color w:val="0000EE"/>
                  <w:w w:val="88"/>
                </w:rPr>
                <w:t>Consolidated Balance Sheet as of December 31, 2017</w:t>
              </w:r>
            </w:hyperlink>
          </w:p>
        </w:tc>
        <w:tc>
          <w:tcPr>
            <w:tcW w:w="340" w:type="dxa"/>
            <w:vAlign w:val="bottom"/>
            <w:tcBorders>
              <w:top w:val="single" w:sz="8" w:color="0000EE"/>
            </w:tcBorders>
            <w:gridSpan w:val="2"/>
          </w:tcPr>
          <w:p>
            <w:pPr>
              <w:spacing w:after="0"/>
              <w:rPr>
                <w:sz w:val="21"/>
                <w:szCs w:val="21"/>
                <w:color w:val="auto"/>
              </w:rPr>
            </w:pPr>
          </w:p>
        </w:tc>
        <w:tc>
          <w:tcPr>
            <w:tcW w:w="2400" w:type="dxa"/>
            <w:vAlign w:val="bottom"/>
            <w:gridSpan w:val="10"/>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6620" w:type="dxa"/>
            <w:vAlign w:val="bottom"/>
            <w:gridSpan w:val="21"/>
          </w:tcPr>
          <w:p>
            <w:pPr>
              <w:spacing w:after="0"/>
              <w:rPr>
                <w:sz w:val="20"/>
                <w:szCs w:val="20"/>
                <w:color w:val="auto"/>
              </w:rPr>
            </w:pPr>
            <w:r>
              <w:rPr>
                <w:rFonts w:ascii="Arial" w:cs="Arial" w:eastAsia="Arial" w:hAnsi="Arial"/>
                <w:sz w:val="18"/>
                <w:szCs w:val="18"/>
                <w:color w:val="auto"/>
              </w:rPr>
              <w:t>Period from October 6 to December 31, 2017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12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 of Operations</w:t>
              </w:r>
            </w:hyperlink>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59</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2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 of Shareholders’ Equity</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tcBorders>
              <w:top w:val="single" w:sz="8" w:color="0000EE"/>
            </w:tcBorders>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 of Cash Flows</w:t>
              </w:r>
            </w:hyperlink>
          </w:p>
        </w:tc>
        <w:tc>
          <w:tcPr>
            <w:tcW w:w="2680" w:type="dxa"/>
            <w:vAlign w:val="bottom"/>
            <w:gridSpan w:val="11"/>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tcBorders>
              <w:left w:val="single" w:sz="8" w:color="0000EE"/>
            </w:tcBorders>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2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Notes to Consolidated Financial Statements</w:t>
              </w:r>
            </w:hyperlink>
          </w:p>
        </w:tc>
        <w:tc>
          <w:tcPr>
            <w:tcW w:w="342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6880" w:type="dxa"/>
            <w:vAlign w:val="bottom"/>
            <w:gridSpan w:val="22"/>
          </w:tcPr>
          <w:p>
            <w:pPr>
              <w:ind w:left="40"/>
              <w:spacing w:after="0"/>
              <w:rPr>
                <w:sz w:val="20"/>
                <w:szCs w:val="20"/>
                <w:color w:val="auto"/>
              </w:rPr>
            </w:pPr>
            <w:r>
              <w:rPr>
                <w:rFonts w:ascii="Arial" w:cs="Arial" w:eastAsia="Arial" w:hAnsi="Arial"/>
                <w:sz w:val="18"/>
                <w:szCs w:val="18"/>
                <w:color w:val="auto"/>
              </w:rPr>
              <w:t>Caesars Entertainment Outdoor:</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42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Report of Independent Registered Public Accounting Firm</w:t>
              </w:r>
            </w:hyperlink>
          </w:p>
        </w:tc>
        <w:tc>
          <w:tcPr>
            <w:tcW w:w="2380" w:type="dxa"/>
            <w:vAlign w:val="bottom"/>
            <w:gridSpan w:val="9"/>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82</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526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85">
              <w:r>
                <w:rPr>
                  <w:rFonts w:ascii="Arial" w:cs="Arial" w:eastAsia="Arial" w:hAnsi="Arial"/>
                  <w:sz w:val="18"/>
                  <w:szCs w:val="18"/>
                  <w:color w:val="0000EE"/>
                  <w:w w:val="88"/>
                </w:rPr>
                <w:t>Combined Balance Sheets as of October 5, 2017 and December 31, 2016</w:t>
              </w:r>
            </w:hyperlink>
          </w:p>
        </w:tc>
        <w:tc>
          <w:tcPr>
            <w:tcW w:w="1360" w:type="dxa"/>
            <w:vAlign w:val="bottom"/>
            <w:gridSpan w:val="6"/>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60" w:type="dxa"/>
            <w:vAlign w:val="bottom"/>
          </w:tcPr>
          <w:p>
            <w:pPr>
              <w:spacing w:after="0"/>
              <w:rPr>
                <w:sz w:val="24"/>
                <w:szCs w:val="24"/>
                <w:color w:val="auto"/>
              </w:rPr>
            </w:pPr>
          </w:p>
        </w:tc>
        <w:tc>
          <w:tcPr>
            <w:tcW w:w="6620" w:type="dxa"/>
            <w:vAlign w:val="bottom"/>
            <w:gridSpan w:val="21"/>
          </w:tcPr>
          <w:p>
            <w:pPr>
              <w:spacing w:after="0"/>
              <w:rPr>
                <w:sz w:val="20"/>
                <w:szCs w:val="20"/>
                <w:color w:val="auto"/>
              </w:rPr>
            </w:pPr>
            <w:r>
              <w:rPr>
                <w:rFonts w:ascii="Arial" w:cs="Arial" w:eastAsia="Arial" w:hAnsi="Arial"/>
                <w:sz w:val="18"/>
                <w:szCs w:val="18"/>
                <w:color w:val="auto"/>
                <w:w w:val="91"/>
              </w:rPr>
              <w:t>Period from January 1 to October 5, 2017 and Years Ended December 31, 2016 and 2015</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Combined Statements of Operations</w:t>
              </w:r>
            </w:hyperlink>
          </w:p>
        </w:tc>
        <w:tc>
          <w:tcPr>
            <w:tcW w:w="3540" w:type="dxa"/>
            <w:vAlign w:val="bottom"/>
            <w:gridSpan w:val="15"/>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84</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20" w:type="dxa"/>
            <w:vAlign w:val="bottom"/>
            <w:gridSpan w:val="19"/>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Combined Statements of Equity</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85</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20" w:type="dxa"/>
            <w:vAlign w:val="bottom"/>
            <w:gridSpan w:val="1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Combined Statements of Cash Flows</w:t>
              </w:r>
            </w:hyperlink>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86</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2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Notes to Combined Financial Statements</w:t>
              </w:r>
            </w:hyperlink>
          </w:p>
        </w:tc>
        <w:tc>
          <w:tcPr>
            <w:tcW w:w="3660" w:type="dxa"/>
            <w:vAlign w:val="bottom"/>
            <w:gridSpan w:val="16"/>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87</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920" w:type="dxa"/>
            <w:vAlign w:val="bottom"/>
            <w:gridSpan w:val="24"/>
          </w:tcPr>
          <w:p>
            <w:pPr>
              <w:ind w:left="40"/>
              <w:spacing w:after="0"/>
              <w:rPr>
                <w:sz w:val="20"/>
                <w:szCs w:val="20"/>
                <w:color w:val="auto"/>
              </w:rPr>
            </w:pPr>
            <w:r>
              <w:rPr>
                <w:rFonts w:ascii="Arial" w:cs="Arial" w:eastAsia="Arial" w:hAnsi="Arial"/>
                <w:sz w:val="18"/>
                <w:szCs w:val="18"/>
                <w:color w:val="auto"/>
                <w:w w:val="98"/>
              </w:rPr>
              <w:t>Combined Statement of Investments of Real Estate Assets to be Contributed to VICI Properties Inc.: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620" w:type="dxa"/>
            <w:vAlign w:val="bottom"/>
            <w:gridSpan w:val="2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Report of Independent Registered Public Accounting Firm</w:t>
              </w:r>
            </w:hyperlink>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8"/>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904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Combined Statement of Investments of Real Estate Assets to be Contributed to VICI Properties Inc. as of December 31, 2016</w:t>
              </w:r>
            </w:hyperlink>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904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Notes to Combined Statement of Investments of Real Estate Assets to be Contributed to VICI Properties Inc.</w:t>
              </w:r>
            </w:hyperlink>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center"/>
              <w:ind w:left="491"/>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240" w:type="dxa"/>
            <w:vAlign w:val="bottom"/>
            <w:gridSpan w:val="10"/>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80" w:type="dxa"/>
            <w:vAlign w:val="bottom"/>
            <w:gridSpan w:val="2"/>
          </w:tcPr>
          <w:p>
            <w:pPr>
              <w:spacing w:after="0"/>
              <w:rPr>
                <w:sz w:val="20"/>
                <w:szCs w:val="20"/>
                <w:color w:val="auto"/>
              </w:rPr>
            </w:pPr>
            <w:r>
              <w:rPr>
                <w:rFonts w:ascii="Arial" w:cs="Arial" w:eastAsia="Arial" w:hAnsi="Arial"/>
                <w:sz w:val="18"/>
                <w:szCs w:val="18"/>
                <w:color w:val="auto"/>
              </w:rPr>
              <w:t>(a)(2).</w:t>
            </w:r>
          </w:p>
        </w:tc>
        <w:tc>
          <w:tcPr>
            <w:tcW w:w="6300" w:type="dxa"/>
            <w:vAlign w:val="bottom"/>
            <w:gridSpan w:val="20"/>
          </w:tcPr>
          <w:p>
            <w:pPr>
              <w:ind w:left="100"/>
              <w:spacing w:after="0"/>
              <w:rPr>
                <w:sz w:val="20"/>
                <w:szCs w:val="20"/>
                <w:color w:val="auto"/>
              </w:rPr>
            </w:pPr>
            <w:r>
              <w:rPr>
                <w:rFonts w:ascii="Arial" w:cs="Arial" w:eastAsia="Arial" w:hAnsi="Arial"/>
                <w:sz w:val="18"/>
                <w:szCs w:val="18"/>
                <w:b w:val="1"/>
                <w:bCs w:val="1"/>
                <w:color w:val="auto"/>
              </w:rPr>
              <w:t>Financial Statement Schedules.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gridSpan w:val="22"/>
          </w:tcPr>
          <w:p>
            <w:pPr>
              <w:ind w:left="40"/>
              <w:spacing w:after="0"/>
              <w:rPr>
                <w:sz w:val="20"/>
                <w:szCs w:val="20"/>
                <w:color w:val="auto"/>
              </w:rPr>
            </w:pPr>
            <w:r>
              <w:rPr>
                <w:rFonts w:ascii="Arial" w:cs="Arial" w:eastAsia="Arial" w:hAnsi="Arial"/>
                <w:sz w:val="18"/>
                <w:szCs w:val="18"/>
                <w:color w:val="auto"/>
              </w:rPr>
              <w:t>VICI Properties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7540" w:type="dxa"/>
            <w:vAlign w:val="bottom"/>
            <w:gridSpan w:val="22"/>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Schedule I - Condensed Financial Information of Registrant Parent Company Only - December 31, 2017</w:t>
              </w:r>
            </w:hyperlink>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5"/>
          </w:tcPr>
          <w:p>
            <w:pPr>
              <w:jc w:val="center"/>
              <w:ind w:left="11"/>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108</w:t>
              </w:r>
            </w:hyperlink>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62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w:anchor="page114">
              <w:r>
                <w:rPr>
                  <w:rFonts w:ascii="Arial" w:cs="Arial" w:eastAsia="Arial" w:hAnsi="Arial"/>
                  <w:sz w:val="18"/>
                  <w:szCs w:val="18"/>
                  <w:color w:val="0000EE"/>
                  <w:w w:val="90"/>
                </w:rPr>
                <w:t>Schedule III - Real Estate Assets and Accumulated Depreciation - December 31, 2017</w:t>
              </w:r>
            </w:hyperlink>
          </w:p>
        </w:tc>
        <w:tc>
          <w:tcPr>
            <w:tcW w:w="400" w:type="dxa"/>
            <w:vAlign w:val="bottom"/>
            <w:tcBorders>
              <w:top w:val="single" w:sz="8" w:color="0000EE"/>
            </w:tcBorders>
            <w:gridSpan w:val="4"/>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112</w:t>
              </w:r>
            </w:hyperlink>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580" w:type="dxa"/>
            <w:vAlign w:val="bottom"/>
            <w:gridSpan w:val="2"/>
          </w:tcPr>
          <w:p>
            <w:pPr>
              <w:spacing w:after="0"/>
              <w:rPr>
                <w:sz w:val="20"/>
                <w:szCs w:val="20"/>
                <w:color w:val="auto"/>
              </w:rPr>
            </w:pPr>
            <w:r>
              <w:rPr>
                <w:rFonts w:ascii="Arial" w:cs="Arial" w:eastAsia="Arial" w:hAnsi="Arial"/>
                <w:sz w:val="18"/>
                <w:szCs w:val="18"/>
                <w:color w:val="auto"/>
              </w:rPr>
              <w:t>(a)(3).</w:t>
            </w:r>
          </w:p>
        </w:tc>
        <w:tc>
          <w:tcPr>
            <w:tcW w:w="6300" w:type="dxa"/>
            <w:vAlign w:val="bottom"/>
            <w:gridSpan w:val="20"/>
          </w:tcPr>
          <w:p>
            <w:pPr>
              <w:ind w:left="100"/>
              <w:spacing w:after="0"/>
              <w:rPr>
                <w:sz w:val="20"/>
                <w:szCs w:val="20"/>
                <w:color w:val="auto"/>
              </w:rPr>
            </w:pPr>
            <w:r>
              <w:rPr>
                <w:rFonts w:ascii="Arial" w:cs="Arial" w:eastAsia="Arial" w:hAnsi="Arial"/>
                <w:sz w:val="18"/>
                <w:szCs w:val="18"/>
                <w:b w:val="1"/>
                <w:bCs w:val="1"/>
                <w:color w:val="auto"/>
              </w:rPr>
              <w:t>Exhibits.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ind w:left="7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39"/>
        </w:trPr>
        <w:tc>
          <w:tcPr>
            <w:tcW w:w="5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740" w:type="dxa"/>
            <w:vAlign w:val="bottom"/>
            <w:gridSpan w:val="16"/>
            <w:vMerge w:val="restart"/>
          </w:tcPr>
          <w:p>
            <w:pPr>
              <w:ind w:left="1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7"/>
              </w:rPr>
              <w:t>Filed</w:t>
            </w:r>
          </w:p>
        </w:tc>
        <w:tc>
          <w:tcPr>
            <w:tcW w:w="180" w:type="dxa"/>
            <w:vAlign w:val="bottom"/>
          </w:tcPr>
          <w:p>
            <w:pPr>
              <w:spacing w:after="0"/>
              <w:rPr>
                <w:sz w:val="12"/>
                <w:szCs w:val="12"/>
                <w:color w:val="auto"/>
              </w:rPr>
            </w:pPr>
          </w:p>
        </w:tc>
        <w:tc>
          <w:tcPr>
            <w:tcW w:w="96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2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16"/>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8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6120" w:type="dxa"/>
            <w:vAlign w:val="bottom"/>
            <w:gridSpan w:val="19"/>
          </w:tcPr>
          <w:p>
            <w:pPr>
              <w:spacing w:after="0" w:line="202"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Third Amended Joint Plan of Reorganization of Caesars Entertainment Operating</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240"/>
              <w:spacing w:after="0" w:line="202" w:lineRule="exact"/>
              <w:rPr>
                <w:sz w:val="20"/>
                <w:szCs w:val="20"/>
                <w:color w:val="auto"/>
              </w:rPr>
            </w:pPr>
            <w:r>
              <w:rPr>
                <w:rFonts w:ascii="Arial" w:cs="Arial" w:eastAsia="Arial" w:hAnsi="Arial"/>
                <w:sz w:val="18"/>
                <w:szCs w:val="18"/>
                <w:color w:val="auto"/>
                <w:w w:val="97"/>
              </w:rPr>
              <w:t>T-3/A of VICI</w:t>
            </w:r>
          </w:p>
        </w:tc>
        <w:tc>
          <w:tcPr>
            <w:tcW w:w="88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3"/>
              </w:rPr>
              <w:t>T3E-2</w:t>
            </w:r>
          </w:p>
        </w:tc>
        <w:tc>
          <w:tcPr>
            <w:tcW w:w="124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89"/>
              </w:rPr>
              <w:t>8/11/2017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40" w:type="dxa"/>
            <w:vAlign w:val="bottom"/>
            <w:gridSpan w:val="10"/>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20" w:type="dxa"/>
            <w:vAlign w:val="bottom"/>
            <w:gridSpan w:val="19"/>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Company, Inc., et al., under Chapter 11 of the Bankruptcy Code, dated January 13,</w:t>
              </w:r>
            </w:hyperlink>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4"/>
          </w:tcPr>
          <w:p>
            <w:pPr>
              <w:jc w:val="center"/>
              <w:ind w:right="240"/>
              <w:spacing w:after="0" w:line="196" w:lineRule="exact"/>
              <w:rPr>
                <w:sz w:val="20"/>
                <w:szCs w:val="20"/>
                <w:color w:val="auto"/>
              </w:rPr>
            </w:pPr>
            <w:r>
              <w:rPr>
                <w:rFonts w:ascii="Arial" w:cs="Arial" w:eastAsia="Arial" w:hAnsi="Arial"/>
                <w:sz w:val="18"/>
                <w:szCs w:val="18"/>
                <w:color w:val="auto"/>
                <w:w w:val="88"/>
              </w:rPr>
              <w:t>Properties 1</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gridSpan w:val="2"/>
          </w:tcPr>
          <w:p>
            <w:pPr>
              <w:ind w:left="160"/>
              <w:spacing w:after="0" w:line="196" w:lineRule="exact"/>
              <w:rPr>
                <w:rFonts w:ascii="Arial" w:cs="Arial" w:eastAsia="Arial" w:hAnsi="Arial"/>
                <w:sz w:val="18"/>
                <w:szCs w:val="18"/>
                <w:color w:val="0000FF"/>
                <w:w w:val="84"/>
              </w:rPr>
            </w:pPr>
            <w:hyperlink r:id="rId32">
              <w:r>
                <w:rPr>
                  <w:rFonts w:ascii="Arial" w:cs="Arial" w:eastAsia="Arial" w:hAnsi="Arial"/>
                  <w:sz w:val="18"/>
                  <w:szCs w:val="18"/>
                  <w:color w:val="0000FF"/>
                  <w:w w:val="84"/>
                </w:rPr>
                <w:t>2016.</w:t>
              </w:r>
            </w:hyperlink>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3"/>
          </w:tcPr>
          <w:p>
            <w:pPr>
              <w:jc w:val="center"/>
              <w:ind w:right="420"/>
              <w:spacing w:after="0" w:line="196" w:lineRule="exact"/>
              <w:rPr>
                <w:sz w:val="20"/>
                <w:szCs w:val="20"/>
                <w:color w:val="auto"/>
              </w:rPr>
            </w:pPr>
            <w:r>
              <w:rPr>
                <w:rFonts w:ascii="Arial" w:cs="Arial" w:eastAsia="Arial" w:hAnsi="Arial"/>
                <w:sz w:val="18"/>
                <w:szCs w:val="18"/>
                <w:color w:val="auto"/>
              </w:rPr>
              <w:t>LLC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6120" w:type="dxa"/>
            <w:vAlign w:val="bottom"/>
            <w:gridSpan w:val="19"/>
          </w:tcPr>
          <w:p>
            <w:pPr>
              <w:spacing w:after="0"/>
              <w:rPr>
                <w:rFonts w:ascii="Arial" w:cs="Arial" w:eastAsia="Arial" w:hAnsi="Arial"/>
                <w:sz w:val="18"/>
                <w:szCs w:val="18"/>
                <w:color w:val="0000FF"/>
              </w:rPr>
            </w:pPr>
            <w:hyperlink r:id="rId33">
              <w:r>
                <w:rPr>
                  <w:rFonts w:ascii="Arial" w:cs="Arial" w:eastAsia="Arial" w:hAnsi="Arial"/>
                  <w:sz w:val="18"/>
                  <w:szCs w:val="18"/>
                  <w:color w:val="0000FF"/>
                </w:rPr>
                <w:t>Separation Agreement, dated as of October 6, 2017, between Caesars</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ind w:right="54"/>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Entertainment Operating Company, Inc. and VICI Properties Inc.</w:t>
              </w:r>
            </w:hyperlink>
          </w:p>
        </w:tc>
        <w:tc>
          <w:tcPr>
            <w:tcW w:w="280" w:type="dxa"/>
            <w:vAlign w:val="bottom"/>
            <w:tcBorders>
              <w:top w:val="single" w:sz="8" w:color="0000FF"/>
            </w:tcBorders>
            <w:gridSpan w:val="2"/>
          </w:tcPr>
          <w:p>
            <w:pPr>
              <w:spacing w:after="0"/>
              <w:rPr>
                <w:sz w:val="17"/>
                <w:szCs w:val="17"/>
                <w:color w:val="auto"/>
              </w:rPr>
            </w:pPr>
          </w:p>
        </w:tc>
        <w:tc>
          <w:tcPr>
            <w:tcW w:w="116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6120" w:type="dxa"/>
            <w:vAlign w:val="bottom"/>
            <w:gridSpan w:val="19"/>
          </w:tcPr>
          <w:p>
            <w:pPr>
              <w:spacing w:after="0"/>
              <w:rPr>
                <w:rFonts w:ascii="Arial" w:cs="Arial" w:eastAsia="Arial" w:hAnsi="Arial"/>
                <w:sz w:val="18"/>
                <w:szCs w:val="18"/>
                <w:color w:val="0000FF"/>
              </w:rPr>
            </w:pPr>
            <w:hyperlink r:id="rId34">
              <w:r>
                <w:rPr>
                  <w:rFonts w:ascii="Arial" w:cs="Arial" w:eastAsia="Arial" w:hAnsi="Arial"/>
                  <w:sz w:val="18"/>
                  <w:szCs w:val="18"/>
                  <w:color w:val="0000FF"/>
                </w:rPr>
                <w:t>Articles of Amendment and Restatement of VICI Properties Inc.</w:t>
              </w:r>
            </w:hyperlink>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8-K</w:t>
            </w:r>
          </w:p>
        </w:tc>
        <w:tc>
          <w:tcPr>
            <w:tcW w:w="760" w:type="dxa"/>
            <w:vAlign w:val="bottom"/>
          </w:tcPr>
          <w:p>
            <w:pPr>
              <w:jc w:val="center"/>
              <w:ind w:right="54"/>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240" w:type="dxa"/>
            <w:vAlign w:val="bottom"/>
            <w:gridSpan w:val="5"/>
          </w:tcPr>
          <w:p>
            <w:pPr>
              <w:jc w:val="center"/>
              <w:spacing w:after="0"/>
              <w:rPr>
                <w:sz w:val="20"/>
                <w:szCs w:val="20"/>
                <w:color w:val="auto"/>
              </w:rPr>
            </w:pPr>
            <w:r>
              <w:rPr>
                <w:rFonts w:ascii="Arial" w:cs="Arial" w:eastAsia="Arial" w:hAnsi="Arial"/>
                <w:sz w:val="18"/>
                <w:szCs w:val="18"/>
                <w:color w:val="auto"/>
                <w:w w:val="88"/>
              </w:rPr>
              <w:t>10/11/2017</w:t>
            </w:r>
          </w:p>
        </w:tc>
        <w:tc>
          <w:tcPr>
            <w:tcW w:w="0" w:type="dxa"/>
            <w:vAlign w:val="bottom"/>
          </w:tcPr>
          <w:p>
            <w:pPr>
              <w:spacing w:after="0"/>
              <w:rPr>
                <w:sz w:val="1"/>
                <w:szCs w:val="1"/>
                <w:color w:val="auto"/>
              </w:rPr>
            </w:pPr>
          </w:p>
        </w:tc>
      </w:tr>
      <w:tr>
        <w:trPr>
          <w:trHeight w:val="952"/>
        </w:trPr>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tcBorders>
              <w:top w:val="single" w:sz="8" w:color="0000FF"/>
            </w:tcBorders>
            <w:gridSpan w:val="11"/>
          </w:tcPr>
          <w:p>
            <w:pPr>
              <w:spacing w:after="0"/>
              <w:rPr>
                <w:sz w:val="24"/>
                <w:szCs w:val="24"/>
                <w:color w:val="auto"/>
              </w:rPr>
            </w:pPr>
          </w:p>
        </w:tc>
        <w:tc>
          <w:tcPr>
            <w:tcW w:w="1100" w:type="dxa"/>
            <w:vAlign w:val="bottom"/>
            <w:gridSpan w:val="4"/>
          </w:tcPr>
          <w:p>
            <w:pPr>
              <w:jc w:val="right"/>
              <w:ind w:right="6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105" w:name="page106"/>
    <w:bookmarkEnd w:id="105"/>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35">
        <w:r>
          <w:rPr>
            <w:rFonts w:ascii="Arial" w:cs="Arial" w:eastAsia="Arial" w:hAnsi="Arial"/>
            <w:sz w:val="16"/>
            <w:szCs w:val="16"/>
            <w:u w:val="single" w:color="auto"/>
            <w:color w:val="0000FF"/>
          </w:rPr>
          <w:t>Amended and Restated Bylaws of VICI Properties Inc.</w:t>
        </w:r>
      </w:hyperlink>
    </w:p>
    <w:p>
      <w:pPr>
        <w:spacing w:after="0" w:line="185" w:lineRule="exact"/>
        <w:rPr>
          <w:sz w:val="20"/>
          <w:szCs w:val="20"/>
          <w:color w:val="auto"/>
        </w:rPr>
      </w:pPr>
    </w:p>
    <w:p>
      <w:pPr>
        <w:ind w:left="560" w:right="820" w:hanging="550"/>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6">
        <w:r>
          <w:rPr>
            <w:rFonts w:ascii="Arial" w:cs="Arial" w:eastAsia="Arial" w:hAnsi="Arial"/>
            <w:sz w:val="18"/>
            <w:szCs w:val="18"/>
            <w:u w:val="single" w:color="auto"/>
            <w:color w:val="0000FF"/>
          </w:rPr>
          <w:t>Indenture, dated as of October 6, 2017, by and among VICI Properties 1 LLC,</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VICI FC Inc., the subsidiary guarantors party thereto from time to time, and UMB</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Bank, National Association, as trustee, governing the First-Priority Senior Secured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Floating Rate Notes due 2022.</w:t>
        </w:r>
      </w:hyperlink>
    </w:p>
    <w:p>
      <w:pPr>
        <w:spacing w:after="0" w:line="146" w:lineRule="exact"/>
        <w:rPr>
          <w:rFonts w:ascii="Arial" w:cs="Arial" w:eastAsia="Arial" w:hAnsi="Arial"/>
          <w:sz w:val="18"/>
          <w:szCs w:val="18"/>
          <w:u w:val="single" w:color="auto"/>
          <w:color w:val="0000FF"/>
        </w:rPr>
      </w:pPr>
    </w:p>
    <w:p>
      <w:pPr>
        <w:ind w:left="560" w:right="820" w:hanging="550"/>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7">
        <w:r>
          <w:rPr>
            <w:rFonts w:ascii="Arial" w:cs="Arial" w:eastAsia="Arial" w:hAnsi="Arial"/>
            <w:sz w:val="18"/>
            <w:szCs w:val="18"/>
            <w:u w:val="single" w:color="auto"/>
            <w:color w:val="0000FF"/>
          </w:rPr>
          <w:t>Indenture, dated as of October 6, 2017, by and among VICI Properties 1 LLC,</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VICI FC Inc., the subsidiary guarantors party thereto from time to time, and UMB</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Bank, National Association, as trustee, governing the 8.0% Second-Priority Senior</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Secured Notes due 2023.</w:t>
        </w:r>
      </w:hyperlink>
    </w:p>
    <w:p>
      <w:pPr>
        <w:spacing w:after="0" w:line="146" w:lineRule="exact"/>
        <w:rPr>
          <w:rFonts w:ascii="Arial" w:cs="Arial" w:eastAsia="Arial" w:hAnsi="Arial"/>
          <w:sz w:val="18"/>
          <w:szCs w:val="18"/>
          <w:u w:val="single" w:color="auto"/>
          <w:color w:val="0000FF"/>
        </w:rPr>
      </w:pPr>
    </w:p>
    <w:p>
      <w:pPr>
        <w:ind w:left="560" w:right="1360" w:hanging="550"/>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38">
        <w:r>
          <w:rPr>
            <w:rFonts w:ascii="Arial" w:cs="Arial" w:eastAsia="Arial" w:hAnsi="Arial"/>
            <w:sz w:val="18"/>
            <w:szCs w:val="18"/>
            <w:u w:val="single" w:color="auto"/>
            <w:color w:val="0000FF"/>
          </w:rPr>
          <w:t>Registration Rights Agreement, dated as of October 6, 2017, between VICI</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Properties Inc. and the holders named therein.</w:t>
        </w:r>
      </w:hyperlink>
    </w:p>
    <w:p>
      <w:pPr>
        <w:spacing w:after="0" w:line="130" w:lineRule="exact"/>
        <w:rPr>
          <w:sz w:val="20"/>
          <w:szCs w:val="20"/>
          <w:color w:val="auto"/>
        </w:rPr>
      </w:pPr>
    </w:p>
    <w:p>
      <w:pPr>
        <w:ind w:left="560" w:right="1100" w:hanging="550"/>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39">
        <w:r>
          <w:rPr>
            <w:rFonts w:ascii="Arial" w:cs="Arial" w:eastAsia="Arial" w:hAnsi="Arial"/>
            <w:sz w:val="18"/>
            <w:szCs w:val="18"/>
            <w:u w:val="single" w:color="auto"/>
            <w:color w:val="0000FF"/>
          </w:rPr>
          <w:t>Registration Rights Agreement, dated as of December 22, 2017, between VICI</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Properties Inc. and the other parties named therein.</w:t>
        </w:r>
      </w:hyperlink>
    </w:p>
    <w:p>
      <w:pPr>
        <w:spacing w:after="0" w:line="130" w:lineRule="exact"/>
        <w:rPr>
          <w:sz w:val="20"/>
          <w:szCs w:val="20"/>
          <w:color w:val="auto"/>
        </w:rPr>
      </w:pPr>
    </w:p>
    <w:p>
      <w:pPr>
        <w:ind w:left="560" w:right="880" w:hanging="595"/>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0">
        <w:r>
          <w:rPr>
            <w:rFonts w:ascii="Arial" w:cs="Arial" w:eastAsia="Arial" w:hAnsi="Arial"/>
            <w:sz w:val="18"/>
            <w:szCs w:val="18"/>
            <w:u w:val="single" w:color="auto"/>
            <w:color w:val="0000FF"/>
          </w:rPr>
          <w:t>Lease (CPLV), dated as of October 6, 2017, by and among CPLV Property Owner</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LLC, Desert Palace LLC, Caesars Entertainment Operating Company, Inc. and</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CEOC, LLC, relating to the CPLV Facilities.</w:t>
        </w:r>
      </w:hyperlink>
    </w:p>
    <w:p>
      <w:pPr>
        <w:spacing w:after="0" w:line="141" w:lineRule="exact"/>
        <w:rPr>
          <w:rFonts w:ascii="Arial" w:cs="Arial" w:eastAsia="Arial" w:hAnsi="Arial"/>
          <w:sz w:val="18"/>
          <w:szCs w:val="18"/>
          <w:u w:val="single" w:color="auto"/>
          <w:color w:val="0000FF"/>
        </w:rPr>
      </w:pPr>
    </w:p>
    <w:p>
      <w:pPr>
        <w:ind w:left="560" w:right="940" w:hanging="595"/>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1">
        <w:r>
          <w:rPr>
            <w:rFonts w:ascii="Arial" w:cs="Arial" w:eastAsia="Arial" w:hAnsi="Arial"/>
            <w:sz w:val="18"/>
            <w:szCs w:val="18"/>
            <w:u w:val="single" w:color="auto"/>
            <w:color w:val="0000FF"/>
          </w:rPr>
          <w:t>Lease (Non-CPLV), dated as of October 6, 2017, by and among the entities listed</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on Schedules A and B thereto and CEOC, LLC, relating to the Non-CPLV</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Facilities.</w:t>
        </w:r>
      </w:hyperlink>
    </w:p>
    <w:p>
      <w:pPr>
        <w:spacing w:after="0" w:line="141" w:lineRule="exact"/>
        <w:rPr>
          <w:rFonts w:ascii="Arial" w:cs="Arial" w:eastAsia="Arial" w:hAnsi="Arial"/>
          <w:sz w:val="18"/>
          <w:szCs w:val="18"/>
          <w:u w:val="single" w:color="auto"/>
          <w:color w:val="0000FF"/>
        </w:rPr>
      </w:pPr>
    </w:p>
    <w:p>
      <w:pPr>
        <w:ind w:left="560" w:right="820" w:hanging="595"/>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2">
        <w:r>
          <w:rPr>
            <w:rFonts w:ascii="Arial" w:cs="Arial" w:eastAsia="Arial" w:hAnsi="Arial"/>
            <w:sz w:val="18"/>
            <w:szCs w:val="18"/>
            <w:u w:val="single" w:color="auto"/>
            <w:color w:val="0000FF"/>
          </w:rPr>
          <w:t>Lease (Joliet), dated as of October 6, 2017, by and between Harrah’s Joliet Landco</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LLC and Des Plaines Development Limited Partnership, relating to the Joliet</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Facilities.</w:t>
        </w:r>
      </w:hyperlink>
    </w:p>
    <w:p>
      <w:pPr>
        <w:spacing w:after="0" w:line="141" w:lineRule="exact"/>
        <w:rPr>
          <w:rFonts w:ascii="Arial" w:cs="Arial" w:eastAsia="Arial" w:hAnsi="Arial"/>
          <w:sz w:val="18"/>
          <w:szCs w:val="18"/>
          <w:u w:val="single" w:color="auto"/>
          <w:color w:val="0000FF"/>
        </w:rPr>
      </w:pPr>
    </w:p>
    <w:p>
      <w:pPr>
        <w:ind w:left="560" w:right="820" w:hanging="595"/>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43">
        <w:r>
          <w:rPr>
            <w:rFonts w:ascii="Arial" w:cs="Arial" w:eastAsia="Arial" w:hAnsi="Arial"/>
            <w:sz w:val="18"/>
            <w:szCs w:val="18"/>
            <w:u w:val="single" w:color="auto"/>
            <w:color w:val="0000FF"/>
          </w:rPr>
          <w:t>Golf Course Use Agreement, dated as of October 6, 2017, by and among Rio</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Secco LLC, Cascata LLC, Chariot Run LLC, Grand Bear LLC, Caesars Enterprise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Services, LLC, CEOC, LLC and, solely for purposes of Section 2.1(c) thereof,</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Caesars License Company, LLC.</w:t>
        </w:r>
      </w:hyperlink>
    </w:p>
    <w:p>
      <w:pPr>
        <w:spacing w:after="0" w:line="146" w:lineRule="exact"/>
        <w:rPr>
          <w:rFonts w:ascii="Arial" w:cs="Arial" w:eastAsia="Arial" w:hAnsi="Arial"/>
          <w:sz w:val="18"/>
          <w:szCs w:val="18"/>
          <w:u w:val="single" w:color="auto"/>
          <w:color w:val="0000FF"/>
        </w:rPr>
      </w:pPr>
    </w:p>
    <w:p>
      <w:pPr>
        <w:ind w:left="560" w:right="900" w:hanging="595"/>
        <w:spacing w:after="0" w:line="273"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44">
        <w:r>
          <w:rPr>
            <w:rFonts w:ascii="Arial" w:cs="Arial" w:eastAsia="Arial" w:hAnsi="Arial"/>
            <w:sz w:val="17"/>
            <w:szCs w:val="17"/>
            <w:u w:val="single" w:color="auto"/>
            <w:color w:val="0000FF"/>
          </w:rPr>
          <w:t>Management and Lease Support Agreement, dated as of October 6, 2017, by and</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among Desert Palace LLC, Caesars Entertainment Operating Company, Inc.,</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CEOC, LLC, CPLV Manager, LLC, Caesars Entertainment Corporation, CPLV</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Property Owner LLC, and solely for certain articles and sections named therein,</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Caesars License Company, LLC and Caesars Enterprise Services, LLC relating to</w:t>
        </w:r>
      </w:hyperlink>
      <w:r>
        <w:rPr>
          <w:rFonts w:ascii="Arial" w:cs="Arial" w:eastAsia="Arial" w:hAnsi="Arial"/>
          <w:sz w:val="17"/>
          <w:szCs w:val="17"/>
          <w:u w:val="single" w:color="auto"/>
          <w:color w:val="0000FF"/>
        </w:rPr>
        <w:t xml:space="preserve"> </w:t>
      </w:r>
      <w:hyperlink r:id="rId44">
        <w:r>
          <w:rPr>
            <w:rFonts w:ascii="Arial" w:cs="Arial" w:eastAsia="Arial" w:hAnsi="Arial"/>
            <w:sz w:val="17"/>
            <w:szCs w:val="17"/>
            <w:u w:val="single" w:color="auto"/>
            <w:color w:val="0000FF"/>
          </w:rPr>
          <w:t>the CPLV Facilities.</w:t>
        </w:r>
      </w:hyperlink>
    </w:p>
    <w:p>
      <w:pPr>
        <w:spacing w:after="0" w:line="138" w:lineRule="exact"/>
        <w:rPr>
          <w:rFonts w:ascii="Arial" w:cs="Arial" w:eastAsia="Arial" w:hAnsi="Arial"/>
          <w:sz w:val="17"/>
          <w:szCs w:val="17"/>
          <w:u w:val="single" w:color="auto"/>
          <w:color w:val="0000FF"/>
        </w:rPr>
      </w:pPr>
    </w:p>
    <w:p>
      <w:pPr>
        <w:ind w:left="560" w:right="820" w:hanging="595"/>
        <w:spacing w:after="0" w:line="25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5">
        <w:r>
          <w:rPr>
            <w:rFonts w:ascii="Arial" w:cs="Arial" w:eastAsia="Arial" w:hAnsi="Arial"/>
            <w:sz w:val="18"/>
            <w:szCs w:val="18"/>
            <w:u w:val="single" w:color="auto"/>
            <w:color w:val="0000FF"/>
          </w:rPr>
          <w:t>Management and Lease Support Agreement, dated as of October 6, 2017, by and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among CEOC, LLC, the entities listed therein, Non-CPLV Manager, LLC, Caesars</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Entertainment Corporation and solely for certain articles and sections named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therein, Caesars License Company, LLC and Caesars Enterprise Services, LLC</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relating to the Non-CPLV Facilities.</w:t>
        </w:r>
      </w:hyperlink>
    </w:p>
    <w:p>
      <w:pPr>
        <w:spacing w:after="0" w:line="148" w:lineRule="exact"/>
        <w:rPr>
          <w:rFonts w:ascii="Arial" w:cs="Arial" w:eastAsia="Arial" w:hAnsi="Arial"/>
          <w:sz w:val="18"/>
          <w:szCs w:val="18"/>
          <w:u w:val="single" w:color="auto"/>
          <w:color w:val="0000FF"/>
        </w:rPr>
      </w:pPr>
    </w:p>
    <w:p>
      <w:pPr>
        <w:ind w:left="560" w:right="960" w:hanging="595"/>
        <w:spacing w:after="0" w:line="297" w:lineRule="auto"/>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46">
        <w:r>
          <w:rPr>
            <w:rFonts w:ascii="Arial" w:cs="Arial" w:eastAsia="Arial" w:hAnsi="Arial"/>
            <w:sz w:val="16"/>
            <w:szCs w:val="16"/>
            <w:u w:val="single" w:color="auto"/>
            <w:color w:val="0000FF"/>
          </w:rPr>
          <w:t>Management and Lease Support Agreement, dated as of October 6, 2017, by and</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among Des Plaines Development Limited Partnership, Joliet Manager, LLC,</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Caesars Entertainment Corporation, Harrah’s Joliet Landco LLC and solely for</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certain articles and sections named therein, Caesars License Company, LLC and</w:t>
        </w:r>
      </w:hyperlink>
      <w:r>
        <w:rPr>
          <w:rFonts w:ascii="Arial" w:cs="Arial" w:eastAsia="Arial" w:hAnsi="Arial"/>
          <w:sz w:val="16"/>
          <w:szCs w:val="16"/>
          <w:u w:val="single" w:color="auto"/>
          <w:color w:val="0000FF"/>
        </w:rPr>
        <w:t xml:space="preserve"> </w:t>
      </w:r>
      <w:hyperlink r:id="rId46">
        <w:r>
          <w:rPr>
            <w:rFonts w:ascii="Arial" w:cs="Arial" w:eastAsia="Arial" w:hAnsi="Arial"/>
            <w:sz w:val="16"/>
            <w:szCs w:val="16"/>
            <w:u w:val="single" w:color="auto"/>
            <w:color w:val="0000FF"/>
          </w:rPr>
          <w:t>Caesars Enterprise Services, LLC relating to the Joliet Facilities.</w:t>
        </w:r>
      </w:hyperlink>
    </w:p>
    <w:p>
      <w:pPr>
        <w:spacing w:after="0" w:line="118" w:lineRule="exact"/>
        <w:rPr>
          <w:rFonts w:ascii="Arial" w:cs="Arial" w:eastAsia="Arial" w:hAnsi="Arial"/>
          <w:sz w:val="16"/>
          <w:szCs w:val="16"/>
          <w:u w:val="single" w:color="auto"/>
          <w:color w:val="0000FF"/>
        </w:rPr>
      </w:pPr>
    </w:p>
    <w:p>
      <w:pPr>
        <w:ind w:left="560" w:right="1000" w:hanging="595"/>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47">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Properties L.P. and Caesars Entertainment Corporation relating to Harrah’s New</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Orleans.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392"/>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040"/>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040"/>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608"/>
        </w:trPr>
        <w:tc>
          <w:tcPr>
            <w:tcW w:w="860" w:type="dxa"/>
            <w:vAlign w:val="bottom"/>
          </w:tcPr>
          <w:p>
            <w:pPr>
              <w:jc w:val="center"/>
              <w:ind w:right="270"/>
              <w:spacing w:after="0"/>
              <w:rPr>
                <w:sz w:val="20"/>
                <w:szCs w:val="20"/>
                <w:color w:val="auto"/>
              </w:rPr>
            </w:pPr>
            <w:r>
              <w:rPr>
                <w:rFonts w:ascii="Arial" w:cs="Arial" w:eastAsia="Arial" w:hAnsi="Arial"/>
                <w:sz w:val="18"/>
                <w:szCs w:val="18"/>
                <w:color w:val="auto"/>
                <w:w w:val="90"/>
              </w:rPr>
              <w:t>S-11/A</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9"/>
              </w:rPr>
              <w:t>1/17/2018</w:t>
            </w:r>
          </w:p>
        </w:tc>
      </w:tr>
      <w:tr>
        <w:trPr>
          <w:trHeight w:val="608"/>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824"/>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824"/>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824"/>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040"/>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472"/>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256"/>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r>
        <w:trPr>
          <w:trHeight w:val="1256"/>
        </w:trPr>
        <w:tc>
          <w:tcPr>
            <w:tcW w:w="86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88"/>
              </w:rPr>
              <w:t>10/11/2017</w:t>
            </w:r>
          </w:p>
        </w:tc>
      </w:tr>
    </w:tbl>
    <w:p>
      <w:pPr>
        <w:spacing w:after="0" w:line="652" w:lineRule="exact"/>
        <w:rPr>
          <w:rFonts w:ascii="Arial" w:cs="Arial" w:eastAsia="Arial" w:hAnsi="Arial"/>
          <w:sz w:val="18"/>
          <w:szCs w:val="18"/>
          <w:u w:val="single" w:color="auto"/>
          <w:color w:val="0000FF"/>
        </w:rPr>
      </w:pPr>
    </w:p>
    <w:p>
      <w:pPr>
        <w:sectPr>
          <w:pgSz w:w="11900" w:h="16838" w:orient="portrait"/>
          <w:cols w:equalWidth="0" w:num="2">
            <w:col w:w="7340" w:space="720"/>
            <w:col w:w="2960"/>
          </w:cols>
          <w:pgMar w:left="420" w:top="962" w:right="459" w:bottom="1440" w:gutter="0" w:footer="0" w:header="0"/>
        </w:sectPr>
      </w:pPr>
    </w:p>
    <w:p>
      <w:pPr>
        <w:spacing w:after="0" w:line="200" w:lineRule="exact"/>
        <w:rPr>
          <w:rFonts w:ascii="Arial" w:cs="Arial" w:eastAsia="Arial" w:hAnsi="Arial"/>
          <w:sz w:val="18"/>
          <w:szCs w:val="18"/>
          <w:u w:val="single" w:color="auto"/>
          <w:color w:val="0000FF"/>
        </w:rPr>
      </w:pPr>
    </w:p>
    <w:p>
      <w:pPr>
        <w:spacing w:after="0" w:line="281"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020"/>
          </w:cols>
          <w:pgMar w:left="420" w:top="962" w:right="459" w:bottom="1440" w:gutter="0" w:footer="0" w:header="0"/>
          <w:type w:val="continuous"/>
        </w:sectPr>
      </w:pPr>
    </w:p>
    <w:bookmarkStart w:id="106" w:name="page107"/>
    <w:bookmarkEnd w:id="106"/>
    <w:p>
      <w:pPr>
        <w:jc w:val="both"/>
        <w:ind w:right="1500" w:hanging="595"/>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 xml:space="preserve"> </w:t>
      </w:r>
      <w:hyperlink r:id="rId48">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Laughlin.</w:t>
        </w:r>
      </w:hyperlink>
    </w:p>
    <w:p>
      <w:pPr>
        <w:spacing w:after="0" w:line="141" w:lineRule="exact"/>
        <w:rPr>
          <w:rFonts w:ascii="Arial" w:cs="Arial" w:eastAsia="Arial" w:hAnsi="Arial"/>
          <w:sz w:val="18"/>
          <w:szCs w:val="18"/>
          <w:u w:val="single" w:color="auto"/>
          <w:color w:val="0000FF"/>
        </w:rPr>
      </w:pPr>
    </w:p>
    <w:p>
      <w:pPr>
        <w:jc w:val="both"/>
        <w:ind w:right="1500" w:hanging="641"/>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 xml:space="preserve"> </w:t>
      </w:r>
      <w:hyperlink r:id="rId49">
        <w:r>
          <w:rPr>
            <w:rFonts w:ascii="Arial" w:cs="Arial" w:eastAsia="Arial" w:hAnsi="Arial"/>
            <w:sz w:val="18"/>
            <w:szCs w:val="18"/>
            <w:u w:val="single" w:color="auto"/>
            <w:color w:val="0000FF"/>
          </w:rPr>
          <w:t>Call Right Agreement, dated as of October 6, 2017, by and between VICI</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Properties L.P. and Caesars Entertainment Corporation relating to Harrah’s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Atlantic City.</w:t>
        </w:r>
      </w:hyperlink>
    </w:p>
    <w:p>
      <w:pPr>
        <w:spacing w:after="0" w:line="141" w:lineRule="exact"/>
        <w:rPr>
          <w:rFonts w:ascii="Arial" w:cs="Arial" w:eastAsia="Arial" w:hAnsi="Arial"/>
          <w:sz w:val="18"/>
          <w:szCs w:val="18"/>
          <w:u w:val="single" w:color="auto"/>
          <w:color w:val="0000FF"/>
        </w:rPr>
      </w:pPr>
    </w:p>
    <w:p>
      <w:pPr>
        <w:ind w:right="1160" w:hanging="637"/>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 xml:space="preserve"> </w:t>
      </w:r>
      <w:hyperlink r:id="rId50">
        <w:r>
          <w:rPr>
            <w:rFonts w:ascii="Arial" w:cs="Arial" w:eastAsia="Arial" w:hAnsi="Arial"/>
            <w:sz w:val="18"/>
            <w:szCs w:val="18"/>
            <w:u w:val="single" w:color="auto"/>
            <w:color w:val="0000FF"/>
          </w:rPr>
          <w:t>Tax Matters Agreement, dated as of October 6, 2017, by and among Caesars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Entertainment Corporation, CEOC, LLC, VICI Properties Inc., VICI Properties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L.P. and CPLV Property Owner LLC.</w:t>
        </w:r>
      </w:hyperlink>
    </w:p>
    <w:p>
      <w:pPr>
        <w:spacing w:after="0" w:line="141" w:lineRule="exact"/>
        <w:rPr>
          <w:rFonts w:ascii="Arial" w:cs="Arial" w:eastAsia="Arial" w:hAnsi="Arial"/>
          <w:sz w:val="18"/>
          <w:szCs w:val="18"/>
          <w:u w:val="single" w:color="auto"/>
          <w:color w:val="0000FF"/>
        </w:rPr>
      </w:pPr>
    </w:p>
    <w:p>
      <w:pPr>
        <w:ind w:right="1000" w:hanging="641"/>
        <w:spacing w:after="0" w:line="279" w:lineRule="auto"/>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 xml:space="preserve"> </w:t>
      </w:r>
      <w:hyperlink r:id="rId51">
        <w:r>
          <w:rPr>
            <w:rFonts w:ascii="Arial" w:cs="Arial" w:eastAsia="Arial" w:hAnsi="Arial"/>
            <w:sz w:val="17"/>
            <w:szCs w:val="17"/>
            <w:u w:val="single" w:color="auto"/>
            <w:color w:val="0000FF"/>
          </w:rPr>
          <w:t>Loan Agreement, dated as of October 6, 2017, by and among CPLV Property</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Owner LLC, as borrower, JPMorgan Chase Bank, National Association, Barclays</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Bank PLC, Goldman Sachs Mortgage Company and Morgan Stanley Bank, N.A.,</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as lenders, governing the CPLV CMBS Debt.</w:t>
        </w:r>
      </w:hyperlink>
    </w:p>
    <w:p>
      <w:pPr>
        <w:spacing w:after="0" w:line="131" w:lineRule="exact"/>
        <w:rPr>
          <w:rFonts w:ascii="Arial" w:cs="Arial" w:eastAsia="Arial" w:hAnsi="Arial"/>
          <w:sz w:val="17"/>
          <w:szCs w:val="17"/>
          <w:u w:val="single" w:color="auto"/>
          <w:color w:val="0000FF"/>
        </w:rPr>
      </w:pPr>
    </w:p>
    <w:p>
      <w:pPr>
        <w:ind w:right="1000" w:hanging="641"/>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 xml:space="preserve"> </w:t>
      </w:r>
      <w:hyperlink r:id="rId52">
        <w:r>
          <w:rPr>
            <w:rFonts w:ascii="Arial" w:cs="Arial" w:eastAsia="Arial" w:hAnsi="Arial"/>
            <w:sz w:val="18"/>
            <w:szCs w:val="18"/>
            <w:u w:val="single" w:color="auto"/>
            <w:color w:val="0000FF"/>
          </w:rPr>
          <w:t>Mezzanine C Loan Agreement, dated as of October 6, 2017, by and among CPLV</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Mezz 3 LLC, Wilmington Savings Fund Society, FSB, as Administrative Agent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and Collateral Agent, and the lenders party thereto, governing the junior</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mezzanine debt.</w:t>
        </w:r>
      </w:hyperlink>
    </w:p>
    <w:p>
      <w:pPr>
        <w:spacing w:after="0" w:line="146" w:lineRule="exact"/>
        <w:rPr>
          <w:rFonts w:ascii="Arial" w:cs="Arial" w:eastAsia="Arial" w:hAnsi="Arial"/>
          <w:sz w:val="18"/>
          <w:szCs w:val="18"/>
          <w:u w:val="single" w:color="auto"/>
          <w:color w:val="0000FF"/>
        </w:rPr>
      </w:pPr>
    </w:p>
    <w:p>
      <w:pPr>
        <w:ind w:right="1000" w:hanging="641"/>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 xml:space="preserve"> </w:t>
      </w:r>
      <w:hyperlink r:id="rId53">
        <w:r>
          <w:rPr>
            <w:rFonts w:ascii="Arial" w:cs="Arial" w:eastAsia="Arial" w:hAnsi="Arial"/>
            <w:sz w:val="18"/>
            <w:szCs w:val="18"/>
            <w:u w:val="single" w:color="auto"/>
            <w:color w:val="0000FF"/>
          </w:rPr>
          <w:t>Mezzanine B Loan Agreement, dated as of October 6, 2017, by and among CPLV</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Mezz 2 LLC, Wilmington Savings Fund Society, FSB, as Administrative Agent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and Collateral Agent, and the lenders party thereto, governing the intermediate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mezzanine debt.</w:t>
        </w:r>
      </w:hyperlink>
    </w:p>
    <w:p>
      <w:pPr>
        <w:spacing w:after="0" w:line="146" w:lineRule="exact"/>
        <w:rPr>
          <w:rFonts w:ascii="Arial" w:cs="Arial" w:eastAsia="Arial" w:hAnsi="Arial"/>
          <w:sz w:val="18"/>
          <w:szCs w:val="18"/>
          <w:u w:val="single" w:color="auto"/>
          <w:color w:val="0000FF"/>
        </w:rPr>
      </w:pPr>
    </w:p>
    <w:p>
      <w:pPr>
        <w:ind w:right="980" w:hanging="641"/>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 xml:space="preserve"> </w:t>
      </w:r>
      <w:hyperlink r:id="rId54">
        <w:r>
          <w:rPr>
            <w:rFonts w:ascii="Arial" w:cs="Arial" w:eastAsia="Arial" w:hAnsi="Arial"/>
            <w:sz w:val="18"/>
            <w:szCs w:val="18"/>
            <w:u w:val="single" w:color="auto"/>
            <w:color w:val="0000FF"/>
          </w:rPr>
          <w:t>Mezzanine A Loan Agreement, dated as of October 6, 2017, by and among CPLV</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Mezz 1 LLC, Wilmington Savings Fund Society, FSB, as Administrative Agent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and Collateral Agent, and the lenders party thereto, governing the senior</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mezzanine debt.</w:t>
        </w:r>
      </w:hyperlink>
    </w:p>
    <w:p>
      <w:pPr>
        <w:spacing w:after="0" w:line="146" w:lineRule="exact"/>
        <w:rPr>
          <w:rFonts w:ascii="Arial" w:cs="Arial" w:eastAsia="Arial" w:hAnsi="Arial"/>
          <w:sz w:val="18"/>
          <w:szCs w:val="18"/>
          <w:u w:val="single" w:color="auto"/>
          <w:color w:val="0000FF"/>
        </w:rPr>
      </w:pPr>
    </w:p>
    <w:p>
      <w:pPr>
        <w:ind w:right="1060" w:hanging="641"/>
        <w:spacing w:after="0" w:line="277" w:lineRule="auto"/>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 xml:space="preserve"> </w:t>
      </w:r>
      <w:hyperlink r:id="rId55">
        <w:r>
          <w:rPr>
            <w:rFonts w:ascii="Arial" w:cs="Arial" w:eastAsia="Arial" w:hAnsi="Arial"/>
            <w:sz w:val="18"/>
            <w:szCs w:val="18"/>
            <w:u w:val="single" w:color="auto"/>
            <w:color w:val="0000FF"/>
          </w:rPr>
          <w:t>Mandatory Conversion Implementation Agreement, dated as of October 6, 2017,</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by and between VICI Properties Inc. and CPLV Mezz 3 LLC.</w:t>
        </w:r>
      </w:hyperlink>
    </w:p>
    <w:p>
      <w:pPr>
        <w:spacing w:after="0" w:line="130" w:lineRule="exact"/>
        <w:rPr>
          <w:sz w:val="20"/>
          <w:szCs w:val="20"/>
          <w:color w:val="auto"/>
        </w:rPr>
      </w:pPr>
    </w:p>
    <w:p>
      <w:pPr>
        <w:jc w:val="both"/>
        <w:ind w:right="960" w:hanging="641"/>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 xml:space="preserve"> </w:t>
      </w:r>
      <w:hyperlink r:id="rId56">
        <w:r>
          <w:rPr>
            <w:rFonts w:ascii="Arial" w:cs="Arial" w:eastAsia="Arial" w:hAnsi="Arial"/>
            <w:sz w:val="18"/>
            <w:szCs w:val="18"/>
            <w:u w:val="single" w:color="auto"/>
            <w:color w:val="0000FF"/>
          </w:rPr>
          <w:t>First Lien Credit Agreement, dated as of October 6, 2017, among VICI Properties</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1 LLC, as the Borrower, the lenders party thereto, and Wilmington Trust, National</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Association, as Administrative Agent.</w:t>
        </w:r>
      </w:hyperlink>
    </w:p>
    <w:p>
      <w:pPr>
        <w:spacing w:after="0" w:line="141" w:lineRule="exact"/>
        <w:rPr>
          <w:rFonts w:ascii="Arial" w:cs="Arial" w:eastAsia="Arial" w:hAnsi="Arial"/>
          <w:sz w:val="18"/>
          <w:szCs w:val="18"/>
          <w:u w:val="single" w:color="auto"/>
          <w:color w:val="0000FF"/>
        </w:rPr>
      </w:pPr>
    </w:p>
    <w:p>
      <w:pPr>
        <w:ind w:right="940" w:hanging="641"/>
        <w:spacing w:after="0" w:line="255" w:lineRule="auto"/>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 xml:space="preserve"> </w:t>
      </w:r>
      <w:hyperlink r:id="rId57">
        <w:r>
          <w:rPr>
            <w:rFonts w:ascii="Arial" w:cs="Arial" w:eastAsia="Arial" w:hAnsi="Arial"/>
            <w:sz w:val="18"/>
            <w:szCs w:val="18"/>
            <w:u w:val="single" w:color="auto"/>
            <w:color w:val="0000FF"/>
          </w:rPr>
          <w:t>First Lien Intercreditor Agreement, dated as of October 6, 2017, among VICI</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Properties 1 LLC and VICI FC Inc., as the Borrowers, Wilmington Trust, National</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Association, as Collateral Agent and Authorized Representative under the Credit</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Agreement, UMB Bank, National Association, as the Initial Other Authorized</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Representative, and each additional Authorized Representative from time to time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party thereto.</w:t>
        </w:r>
      </w:hyperlink>
    </w:p>
    <w:p>
      <w:pPr>
        <w:spacing w:after="0" w:line="369" w:lineRule="exact"/>
        <w:rPr>
          <w:rFonts w:ascii="Arial" w:cs="Arial" w:eastAsia="Arial" w:hAnsi="Arial"/>
          <w:sz w:val="18"/>
          <w:szCs w:val="18"/>
          <w:u w:val="single" w:color="auto"/>
          <w:color w:val="0000FF"/>
        </w:rPr>
      </w:pPr>
    </w:p>
    <w:p>
      <w:pPr>
        <w:ind w:right="1120" w:hanging="641"/>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 xml:space="preserve"> </w:t>
      </w:r>
      <w:hyperlink r:id="rId58">
        <w:r>
          <w:rPr>
            <w:rFonts w:ascii="Arial" w:cs="Arial" w:eastAsia="Arial" w:hAnsi="Arial"/>
            <w:sz w:val="18"/>
            <w:szCs w:val="18"/>
            <w:u w:val="single" w:color="auto"/>
            <w:color w:val="0000FF"/>
          </w:rPr>
          <w:t>First Lien Collateral Agreement, dated as of October 6, 2017, among VICI</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Properties 1 LLC, VICI FC Inc., each Subsidiary Party thereto, and Wilmington</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Trust, National Association, as Collateral Agent.</w:t>
        </w:r>
      </w:hyperlink>
    </w:p>
    <w:p>
      <w:pPr>
        <w:spacing w:after="0" w:line="141" w:lineRule="exact"/>
        <w:rPr>
          <w:rFonts w:ascii="Arial" w:cs="Arial" w:eastAsia="Arial" w:hAnsi="Arial"/>
          <w:sz w:val="18"/>
          <w:szCs w:val="18"/>
          <w:u w:val="single" w:color="auto"/>
          <w:color w:val="0000FF"/>
        </w:rPr>
      </w:pPr>
    </w:p>
    <w:p>
      <w:pPr>
        <w:ind w:right="940" w:hanging="641"/>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10.20</w:t>
      </w:r>
      <w:r>
        <w:rPr>
          <w:sz w:val="20"/>
          <w:szCs w:val="20"/>
          <w:color w:val="auto"/>
        </w:rPr>
        <w:t xml:space="preserve"> </w:t>
      </w:r>
      <w:hyperlink r:id="rId59">
        <w:r>
          <w:rPr>
            <w:rFonts w:ascii="Arial" w:cs="Arial" w:eastAsia="Arial" w:hAnsi="Arial"/>
            <w:sz w:val="17"/>
            <w:szCs w:val="17"/>
            <w:u w:val="single" w:color="auto"/>
            <w:color w:val="0000FF"/>
          </w:rPr>
          <w:t>Second Lien Intercreditor Agreement, dated as of October 6, 2017, among VICI</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Properties 1 LLC and VICI FC Inc., as the Borrowers, Wilmington Trust, National</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Association, as Credit Agreement Agent, UMB Bank, National Association, as the</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Initial Other First Priority Lien Obligations Agent, and each Other First Priority</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Lien Obligations Agent from time to time party thereto.</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10.10</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10.11</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10.12</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10.13</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10.14</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10.15</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10.16</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104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10.17</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608"/>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10.18</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10.19</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bl>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58" w:lineRule="exact"/>
        <w:rPr>
          <w:rFonts w:ascii="Arial" w:cs="Arial" w:eastAsia="Arial" w:hAnsi="Arial"/>
          <w:sz w:val="17"/>
          <w:szCs w:val="17"/>
          <w:u w:val="single" w:color="auto"/>
          <w:color w:val="0000FF"/>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10.20</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r>
        <w:trPr>
          <w:trHeight w:val="824"/>
        </w:trPr>
        <w:tc>
          <w:tcPr>
            <w:tcW w:w="680" w:type="dxa"/>
            <w:vAlign w:val="bottom"/>
          </w:tcPr>
          <w:p>
            <w:pPr>
              <w:spacing w:after="0"/>
              <w:rPr>
                <w:sz w:val="20"/>
                <w:szCs w:val="20"/>
                <w:color w:val="auto"/>
              </w:rPr>
            </w:pPr>
            <w:r>
              <w:rPr>
                <w:rFonts w:ascii="Arial" w:cs="Arial" w:eastAsia="Arial" w:hAnsi="Arial"/>
                <w:sz w:val="18"/>
                <w:szCs w:val="18"/>
                <w:color w:val="auto"/>
              </w:rPr>
              <w:t>8-K</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10.21</w:t>
            </w:r>
          </w:p>
        </w:tc>
        <w:tc>
          <w:tcPr>
            <w:tcW w:w="1100" w:type="dxa"/>
            <w:vAlign w:val="bottom"/>
          </w:tcPr>
          <w:p>
            <w:pPr>
              <w:jc w:val="right"/>
              <w:spacing w:after="0"/>
              <w:rPr>
                <w:sz w:val="20"/>
                <w:szCs w:val="20"/>
                <w:color w:val="auto"/>
              </w:rPr>
            </w:pPr>
            <w:r>
              <w:rPr>
                <w:rFonts w:ascii="Arial" w:cs="Arial" w:eastAsia="Arial" w:hAnsi="Arial"/>
                <w:sz w:val="18"/>
                <w:szCs w:val="18"/>
                <w:color w:val="auto"/>
              </w:rPr>
              <w:t>10/11/2017</w:t>
            </w:r>
          </w:p>
        </w:tc>
      </w:tr>
    </w:tbl>
    <w:p>
      <w:pPr>
        <w:spacing w:after="0" w:line="1093" w:lineRule="exact"/>
        <w:rPr>
          <w:rFonts w:ascii="Arial" w:cs="Arial" w:eastAsia="Arial" w:hAnsi="Arial"/>
          <w:sz w:val="17"/>
          <w:szCs w:val="17"/>
          <w:u w:val="single" w:color="auto"/>
          <w:color w:val="0000FF"/>
        </w:rPr>
      </w:pPr>
    </w:p>
    <w:p>
      <w:pPr>
        <w:sectPr>
          <w:pgSz w:w="11900" w:h="16838" w:orient="portrait"/>
          <w:cols w:equalWidth="0" w:num="2">
            <w:col w:w="6880" w:space="720"/>
            <w:col w:w="2860"/>
          </w:cols>
          <w:pgMar w:left="980" w:top="963" w:right="459" w:bottom="1440" w:gutter="0" w:footer="0" w:header="0"/>
        </w:sect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88" w:lineRule="exact"/>
        <w:rPr>
          <w:rFonts w:ascii="Arial" w:cs="Arial" w:eastAsia="Arial" w:hAnsi="Arial"/>
          <w:sz w:val="17"/>
          <w:szCs w:val="17"/>
          <w:u w:val="single" w:color="auto"/>
          <w:color w:val="0000FF"/>
        </w:rPr>
      </w:pPr>
    </w:p>
    <w:p>
      <w:pPr>
        <w:jc w:val="center"/>
        <w:ind w:right="52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460"/>
          </w:cols>
          <w:pgMar w:left="980" w:top="963" w:right="459" w:bottom="1440" w:gutter="0" w:footer="0" w:header="0"/>
          <w:type w:val="continuous"/>
        </w:sectPr>
      </w:pPr>
    </w:p>
    <w:bookmarkStart w:id="107" w:name="page108"/>
    <w:bookmarkEnd w:id="107"/>
    <w:p>
      <w:pPr>
        <w:ind w:left="680" w:right="1000" w:hanging="641"/>
        <w:spacing w:after="0" w:line="264"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60">
        <w:r>
          <w:rPr>
            <w:rFonts w:ascii="Arial" w:cs="Arial" w:eastAsia="Arial" w:hAnsi="Arial"/>
            <w:sz w:val="18"/>
            <w:szCs w:val="18"/>
            <w:u w:val="single" w:color="auto"/>
            <w:color w:val="0000FF"/>
          </w:rPr>
          <w:t>Second Lien Collateral Agreement, dated as of October 6, 2017, among VICI</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Properties 1 LLC, VICI FC Inc., each Subsidiary Party thereto, and UMB Bank,</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National Association, as Collateral Agent.</w:t>
        </w:r>
      </w:hyperlink>
    </w:p>
    <w:p>
      <w:pPr>
        <w:spacing w:after="0" w:line="141" w:lineRule="exact"/>
        <w:rPr>
          <w:rFonts w:ascii="Arial" w:cs="Arial" w:eastAsia="Arial" w:hAnsi="Arial"/>
          <w:sz w:val="18"/>
          <w:szCs w:val="18"/>
          <w:u w:val="single" w:color="auto"/>
          <w:color w:val="0000FF"/>
        </w:rPr>
      </w:pPr>
    </w:p>
    <w:p>
      <w:pPr>
        <w:ind w:left="4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61">
        <w:r>
          <w:rPr>
            <w:rFonts w:ascii="Arial" w:cs="Arial" w:eastAsia="Arial" w:hAnsi="Arial"/>
            <w:sz w:val="16"/>
            <w:szCs w:val="16"/>
            <w:u w:val="single" w:color="auto"/>
            <w:color w:val="0000FF"/>
          </w:rPr>
          <w:t>Amended and Restated Agreement of Limited Partnership of VICI Properties L.P.</w:t>
        </w:r>
      </w:hyperlink>
    </w:p>
    <w:p>
      <w:pPr>
        <w:spacing w:after="0" w:line="185" w:lineRule="exact"/>
        <w:rPr>
          <w:rFonts w:ascii="Arial" w:cs="Arial" w:eastAsia="Arial" w:hAnsi="Arial"/>
          <w:sz w:val="18"/>
          <w:szCs w:val="18"/>
          <w:u w:val="single" w:color="auto"/>
          <w:color w:val="0000FF"/>
        </w:rPr>
      </w:pPr>
    </w:p>
    <w:p>
      <w:pPr>
        <w:ind w:left="680" w:right="1440" w:hanging="641"/>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62">
        <w:r>
          <w:rPr>
            <w:rFonts w:ascii="Arial" w:cs="Arial" w:eastAsia="Arial" w:hAnsi="Arial"/>
            <w:sz w:val="18"/>
            <w:szCs w:val="18"/>
            <w:u w:val="single" w:color="auto"/>
            <w:color w:val="0000FF"/>
          </w:rPr>
          <w:t>Form of Indemnification Agreement, between VICI Properties Inc. and its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directors and officers.</w:t>
        </w:r>
      </w:hyperlink>
    </w:p>
    <w:p>
      <w:pPr>
        <w:spacing w:after="0" w:line="200" w:lineRule="exact"/>
        <w:rPr>
          <w:sz w:val="20"/>
          <w:szCs w:val="20"/>
          <w:color w:val="auto"/>
        </w:rPr>
      </w:pPr>
    </w:p>
    <w:p>
      <w:pPr>
        <w:spacing w:after="0" w:line="362" w:lineRule="exact"/>
        <w:rPr>
          <w:sz w:val="20"/>
          <w:szCs w:val="20"/>
          <w:color w:val="auto"/>
        </w:rPr>
      </w:pPr>
    </w:p>
    <w:p>
      <w:pPr>
        <w:ind w:left="680" w:right="1300" w:hanging="686"/>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63">
        <w:r>
          <w:rPr>
            <w:rFonts w:ascii="Arial" w:cs="Arial" w:eastAsia="Arial" w:hAnsi="Arial"/>
            <w:sz w:val="18"/>
            <w:szCs w:val="18"/>
            <w:u w:val="single" w:color="auto"/>
            <w:color w:val="0000FF"/>
          </w:rPr>
          <w:t>Employment Agreement, dated as of October 6, 2017, by and between VICI</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Properties Inc. and Edward Pitoniak.</w:t>
        </w:r>
      </w:hyperlink>
    </w:p>
    <w:p>
      <w:pPr>
        <w:spacing w:after="0" w:line="130" w:lineRule="exact"/>
        <w:rPr>
          <w:sz w:val="20"/>
          <w:szCs w:val="20"/>
          <w:color w:val="auto"/>
        </w:rPr>
      </w:pPr>
    </w:p>
    <w:p>
      <w:pPr>
        <w:ind w:left="680" w:right="1300" w:hanging="686"/>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4">
        <w:r>
          <w:rPr>
            <w:rFonts w:ascii="Arial" w:cs="Arial" w:eastAsia="Arial" w:hAnsi="Arial"/>
            <w:sz w:val="18"/>
            <w:szCs w:val="18"/>
            <w:u w:val="single" w:color="auto"/>
            <w:color w:val="0000FF"/>
          </w:rPr>
          <w:t>Employment Agreement, dated as of October 6, 2017, by and between VICI</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Properties Inc. and John Payne.</w:t>
        </w:r>
      </w:hyperlink>
    </w:p>
    <w:p>
      <w:pPr>
        <w:spacing w:after="0" w:line="130" w:lineRule="exact"/>
        <w:rPr>
          <w:sz w:val="20"/>
          <w:szCs w:val="20"/>
          <w:color w:val="auto"/>
        </w:rPr>
      </w:pPr>
    </w:p>
    <w:p>
      <w:pPr>
        <w:ind w:left="680" w:right="1300" w:hanging="686"/>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65">
        <w:r>
          <w:rPr>
            <w:rFonts w:ascii="Arial" w:cs="Arial" w:eastAsia="Arial" w:hAnsi="Arial"/>
            <w:sz w:val="18"/>
            <w:szCs w:val="18"/>
            <w:u w:val="single" w:color="auto"/>
            <w:color w:val="0000FF"/>
          </w:rPr>
          <w:t>Employment Agreement, dated as of October 6, 2017, by and between VICI</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Properties Inc. and Mary E. Higgins.</w:t>
        </w:r>
      </w:hyperlink>
    </w:p>
    <w:p>
      <w:pPr>
        <w:spacing w:after="0" w:line="130" w:lineRule="exact"/>
        <w:rPr>
          <w:sz w:val="20"/>
          <w:szCs w:val="20"/>
          <w:color w:val="auto"/>
        </w:rPr>
      </w:pPr>
    </w:p>
    <w:p>
      <w:pPr>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66">
        <w:r>
          <w:rPr>
            <w:rFonts w:ascii="Arial" w:cs="Arial" w:eastAsia="Arial" w:hAnsi="Arial"/>
            <w:sz w:val="16"/>
            <w:szCs w:val="16"/>
            <w:u w:val="single" w:color="auto"/>
            <w:color w:val="0000FF"/>
          </w:rPr>
          <w:t>VICI Properties Inc. 2017 Stock Incentive Plan.</w:t>
        </w:r>
      </w:hyperlink>
    </w:p>
    <w:p>
      <w:pPr>
        <w:spacing w:after="0" w:line="185" w:lineRule="exact"/>
        <w:rPr>
          <w:sz w:val="20"/>
          <w:szCs w:val="20"/>
          <w:color w:val="auto"/>
        </w:rPr>
      </w:pPr>
    </w:p>
    <w:p>
      <w:pPr>
        <w:ind w:left="680" w:right="1060" w:hanging="641"/>
        <w:spacing w:after="0" w:line="340" w:lineRule="auto"/>
        <w:tabs>
          <w:tab w:leader="none" w:pos="660" w:val="left"/>
        </w:tabs>
        <w:rPr>
          <w:rFonts w:ascii="Arial" w:cs="Arial" w:eastAsia="Arial" w:hAnsi="Arial"/>
          <w:sz w:val="15"/>
          <w:szCs w:val="15"/>
          <w:u w:val="single" w:color="auto"/>
          <w:color w:val="0000FF"/>
        </w:rPr>
      </w:pPr>
      <w:r>
        <w:rPr>
          <w:rFonts w:ascii="Arial" w:cs="Arial" w:eastAsia="Arial" w:hAnsi="Arial"/>
          <w:sz w:val="18"/>
          <w:szCs w:val="18"/>
          <w:color w:val="auto"/>
        </w:rPr>
        <w:t>10.28</w:t>
      </w:r>
      <w:r>
        <w:rPr>
          <w:sz w:val="20"/>
          <w:szCs w:val="20"/>
          <w:color w:val="auto"/>
        </w:rPr>
        <w:tab/>
      </w:r>
      <w:hyperlink r:id="rId67">
        <w:r>
          <w:rPr>
            <w:rFonts w:ascii="Arial" w:cs="Arial" w:eastAsia="Arial" w:hAnsi="Arial"/>
            <w:sz w:val="15"/>
            <w:szCs w:val="15"/>
            <w:u w:val="single" w:color="auto"/>
            <w:color w:val="0000FF"/>
          </w:rPr>
          <w:t>Purchase and Sale Agreement, dated as of November 29, 2017, by and between</w:t>
        </w:r>
      </w:hyperlink>
      <w:r>
        <w:rPr>
          <w:rFonts w:ascii="Arial" w:cs="Arial" w:eastAsia="Arial" w:hAnsi="Arial"/>
          <w:sz w:val="15"/>
          <w:szCs w:val="15"/>
          <w:u w:val="single" w:color="auto"/>
          <w:color w:val="0000FF"/>
        </w:rPr>
        <w:t xml:space="preserve"> </w:t>
      </w:r>
      <w:hyperlink r:id="rId67">
        <w:r>
          <w:rPr>
            <w:rFonts w:ascii="Arial" w:cs="Arial" w:eastAsia="Arial" w:hAnsi="Arial"/>
            <w:sz w:val="15"/>
            <w:szCs w:val="15"/>
            <w:u w:val="single" w:color="auto"/>
            <w:color w:val="0000FF"/>
          </w:rPr>
          <w:t>Harrah’s Las Vegas, LLC, a Nevada limited liability company, as seller, and</w:t>
        </w:r>
      </w:hyperlink>
      <w:r>
        <w:rPr>
          <w:rFonts w:ascii="Arial" w:cs="Arial" w:eastAsia="Arial" w:hAnsi="Arial"/>
          <w:sz w:val="15"/>
          <w:szCs w:val="15"/>
          <w:u w:val="single" w:color="auto"/>
          <w:color w:val="0000FF"/>
        </w:rPr>
        <w:t xml:space="preserve"> </w:t>
      </w:r>
      <w:hyperlink r:id="rId67">
        <w:r>
          <w:rPr>
            <w:rFonts w:ascii="Arial" w:cs="Arial" w:eastAsia="Arial" w:hAnsi="Arial"/>
            <w:sz w:val="15"/>
            <w:szCs w:val="15"/>
            <w:u w:val="single" w:color="auto"/>
            <w:color w:val="0000FF"/>
          </w:rPr>
          <w:t>Claudine Property Owner LLC, a Delaware limited liability company, as buyer.</w:t>
        </w:r>
      </w:hyperlink>
    </w:p>
    <w:p>
      <w:pPr>
        <w:spacing w:after="0" w:line="91" w:lineRule="exact"/>
        <w:rPr>
          <w:rFonts w:ascii="Arial" w:cs="Arial" w:eastAsia="Arial" w:hAnsi="Arial"/>
          <w:sz w:val="15"/>
          <w:szCs w:val="15"/>
          <w:u w:val="single" w:color="auto"/>
          <w:color w:val="0000FF"/>
        </w:rPr>
      </w:pPr>
    </w:p>
    <w:p>
      <w:pPr>
        <w:ind w:left="680" w:right="860" w:hanging="641"/>
        <w:spacing w:after="0" w:line="312" w:lineRule="auto"/>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10.29</w:t>
      </w:r>
      <w:r>
        <w:rPr>
          <w:sz w:val="20"/>
          <w:szCs w:val="20"/>
          <w:color w:val="auto"/>
        </w:rPr>
        <w:tab/>
      </w:r>
      <w:hyperlink r:id="rId68">
        <w:r>
          <w:rPr>
            <w:rFonts w:ascii="Arial" w:cs="Arial" w:eastAsia="Arial" w:hAnsi="Arial"/>
            <w:sz w:val="16"/>
            <w:szCs w:val="16"/>
            <w:u w:val="single" w:color="auto"/>
            <w:color w:val="0000FF"/>
          </w:rPr>
          <w:t>Purchase and Sale Agreement, dated as of November 29, 2017, by and between</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Vegas Development LLC, a Delaware limited liability company, as seller and</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Eastside Convention Center, LLC, a Delaware limited liability company, as buyer.</w:t>
        </w:r>
      </w:hyperlink>
    </w:p>
    <w:p>
      <w:pPr>
        <w:spacing w:after="0" w:line="106" w:lineRule="exact"/>
        <w:rPr>
          <w:rFonts w:ascii="Arial" w:cs="Arial" w:eastAsia="Arial" w:hAnsi="Arial"/>
          <w:sz w:val="16"/>
          <w:szCs w:val="16"/>
          <w:u w:val="single" w:color="auto"/>
          <w:color w:val="0000FF"/>
        </w:rPr>
      </w:pPr>
    </w:p>
    <w:p>
      <w:pPr>
        <w:ind w:left="680" w:right="1060" w:hanging="641"/>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69">
        <w:r>
          <w:rPr>
            <w:rFonts w:ascii="Arial" w:cs="Arial" w:eastAsia="Arial" w:hAnsi="Arial"/>
            <w:sz w:val="18"/>
            <w:szCs w:val="18"/>
            <w:u w:val="single" w:color="auto"/>
            <w:color w:val="0000FF"/>
          </w:rPr>
          <w:t>Guaranty, made and entered into as of November 29, 2017 by VICI Properties I</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LLC, a Delaware limited liability company, as guarantor.</w:t>
        </w:r>
      </w:hyperlink>
    </w:p>
    <w:p>
      <w:pPr>
        <w:spacing w:after="0" w:line="130" w:lineRule="exact"/>
        <w:rPr>
          <w:sz w:val="20"/>
          <w:szCs w:val="20"/>
          <w:color w:val="auto"/>
        </w:rPr>
      </w:pPr>
    </w:p>
    <w:p>
      <w:pPr>
        <w:ind w:left="680" w:right="820" w:hanging="641"/>
        <w:spacing w:after="0" w:line="264"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70">
        <w:r>
          <w:rPr>
            <w:rFonts w:ascii="Arial" w:cs="Arial" w:eastAsia="Arial" w:hAnsi="Arial"/>
            <w:sz w:val="18"/>
            <w:szCs w:val="18"/>
            <w:u w:val="single" w:color="auto"/>
            <w:color w:val="0000FF"/>
          </w:rPr>
          <w:t>Common Stock Purchase Agreement, dated as of November 29, 2017, between the</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Company and each purchaser, or the investment advisor or manager for one or</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more purchasers, identified on Schedule I thereto.</w:t>
        </w:r>
      </w:hyperlink>
    </w:p>
    <w:p>
      <w:pPr>
        <w:spacing w:after="0" w:line="141" w:lineRule="exact"/>
        <w:rPr>
          <w:rFonts w:ascii="Arial" w:cs="Arial" w:eastAsia="Arial" w:hAnsi="Arial"/>
          <w:sz w:val="18"/>
          <w:szCs w:val="18"/>
          <w:u w:val="single" w:color="auto"/>
          <w:color w:val="0000FF"/>
        </w:rPr>
      </w:pPr>
    </w:p>
    <w:p>
      <w:pPr>
        <w:jc w:val="both"/>
        <w:ind w:left="680" w:right="820" w:hanging="641"/>
        <w:spacing w:after="0" w:line="264"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71">
        <w:r>
          <w:rPr>
            <w:rFonts w:ascii="Arial" w:cs="Arial" w:eastAsia="Arial" w:hAnsi="Arial"/>
            <w:sz w:val="18"/>
            <w:szCs w:val="18"/>
            <w:u w:val="single" w:color="auto"/>
            <w:color w:val="0000FF"/>
          </w:rPr>
          <w:t>Credit Agreement, dated as of December 22, 2017, among VICI Properties 1 LLC,</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as the borrower, Goldman Sachs Bank USA, as administrative agent and the other</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parties thereto.</w:t>
        </w:r>
      </w:hyperlink>
    </w:p>
    <w:p>
      <w:pPr>
        <w:spacing w:after="0" w:line="141" w:lineRule="exact"/>
        <w:rPr>
          <w:rFonts w:ascii="Arial" w:cs="Arial" w:eastAsia="Arial" w:hAnsi="Arial"/>
          <w:sz w:val="18"/>
          <w:szCs w:val="18"/>
          <w:u w:val="single" w:color="auto"/>
          <w:color w:val="0000FF"/>
        </w:rPr>
      </w:pPr>
    </w:p>
    <w:p>
      <w:pPr>
        <w:ind w:left="680" w:right="860" w:hanging="641"/>
        <w:spacing w:after="0" w:line="264"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10.33</w:t>
      </w:r>
      <w:r>
        <w:rPr>
          <w:sz w:val="20"/>
          <w:szCs w:val="20"/>
          <w:color w:val="auto"/>
        </w:rPr>
        <w:tab/>
      </w:r>
      <w:hyperlink r:id="rId72">
        <w:r>
          <w:rPr>
            <w:rFonts w:ascii="Arial" w:cs="Arial" w:eastAsia="Arial" w:hAnsi="Arial"/>
            <w:sz w:val="18"/>
            <w:szCs w:val="18"/>
            <w:u w:val="single" w:color="auto"/>
            <w:color w:val="0000FF"/>
          </w:rPr>
          <w:t>Amended and Restated Right of First Refusal Agreement, dated as of December</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22, 2017, by and between Caesars Entertainment Corporation and VICI Properties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L.P.</w:t>
        </w:r>
      </w:hyperlink>
    </w:p>
    <w:p>
      <w:pPr>
        <w:spacing w:after="0" w:line="141" w:lineRule="exact"/>
        <w:rPr>
          <w:rFonts w:ascii="Arial" w:cs="Arial" w:eastAsia="Arial" w:hAnsi="Arial"/>
          <w:sz w:val="18"/>
          <w:szCs w:val="18"/>
          <w:u w:val="single" w:color="auto"/>
          <w:color w:val="0000FF"/>
        </w:rPr>
      </w:pPr>
    </w:p>
    <w:p>
      <w:pPr>
        <w:ind w:left="680" w:right="1020" w:hanging="686"/>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73">
        <w:r>
          <w:rPr>
            <w:rFonts w:ascii="Arial" w:cs="Arial" w:eastAsia="Arial" w:hAnsi="Arial"/>
            <w:sz w:val="18"/>
            <w:szCs w:val="18"/>
            <w:u w:val="single" w:color="auto"/>
            <w:color w:val="0000FF"/>
          </w:rPr>
          <w:t>Employment Agreement, dated as of November 27, 2017, by and between VICI</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Properties Inc. and David Kieske.</w:t>
        </w:r>
      </w:hyperlink>
    </w:p>
    <w:p>
      <w:pPr>
        <w:spacing w:after="0" w:line="130" w:lineRule="exact"/>
        <w:rPr>
          <w:sz w:val="20"/>
          <w:szCs w:val="20"/>
          <w:color w:val="auto"/>
        </w:rPr>
      </w:pPr>
    </w:p>
    <w:p>
      <w:pPr>
        <w:ind w:left="680" w:right="960" w:hanging="686"/>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74">
        <w:r>
          <w:rPr>
            <w:rFonts w:ascii="Arial" w:cs="Arial" w:eastAsia="Arial" w:hAnsi="Arial"/>
            <w:sz w:val="18"/>
            <w:szCs w:val="18"/>
            <w:u w:val="single" w:color="auto"/>
            <w:color w:val="0000FF"/>
          </w:rPr>
          <w:t>Separation Agreement and Release, dated as of October 6, 2017, by and between</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VICI Properties Inc. and Mary E. Higgins.</w:t>
        </w:r>
      </w:hyperlink>
    </w:p>
    <w:p>
      <w:pPr>
        <w:spacing w:after="0" w:line="130" w:lineRule="exact"/>
        <w:rPr>
          <w:sz w:val="20"/>
          <w:szCs w:val="20"/>
          <w:color w:val="auto"/>
        </w:rPr>
      </w:pPr>
    </w:p>
    <w:p>
      <w:pPr>
        <w:ind w:left="680" w:right="840" w:hanging="641"/>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75">
        <w:r>
          <w:rPr>
            <w:rFonts w:ascii="Arial" w:cs="Arial" w:eastAsia="Arial" w:hAnsi="Arial"/>
            <w:sz w:val="18"/>
            <w:szCs w:val="18"/>
            <w:u w:val="single" w:color="auto"/>
            <w:color w:val="0000FF"/>
          </w:rPr>
          <w:t>Guaranty of Lease as of the 22nd day of December, 2017, by and between Caesars</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Resort Collection, LLC and Claudine Propco, LLC.</w:t>
        </w:r>
      </w:hyperlink>
    </w:p>
    <w:p>
      <w:pPr>
        <w:spacing w:after="0" w:line="130" w:lineRule="exact"/>
        <w:rPr>
          <w:sz w:val="20"/>
          <w:szCs w:val="20"/>
          <w:color w:val="auto"/>
        </w:rPr>
      </w:pPr>
    </w:p>
    <w:p>
      <w:pPr>
        <w:ind w:left="680" w:right="1200" w:hanging="641"/>
        <w:spacing w:after="0" w:line="277" w:lineRule="auto"/>
        <w:tabs>
          <w:tab w:leader="none" w:pos="66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76">
        <w:r>
          <w:rPr>
            <w:rFonts w:ascii="Arial" w:cs="Arial" w:eastAsia="Arial" w:hAnsi="Arial"/>
            <w:sz w:val="18"/>
            <w:szCs w:val="18"/>
            <w:u w:val="single" w:color="auto"/>
            <w:color w:val="0000FF"/>
          </w:rPr>
          <w:t>Amended and Restated Lease, dated as of December 22, 2017, by and among</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Claudine Propco, LLC and Harrah’s Las Vegas, LLC.</w:t>
        </w:r>
      </w:hyperlink>
    </w:p>
    <w:p>
      <w:pPr>
        <w:spacing w:after="0" w:line="130" w:lineRule="exact"/>
        <w:rPr>
          <w:sz w:val="20"/>
          <w:szCs w:val="20"/>
          <w:color w:val="auto"/>
        </w:rPr>
      </w:pPr>
    </w:p>
    <w:p>
      <w:pPr>
        <w:ind w:left="680" w:right="1020" w:hanging="641"/>
        <w:spacing w:after="0" w:line="342" w:lineRule="auto"/>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10.38</w:t>
      </w:r>
      <w:r>
        <w:rPr>
          <w:sz w:val="20"/>
          <w:szCs w:val="20"/>
          <w:color w:val="auto"/>
        </w:rPr>
        <w:tab/>
      </w:r>
      <w:hyperlink r:id="rId77">
        <w:r>
          <w:rPr>
            <w:rFonts w:ascii="Arial" w:cs="Arial" w:eastAsia="Arial" w:hAnsi="Arial"/>
            <w:sz w:val="16"/>
            <w:szCs w:val="16"/>
            <w:u w:val="single" w:color="auto"/>
            <w:color w:val="0000FF"/>
          </w:rPr>
          <w:t>Put-Call Agreement, dated as of December 22, 2017, by and among Claudine</w:t>
        </w:r>
      </w:hyperlink>
      <w:r>
        <w:rPr>
          <w:rFonts w:ascii="Arial" w:cs="Arial" w:eastAsia="Arial" w:hAnsi="Arial"/>
          <w:sz w:val="16"/>
          <w:szCs w:val="16"/>
          <w:u w:val="single" w:color="auto"/>
          <w:color w:val="0000FF"/>
        </w:rPr>
        <w:t xml:space="preserve"> </w:t>
      </w:r>
      <w:hyperlink r:id="rId77">
        <w:r>
          <w:rPr>
            <w:rFonts w:ascii="Arial" w:cs="Arial" w:eastAsia="Arial" w:hAnsi="Arial"/>
            <w:sz w:val="16"/>
            <w:szCs w:val="16"/>
            <w:u w:val="single" w:color="auto"/>
            <w:color w:val="0000FF"/>
          </w:rPr>
          <w:t>Propco LLC, Vegas Development Land Owner LLC and 3535 LV Newco, LLC.</w:t>
        </w:r>
      </w:hyperlink>
    </w:p>
    <w:p>
      <w:pPr>
        <w:spacing w:after="0" w:line="83" w:lineRule="exact"/>
        <w:rPr>
          <w:sz w:val="20"/>
          <w:szCs w:val="20"/>
          <w:color w:val="auto"/>
        </w:rPr>
      </w:pPr>
    </w:p>
    <w:p>
      <w:pPr>
        <w:spacing w:after="0"/>
        <w:tabs>
          <w:tab w:leader="none" w:pos="660" w:val="left"/>
          <w:tab w:leader="none" w:pos="720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w:anchor="page117">
        <w:r>
          <w:rPr>
            <w:rFonts w:ascii="Arial" w:cs="Arial" w:eastAsia="Arial" w:hAnsi="Arial"/>
            <w:sz w:val="18"/>
            <w:szCs w:val="18"/>
            <w:u w:val="single" w:color="auto"/>
            <w:color w:val="0000FF"/>
          </w:rPr>
          <w:t>Form of Restricted Stock Grant</w:t>
        </w:r>
      </w:hyperlink>
      <w:r>
        <w:rPr>
          <w:rFonts w:ascii="Arial" w:cs="Arial" w:eastAsia="Arial" w:hAnsi="Arial"/>
          <w:sz w:val="18"/>
          <w:szCs w:val="18"/>
          <w:u w:val="single" w:color="auto"/>
          <w:color w:val="0000FF"/>
        </w:rPr>
        <w:tab/>
      </w:r>
      <w:r>
        <w:rPr>
          <w:rFonts w:ascii="Arial" w:cs="Arial" w:eastAsia="Arial" w:hAnsi="Arial"/>
          <w:sz w:val="17"/>
          <w:szCs w:val="17"/>
          <w:u w:val="single" w:color="auto"/>
          <w:color w:val="0000FF"/>
        </w:rPr>
        <w:t>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392"/>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9/28/2017</w:t>
            </w:r>
          </w:p>
        </w:tc>
      </w:tr>
      <w:tr>
        <w:trPr>
          <w:trHeight w:val="104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10/11/2017</w:t>
            </w:r>
          </w:p>
        </w:tc>
      </w:tr>
      <w:tr>
        <w:trPr>
          <w:trHeight w:val="608"/>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71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8"/>
              </w:rPr>
              <w:t>11/30/2017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12/26/2017</w:t>
            </w:r>
          </w:p>
        </w:tc>
      </w:tr>
      <w:tr>
        <w:trPr>
          <w:trHeight w:val="824"/>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00" w:type="dxa"/>
            <w:vAlign w:val="bottom"/>
          </w:tcPr>
          <w:p>
            <w:pPr>
              <w:jc w:val="center"/>
              <w:ind w:left="190"/>
              <w:spacing w:after="0"/>
              <w:rPr>
                <w:sz w:val="20"/>
                <w:szCs w:val="20"/>
                <w:color w:val="auto"/>
              </w:rPr>
            </w:pPr>
            <w:r>
              <w:rPr>
                <w:rFonts w:ascii="Arial" w:cs="Arial" w:eastAsia="Arial" w:hAnsi="Arial"/>
                <w:sz w:val="18"/>
                <w:szCs w:val="18"/>
                <w:color w:val="auto"/>
                <w:w w:val="90"/>
              </w:rPr>
              <w:t>12/26/2017</w:t>
            </w:r>
          </w:p>
        </w:tc>
      </w:tr>
      <w:tr>
        <w:trPr>
          <w:trHeight w:val="716"/>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r>
        <w:trPr>
          <w:trHeight w:val="608"/>
        </w:trPr>
        <w:tc>
          <w:tcPr>
            <w:tcW w:w="840" w:type="dxa"/>
            <w:vAlign w:val="bottom"/>
          </w:tcPr>
          <w:p>
            <w:pPr>
              <w:jc w:val="center"/>
              <w:ind w:right="250"/>
              <w:spacing w:after="0"/>
              <w:rPr>
                <w:sz w:val="20"/>
                <w:szCs w:val="20"/>
                <w:color w:val="auto"/>
              </w:rPr>
            </w:pPr>
            <w:r>
              <w:rPr>
                <w:rFonts w:ascii="Arial" w:cs="Arial" w:eastAsia="Arial" w:hAnsi="Arial"/>
                <w:sz w:val="18"/>
                <w:szCs w:val="18"/>
                <w:color w:val="auto"/>
                <w:w w:val="90"/>
              </w:rPr>
              <w:t>S-11/A</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100" w:type="dxa"/>
            <w:vAlign w:val="bottom"/>
          </w:tcPr>
          <w:p>
            <w:pPr>
              <w:jc w:val="center"/>
              <w:ind w:left="210"/>
              <w:spacing w:after="0"/>
              <w:rPr>
                <w:sz w:val="20"/>
                <w:szCs w:val="20"/>
                <w:color w:val="auto"/>
              </w:rPr>
            </w:pPr>
            <w:r>
              <w:rPr>
                <w:rFonts w:ascii="Arial" w:cs="Arial" w:eastAsia="Arial" w:hAnsi="Arial"/>
                <w:sz w:val="18"/>
                <w:szCs w:val="18"/>
                <w:color w:val="auto"/>
                <w:w w:val="89"/>
              </w:rPr>
              <w:t>1/17/2018</w:t>
            </w:r>
          </w:p>
        </w:tc>
      </w:tr>
    </w:tbl>
    <w:p>
      <w:pPr>
        <w:spacing w:after="0" w:line="676" w:lineRule="exact"/>
        <w:rPr>
          <w:sz w:val="20"/>
          <w:szCs w:val="20"/>
          <w:color w:val="auto"/>
        </w:rPr>
      </w:pPr>
    </w:p>
    <w:p>
      <w:pPr>
        <w:sectPr>
          <w:pgSz w:w="11900" w:h="16838" w:orient="portrait"/>
          <w:cols w:equalWidth="0" w:num="2">
            <w:col w:w="7460" w:space="720"/>
            <w:col w:w="2960"/>
          </w:cols>
          <w:pgMar w:left="300" w:top="963" w:right="4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140"/>
          </w:cols>
          <w:pgMar w:left="300" w:top="963" w:right="459" w:bottom="1440" w:gutter="0" w:footer="0" w:header="0"/>
          <w:type w:val="continuous"/>
        </w:sectPr>
      </w:pPr>
    </w:p>
    <w:bookmarkStart w:id="108" w:name="page109"/>
    <w:bookmarkEnd w:id="108"/>
    <w:p>
      <w:pPr>
        <w:ind w:left="18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w:anchor="page122">
        <w:r>
          <w:rPr>
            <w:rFonts w:ascii="Arial" w:cs="Arial" w:eastAsia="Arial" w:hAnsi="Arial"/>
            <w:sz w:val="16"/>
            <w:szCs w:val="16"/>
            <w:u w:val="single" w:color="auto"/>
            <w:color w:val="0000FF"/>
          </w:rPr>
          <w:t>Subsidiaries of VICI Properties Inc.</w:t>
        </w:r>
      </w:hyperlink>
    </w:p>
    <w:p>
      <w:pPr>
        <w:spacing w:after="0" w:line="185"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23.1</w:t>
      </w:r>
      <w:r>
        <w:rPr>
          <w:sz w:val="20"/>
          <w:szCs w:val="20"/>
          <w:color w:val="auto"/>
        </w:rPr>
        <w:tab/>
      </w:r>
      <w:hyperlink w:anchor="page124">
        <w:r>
          <w:rPr>
            <w:rFonts w:ascii="Arial" w:cs="Arial" w:eastAsia="Arial" w:hAnsi="Arial"/>
            <w:sz w:val="16"/>
            <w:szCs w:val="16"/>
            <w:u w:val="single" w:color="auto"/>
            <w:color w:val="0000FF"/>
          </w:rPr>
          <w:t>Consent of Deloitte &amp; Touche LLP for VICI Properties Inc.</w:t>
        </w:r>
      </w:hyperlink>
    </w:p>
    <w:p>
      <w:pPr>
        <w:spacing w:after="0" w:line="185"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25">
        <w:r>
          <w:rPr>
            <w:rFonts w:ascii="Arial" w:cs="Arial" w:eastAsia="Arial" w:hAnsi="Arial"/>
            <w:sz w:val="16"/>
            <w:szCs w:val="16"/>
            <w:u w:val="single" w:color="auto"/>
            <w:color w:val="0000FF"/>
          </w:rPr>
          <w:t>Consent of Deloitte &amp; Touche LLP for Caesars Entertainment Outdoor</w:t>
        </w:r>
      </w:hyperlink>
    </w:p>
    <w:p>
      <w:pPr>
        <w:spacing w:after="0" w:line="185" w:lineRule="exact"/>
        <w:rPr>
          <w:sz w:val="20"/>
          <w:szCs w:val="20"/>
          <w:color w:val="auto"/>
        </w:rPr>
      </w:pPr>
    </w:p>
    <w:p>
      <w:pPr>
        <w:ind w:left="800" w:right="120" w:hanging="622"/>
        <w:spacing w:after="0" w:line="308" w:lineRule="auto"/>
        <w:tabs>
          <w:tab w:leader="none" w:pos="780" w:val="left"/>
        </w:tabs>
        <w:rPr>
          <w:rFonts w:ascii="Arial" w:cs="Arial" w:eastAsia="Arial" w:hAnsi="Arial"/>
          <w:sz w:val="17"/>
          <w:szCs w:val="17"/>
          <w:u w:val="single" w:color="auto"/>
          <w:color w:val="0000FF"/>
        </w:rPr>
      </w:pPr>
      <w:r>
        <w:rPr>
          <w:rFonts w:ascii="Arial" w:cs="Arial" w:eastAsia="Arial" w:hAnsi="Arial"/>
          <w:sz w:val="18"/>
          <w:szCs w:val="18"/>
          <w:color w:val="auto"/>
        </w:rPr>
        <w:t>23.3</w:t>
      </w:r>
      <w:r>
        <w:rPr>
          <w:sz w:val="20"/>
          <w:szCs w:val="20"/>
          <w:color w:val="auto"/>
        </w:rPr>
        <w:tab/>
      </w:r>
      <w:hyperlink w:anchor="page126">
        <w:r>
          <w:rPr>
            <w:rFonts w:ascii="Arial" w:cs="Arial" w:eastAsia="Arial" w:hAnsi="Arial"/>
            <w:sz w:val="17"/>
            <w:szCs w:val="17"/>
            <w:u w:val="single" w:color="auto"/>
            <w:color w:val="0000FF"/>
          </w:rPr>
          <w:t>Consent of Deloitte &amp; Touche LLP for Combined Statement of Investments of</w:t>
        </w:r>
      </w:hyperlink>
      <w:r>
        <w:rPr>
          <w:rFonts w:ascii="Arial" w:cs="Arial" w:eastAsia="Arial" w:hAnsi="Arial"/>
          <w:sz w:val="17"/>
          <w:szCs w:val="17"/>
          <w:u w:val="single" w:color="auto"/>
          <w:color w:val="0000FF"/>
        </w:rPr>
        <w:t xml:space="preserve"> </w:t>
      </w:r>
      <w:hyperlink w:anchor="page126">
        <w:r>
          <w:rPr>
            <w:rFonts w:ascii="Arial" w:cs="Arial" w:eastAsia="Arial" w:hAnsi="Arial"/>
            <w:sz w:val="17"/>
            <w:szCs w:val="17"/>
            <w:u w:val="single" w:color="auto"/>
            <w:color w:val="0000FF"/>
          </w:rPr>
          <w:t>Real Estate Assets to be Contributed to VICI Properties Inc.</w:t>
        </w:r>
      </w:hyperlink>
    </w:p>
    <w:p>
      <w:pPr>
        <w:spacing w:after="0" w:line="106" w:lineRule="exact"/>
        <w:rPr>
          <w:sz w:val="20"/>
          <w:szCs w:val="20"/>
          <w:color w:val="auto"/>
        </w:rPr>
      </w:pPr>
    </w:p>
    <w:p>
      <w:pPr>
        <w:ind w:left="180"/>
        <w:spacing w:after="0"/>
        <w:tabs>
          <w:tab w:leader="none" w:pos="78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116">
        <w:r>
          <w:rPr>
            <w:rFonts w:ascii="Arial" w:cs="Arial" w:eastAsia="Arial" w:hAnsi="Arial"/>
            <w:sz w:val="16"/>
            <w:szCs w:val="16"/>
            <w:u w:val="single" w:color="auto"/>
            <w:color w:val="0000EE"/>
          </w:rPr>
          <w:t>Power of Attorney (included on signature page)</w:t>
        </w:r>
      </w:hyperlink>
    </w:p>
    <w:p>
      <w:pPr>
        <w:spacing w:after="0" w:line="185" w:lineRule="exact"/>
        <w:rPr>
          <w:sz w:val="20"/>
          <w:szCs w:val="20"/>
          <w:color w:val="auto"/>
        </w:rPr>
      </w:pPr>
    </w:p>
    <w:p>
      <w:pPr>
        <w:ind w:left="800" w:right="420" w:hanging="622"/>
        <w:spacing w:after="0" w:line="27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127">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127">
        <w:r>
          <w:rPr>
            <w:rFonts w:ascii="Arial" w:cs="Arial" w:eastAsia="Arial" w:hAnsi="Arial"/>
            <w:sz w:val="18"/>
            <w:szCs w:val="18"/>
            <w:u w:val="single" w:color="auto"/>
            <w:color w:val="0000FF"/>
          </w:rPr>
          <w:t>Sarbanes-Oxley Act of 2002.</w:t>
        </w:r>
      </w:hyperlink>
    </w:p>
    <w:p>
      <w:pPr>
        <w:spacing w:after="0" w:line="130" w:lineRule="exact"/>
        <w:rPr>
          <w:sz w:val="20"/>
          <w:szCs w:val="20"/>
          <w:color w:val="auto"/>
        </w:rPr>
      </w:pPr>
    </w:p>
    <w:p>
      <w:pPr>
        <w:ind w:left="800" w:right="480" w:hanging="622"/>
        <w:spacing w:after="0" w:line="27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128">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128">
        <w:r>
          <w:rPr>
            <w:rFonts w:ascii="Arial" w:cs="Arial" w:eastAsia="Arial" w:hAnsi="Arial"/>
            <w:sz w:val="18"/>
            <w:szCs w:val="18"/>
            <w:u w:val="single" w:color="auto"/>
            <w:color w:val="0000FF"/>
          </w:rPr>
          <w:t>Sarbanes-Oxley Act of 2002.</w:t>
        </w:r>
      </w:hyperlink>
    </w:p>
    <w:p>
      <w:pPr>
        <w:spacing w:after="0" w:line="130" w:lineRule="exact"/>
        <w:rPr>
          <w:sz w:val="20"/>
          <w:szCs w:val="20"/>
          <w:color w:val="auto"/>
        </w:rPr>
      </w:pPr>
    </w:p>
    <w:p>
      <w:pPr>
        <w:ind w:left="800" w:right="420" w:hanging="622"/>
        <w:spacing w:after="0" w:line="27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29">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129">
        <w:r>
          <w:rPr>
            <w:rFonts w:ascii="Arial" w:cs="Arial" w:eastAsia="Arial" w:hAnsi="Arial"/>
            <w:sz w:val="18"/>
            <w:szCs w:val="18"/>
            <w:u w:val="single" w:color="auto"/>
            <w:color w:val="0000FF"/>
          </w:rPr>
          <w:t>Sarbanes-Oxley Act of 2002.</w:t>
        </w:r>
      </w:hyperlink>
    </w:p>
    <w:p>
      <w:pPr>
        <w:spacing w:after="0" w:line="130" w:lineRule="exact"/>
        <w:rPr>
          <w:sz w:val="20"/>
          <w:szCs w:val="20"/>
          <w:color w:val="auto"/>
        </w:rPr>
      </w:pPr>
    </w:p>
    <w:p>
      <w:pPr>
        <w:ind w:left="800" w:right="480" w:hanging="622"/>
        <w:spacing w:after="0" w:line="277" w:lineRule="auto"/>
        <w:tabs>
          <w:tab w:leader="none" w:pos="78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30">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130">
        <w:r>
          <w:rPr>
            <w:rFonts w:ascii="Arial" w:cs="Arial" w:eastAsia="Arial" w:hAnsi="Arial"/>
            <w:sz w:val="18"/>
            <w:szCs w:val="18"/>
            <w:u w:val="single" w:color="auto"/>
            <w:color w:val="0000FF"/>
          </w:rPr>
          <w:t>Sarbanes-Oxley Act of 2002.</w:t>
        </w:r>
      </w:hyperlink>
    </w:p>
    <w:p>
      <w:pPr>
        <w:spacing w:after="0" w:line="130" w:lineRule="exact"/>
        <w:rPr>
          <w:sz w:val="20"/>
          <w:szCs w:val="20"/>
          <w:color w:val="auto"/>
        </w:rPr>
      </w:pPr>
    </w:p>
    <w:p>
      <w:pPr>
        <w:ind w:left="60"/>
        <w:spacing w:after="0"/>
        <w:tabs>
          <w:tab w:leader="none" w:pos="78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6"/>
          <w:szCs w:val="16"/>
          <w:color w:val="auto"/>
        </w:rPr>
        <w:t>XBRL Instance Document</w:t>
      </w:r>
    </w:p>
    <w:p>
      <w:pPr>
        <w:spacing w:after="0" w:line="20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200" w:lineRule="exact"/>
        <w:rPr>
          <w:sz w:val="20"/>
          <w:szCs w:val="20"/>
          <w:color w:val="auto"/>
        </w:rPr>
      </w:pPr>
    </w:p>
    <w:p>
      <w:pPr>
        <w:spacing w:after="0" w:line="37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6580" w:space="720"/>
            <w:col w:w="2919"/>
          </w:cols>
          <w:pgMar w:left="240" w:top="962"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119,117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57,573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Investment in subsidiaries</w:t>
            </w: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9,545,013</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9,721,703</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155,001</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155,001</w:t>
            </w:r>
          </w:p>
        </w:tc>
      </w:tr>
      <w:tr>
        <w:trPr>
          <w:trHeight w:val="324"/>
        </w:trPr>
        <w:tc>
          <w:tcPr>
            <w:tcW w:w="8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w w:val="92"/>
              </w:rPr>
              <w:t>Common stock, $0.01 par value, 700,000,000 shares authorized and 300,278,939 shares issued and outstanding at</w:t>
            </w:r>
          </w:p>
        </w:tc>
        <w:tc>
          <w:tcPr>
            <w:tcW w:w="36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30"/>
        </w:trPr>
        <w:tc>
          <w:tcPr>
            <w:tcW w:w="8800" w:type="dxa"/>
            <w:vAlign w:val="bottom"/>
          </w:tcPr>
          <w:p>
            <w:pPr>
              <w:ind w:left="280"/>
              <w:spacing w:after="0"/>
              <w:rPr>
                <w:sz w:val="20"/>
                <w:szCs w:val="20"/>
                <w:color w:val="auto"/>
              </w:rPr>
            </w:pPr>
            <w:r>
              <w:rPr>
                <w:rFonts w:ascii="Arial" w:cs="Arial" w:eastAsia="Arial" w:hAnsi="Arial"/>
                <w:sz w:val="18"/>
                <w:szCs w:val="18"/>
                <w:color w:val="auto"/>
              </w:rPr>
              <w:t>December 31, 2017</w:t>
            </w:r>
          </w:p>
        </w:tc>
        <w:tc>
          <w:tcPr>
            <w:tcW w:w="360" w:type="dxa"/>
            <w:vAlign w:val="bottom"/>
          </w:tcPr>
          <w:p>
            <w:pPr>
              <w:spacing w:after="0"/>
              <w:rPr>
                <w:sz w:val="20"/>
                <w:szCs w:val="20"/>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3,003</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Preferred stock, $0.01 par value, 50,000,000 shares authorized, 12,000,000 shares issued and no shares outstanding at</w:t>
            </w:r>
          </w:p>
        </w:tc>
        <w:tc>
          <w:tcPr>
            <w:tcW w:w="36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2017</w:t>
            </w:r>
          </w:p>
        </w:tc>
        <w:tc>
          <w:tcPr>
            <w:tcW w:w="36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 in capital</w:t>
            </w:r>
          </w:p>
        </w:tc>
        <w:tc>
          <w:tcPr>
            <w:tcW w:w="360" w:type="dxa"/>
            <w:vAlign w:val="bottom"/>
          </w:tcPr>
          <w:p>
            <w:pPr>
              <w:spacing w:after="0"/>
              <w:rPr>
                <w:sz w:val="21"/>
                <w:szCs w:val="21"/>
                <w:color w:val="auto"/>
              </w:rPr>
            </w:pP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9,563,417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37"/>
        </w:trPr>
        <w:tc>
          <w:tcPr>
            <w:tcW w:w="8800" w:type="dxa"/>
            <w:vAlign w:val="bottom"/>
          </w:tcPr>
          <w:p>
            <w:pPr>
              <w:ind w:left="64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tcBorders>
          </w:tcPr>
          <w:p>
            <w:pPr>
              <w:spacing w:after="0"/>
              <w:rPr>
                <w:sz w:val="20"/>
                <w:szCs w:val="20"/>
                <w:color w:val="auto"/>
              </w:rPr>
            </w:pPr>
          </w:p>
        </w:tc>
        <w:tc>
          <w:tcPr>
            <w:tcW w:w="2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9,566,702</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9,721,703</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95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ind w:right="113"/>
              <w:spacing w:after="0"/>
              <w:rPr>
                <w:sz w:val="20"/>
                <w:szCs w:val="20"/>
                <w:color w:val="auto"/>
              </w:rPr>
            </w:pPr>
            <w:r>
              <w:rPr>
                <w:rFonts w:ascii="Arial" w:cs="Arial" w:eastAsia="Arial" w:hAnsi="Arial"/>
                <w:sz w:val="16"/>
                <w:szCs w:val="16"/>
                <w:b w:val="1"/>
                <w:bCs w:val="1"/>
                <w:color w:val="auto"/>
                <w:w w:val="94"/>
              </w:rPr>
              <w:t>Period from October 6 to</w:t>
            </w:r>
          </w:p>
        </w:tc>
      </w:tr>
      <w:tr>
        <w:trPr>
          <w:trHeight w:val="210"/>
        </w:trPr>
        <w:tc>
          <w:tcPr>
            <w:tcW w:w="9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jc w:val="right"/>
              <w:ind w:right="333"/>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324"/>
        </w:trPr>
        <w:tc>
          <w:tcPr>
            <w:tcW w:w="92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2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958"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Schedule 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jc w:val="right"/>
              <w:ind w:right="231"/>
              <w:spacing w:after="0"/>
              <w:rPr>
                <w:sz w:val="20"/>
                <w:szCs w:val="20"/>
                <w:color w:val="auto"/>
              </w:rPr>
            </w:pPr>
            <w:r>
              <w:rPr>
                <w:rFonts w:ascii="Arial" w:cs="Arial" w:eastAsia="Arial" w:hAnsi="Arial"/>
                <w:sz w:val="16"/>
                <w:szCs w:val="16"/>
                <w:b w:val="1"/>
                <w:bCs w:val="1"/>
                <w:color w:val="auto"/>
                <w:w w:val="97"/>
              </w:rPr>
              <w:t>Period from October 6 to</w:t>
            </w:r>
          </w:p>
        </w:tc>
      </w:tr>
      <w:tr>
        <w:trPr>
          <w:trHeight w:val="210"/>
        </w:trPr>
        <w:tc>
          <w:tcPr>
            <w:tcW w:w="9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60"/>
              <w:spacing w:after="0"/>
              <w:rPr>
                <w:sz w:val="20"/>
                <w:szCs w:val="20"/>
                <w:color w:val="auto"/>
              </w:rPr>
            </w:pPr>
            <w:r>
              <w:rPr>
                <w:rFonts w:ascii="Arial" w:cs="Arial" w:eastAsia="Arial" w:hAnsi="Arial"/>
                <w:sz w:val="18"/>
                <w:szCs w:val="18"/>
                <w:color w:val="auto"/>
              </w:rPr>
              <w:t>Change in intercompany balances, net</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98,813</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99,095</w:t>
            </w:r>
          </w:p>
        </w:tc>
      </w:tr>
      <w:tr>
        <w:trPr>
          <w:trHeight w:val="318"/>
        </w:trPr>
        <w:tc>
          <w:tcPr>
            <w:tcW w:w="90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Investment in subsidiary</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Cash flows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318"/>
        </w:trPr>
        <w:tc>
          <w:tcPr>
            <w:tcW w:w="90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Proceeds from private placement of common stock</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964,376</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Mandatory debt conversion costs</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9020" w:type="dxa"/>
            <w:vAlign w:val="bottom"/>
          </w:tcPr>
          <w:p>
            <w:pPr>
              <w:ind w:left="620"/>
              <w:spacing w:after="0"/>
              <w:rPr>
                <w:sz w:val="20"/>
                <w:szCs w:val="20"/>
                <w:color w:val="auto"/>
              </w:rPr>
            </w:pPr>
            <w:r>
              <w:rPr>
                <w:rFonts w:ascii="Arial" w:cs="Arial" w:eastAsia="Arial" w:hAnsi="Arial"/>
                <w:sz w:val="18"/>
                <w:szCs w:val="18"/>
                <w:color w:val="auto"/>
              </w:rPr>
              <w:t>Cash flows provided by financing activities</w:t>
            </w:r>
          </w:p>
        </w:tc>
        <w:tc>
          <w:tcPr>
            <w:tcW w:w="22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964,363</w:t>
            </w:r>
          </w:p>
        </w:tc>
      </w:tr>
      <w:tr>
        <w:trPr>
          <w:trHeight w:val="27"/>
        </w:trPr>
        <w:tc>
          <w:tcPr>
            <w:tcW w:w="9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318"/>
        </w:trPr>
        <w:tc>
          <w:tcPr>
            <w:tcW w:w="9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63,458</w:t>
            </w:r>
          </w:p>
        </w:tc>
      </w:tr>
      <w:tr>
        <w:trPr>
          <w:trHeight w:val="27"/>
        </w:trPr>
        <w:tc>
          <w:tcPr>
            <w:tcW w:w="9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55,659</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119,117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ectPr>
          <w:pgSz w:w="11900" w:h="16838" w:orient="portrait"/>
          <w:cols w:equalWidth="0" w:num="1">
            <w:col w:w="11420"/>
          </w:cols>
          <w:pgMar w:left="240" w:top="1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121"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200" w:lineRule="exact"/>
        <w:rPr>
          <w:sz w:val="20"/>
          <w:szCs w:val="20"/>
          <w:color w:val="auto"/>
        </w:rPr>
      </w:pPr>
    </w:p>
    <w:p>
      <w:pPr>
        <w:spacing w:after="0" w:line="38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condensed parent company financial information have been prepared in accordance with Rule 12-04, Schedule 1 of Regulation S-X, as the restricted net assets of VICI Properties Inc. and its subsidiaries exceed 25% of the consolidated net assets of VICI Properties Inc. and its subsidiaries (the “Company”). This information should be read in conjunction with the Company’s consolidated financial statements included elsewhere in this filing.</w:t>
      </w:r>
    </w:p>
    <w:p>
      <w:pPr>
        <w:spacing w:after="0" w:line="10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of the Company’s subsidiaries have restrictions on their ability to pay dividends or make intercompany loans and advances pursuant to financing arrangements and regulatory restrictions. The amount of restricted net assets the Company’s consolidated subsidiaries held as of December 31, 2017 was approximately $1.5 billion.</w:t>
      </w:r>
    </w:p>
    <w:p>
      <w:pPr>
        <w:spacing w:after="0" w:line="12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discussion of the Company’s commitments, contingencies, and long-term obligations under its senior secured credit facilities, see Note 11 of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742"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REAL ESTATE ASSETS AND ACCUMULATED DEPRECIATION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89"/>
              </w:rPr>
              <w:t>Costs Capitalized Subsequent</w:t>
            </w:r>
          </w:p>
        </w:tc>
        <w:tc>
          <w:tcPr>
            <w:tcW w:w="18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0"/>
              </w:rPr>
              <w:t>Gross Amount at Which Carried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74"/>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8"/>
              </w:rPr>
              <w:t>Acquisition Costs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w w:val="99"/>
              </w:rPr>
              <w:t>to Acquisition</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5"/>
              </w:rPr>
              <w:t>at Close of Period</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44"/>
        </w:trPr>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20" w:type="dxa"/>
            <w:vAlign w:val="bottom"/>
          </w:tcPr>
          <w:p>
            <w:pPr>
              <w:spacing w:after="0"/>
              <w:rPr>
                <w:sz w:val="12"/>
                <w:szCs w:val="12"/>
                <w:color w:val="auto"/>
              </w:rPr>
            </w:pPr>
          </w:p>
        </w:tc>
        <w:tc>
          <w:tcPr>
            <w:tcW w:w="80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Land and</w:t>
            </w:r>
          </w:p>
        </w:tc>
        <w:tc>
          <w:tcPr>
            <w:tcW w:w="940" w:type="dxa"/>
            <w:vAlign w:val="bottom"/>
            <w:gridSpan w:val="3"/>
          </w:tcPr>
          <w:p>
            <w:pPr>
              <w:jc w:val="right"/>
              <w:ind w:right="180"/>
              <w:spacing w:after="0" w:line="144" w:lineRule="exact"/>
              <w:rPr>
                <w:sz w:val="20"/>
                <w:szCs w:val="20"/>
                <w:color w:val="auto"/>
              </w:rPr>
            </w:pPr>
            <w:r>
              <w:rPr>
                <w:rFonts w:ascii="Arial" w:cs="Arial" w:eastAsia="Arial" w:hAnsi="Arial"/>
                <w:sz w:val="13"/>
                <w:szCs w:val="13"/>
                <w:b w:val="1"/>
                <w:bCs w:val="1"/>
                <w:color w:val="auto"/>
                <w:w w:val="93"/>
              </w:rPr>
              <w:t>Building and</w:t>
            </w:r>
          </w:p>
        </w:tc>
        <w:tc>
          <w:tcPr>
            <w:tcW w:w="100" w:type="dxa"/>
            <w:vAlign w:val="bottom"/>
          </w:tcPr>
          <w:p>
            <w:pPr>
              <w:spacing w:after="0"/>
              <w:rPr>
                <w:sz w:val="12"/>
                <w:szCs w:val="12"/>
                <w:color w:val="auto"/>
              </w:rPr>
            </w:pPr>
          </w:p>
        </w:tc>
        <w:tc>
          <w:tcPr>
            <w:tcW w:w="8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Land and</w:t>
            </w:r>
          </w:p>
        </w:tc>
        <w:tc>
          <w:tcPr>
            <w:tcW w:w="9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Building and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5"/>
              </w:rPr>
              <w:t>Date</w:t>
            </w:r>
          </w:p>
        </w:tc>
        <w:tc>
          <w:tcPr>
            <w:tcW w:w="4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Useful</w:t>
            </w:r>
          </w:p>
        </w:tc>
      </w:tr>
      <w:tr>
        <w:trPr>
          <w:trHeight w:val="174"/>
        </w:trPr>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Location</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Encumbrances</w:t>
            </w:r>
          </w:p>
        </w:tc>
        <w:tc>
          <w:tcPr>
            <w:tcW w:w="12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Improvements</w:t>
            </w: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9"/>
              </w:rPr>
              <w:t>Improvements</w:t>
            </w:r>
          </w:p>
        </w:tc>
        <w:tc>
          <w:tcPr>
            <w:tcW w:w="10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Improvements</w:t>
            </w:r>
          </w:p>
        </w:tc>
        <w:tc>
          <w:tcPr>
            <w:tcW w:w="120" w:type="dxa"/>
            <w:vAlign w:val="bottom"/>
          </w:tcPr>
          <w:p>
            <w:pPr>
              <w:spacing w:after="0"/>
              <w:rPr>
                <w:sz w:val="15"/>
                <w:szCs w:val="15"/>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7"/>
              </w:rPr>
              <w:t>Improvements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4"/>
              </w:rPr>
              <w:t>Total (a)</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1"/>
              </w:rPr>
              <w:t>Depreciation</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Life</w:t>
            </w:r>
          </w:p>
        </w:tc>
      </w:tr>
      <w:tr>
        <w:trPr>
          <w:trHeight w:val="148"/>
        </w:trPr>
        <w:tc>
          <w:tcPr>
            <w:tcW w:w="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Caesars Palace</w:t>
            </w:r>
          </w:p>
        </w:tc>
        <w:tc>
          <w:tcPr>
            <w:tcW w:w="8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Las Vegas,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960" w:type="dxa"/>
            <w:vAlign w:val="bottom"/>
            <w:gridSpan w:val="2"/>
          </w:tcPr>
          <w:p>
            <w:pPr>
              <w:ind w:left="20"/>
              <w:spacing w:after="0"/>
              <w:rPr>
                <w:sz w:val="20"/>
                <w:szCs w:val="20"/>
                <w:color w:val="auto"/>
              </w:rPr>
            </w:pPr>
            <w:r>
              <w:rPr>
                <w:rFonts w:ascii="Arial" w:cs="Arial" w:eastAsia="Arial" w:hAnsi="Arial"/>
                <w:sz w:val="13"/>
                <w:szCs w:val="13"/>
                <w:color w:val="auto"/>
              </w:rPr>
              <w:t>Land</w:t>
            </w: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Nevada</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(b) (c)</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4"/>
                <w:szCs w:val="14"/>
                <w:color w:val="auto"/>
              </w:rPr>
            </w:pPr>
          </w:p>
        </w:tc>
        <w:tc>
          <w:tcPr>
            <w:tcW w:w="48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46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4"/>
                <w:szCs w:val="14"/>
                <w:color w:val="auto"/>
              </w:rPr>
            </w:pP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7"/>
              <w:spacing w:after="0"/>
              <w:rPr>
                <w:sz w:val="20"/>
                <w:szCs w:val="20"/>
                <w:color w:val="auto"/>
              </w:rPr>
            </w:pPr>
            <w:r>
              <w:rPr>
                <w:rFonts w:ascii="Arial" w:cs="Arial" w:eastAsia="Arial" w:hAnsi="Arial"/>
                <w:sz w:val="13"/>
                <w:szCs w:val="13"/>
                <w:color w:val="auto"/>
                <w:w w:val="89"/>
              </w:rPr>
              <w:t>10/6/2017</w:t>
            </w:r>
          </w:p>
        </w:tc>
        <w:tc>
          <w:tcPr>
            <w:tcW w:w="1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3"/>
                <w:szCs w:val="13"/>
                <w:color w:val="auto"/>
              </w:rPr>
              <w:t>N/A</w:t>
            </w:r>
          </w:p>
        </w:tc>
      </w:tr>
      <w:tr>
        <w:trPr>
          <w:trHeight w:val="15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Vacant Land</w:t>
            </w: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6"/>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Parcels</w:t>
            </w:r>
          </w:p>
        </w:tc>
        <w:tc>
          <w:tcPr>
            <w:tcW w:w="8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Various</w:t>
            </w:r>
          </w:p>
        </w:tc>
        <w:tc>
          <w:tcPr>
            <w:tcW w:w="9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7"/>
              </w:rPr>
              <w:t>(d)</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110,400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110,400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110,400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center"/>
              <w:ind w:left="17"/>
              <w:spacing w:after="0"/>
              <w:rPr>
                <w:sz w:val="20"/>
                <w:szCs w:val="20"/>
                <w:color w:val="auto"/>
              </w:rPr>
            </w:pPr>
            <w:r>
              <w:rPr>
                <w:rFonts w:ascii="Arial" w:cs="Arial" w:eastAsia="Arial" w:hAnsi="Arial"/>
                <w:sz w:val="13"/>
                <w:szCs w:val="13"/>
                <w:color w:val="auto"/>
                <w:w w:val="89"/>
              </w:rPr>
              <w:t>10/6/2017</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N/A</w:t>
            </w:r>
          </w:p>
        </w:tc>
      </w:tr>
      <w:tr>
        <w:trPr>
          <w:trHeight w:val="148"/>
        </w:trPr>
        <w:tc>
          <w:tcPr>
            <w:tcW w:w="9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Eastside</w:t>
            </w:r>
          </w:p>
        </w:tc>
        <w:tc>
          <w:tcPr>
            <w:tcW w:w="88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Las Vegas,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70"/>
        </w:trPr>
        <w:tc>
          <w:tcPr>
            <w:tcW w:w="9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Property (c)</w:t>
            </w:r>
          </w:p>
        </w:tc>
        <w:tc>
          <w:tcPr>
            <w:tcW w:w="8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Nevada</w:t>
            </w: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73,600</w:t>
            </w: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73,600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gridSpan w:val="2"/>
          </w:tcPr>
          <w:p>
            <w:pPr>
              <w:jc w:val="center"/>
              <w:ind w:left="17"/>
              <w:spacing w:after="0"/>
              <w:rPr>
                <w:sz w:val="20"/>
                <w:szCs w:val="20"/>
                <w:color w:val="auto"/>
              </w:rPr>
            </w:pPr>
            <w:r>
              <w:rPr>
                <w:rFonts w:ascii="Arial" w:cs="Arial" w:eastAsia="Arial" w:hAnsi="Arial"/>
                <w:sz w:val="13"/>
                <w:szCs w:val="13"/>
                <w:color w:val="auto"/>
                <w:w w:val="89"/>
              </w:rPr>
              <w:t>10/6/2017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rPr>
              <w:t>N/A</w:t>
            </w:r>
          </w:p>
        </w:tc>
      </w:tr>
      <w:tr>
        <w:trPr>
          <w:trHeight w:val="237"/>
        </w:trPr>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1,184,000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1,184,000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1,184,000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346" w:lineRule="exact"/>
        <w:rPr>
          <w:sz w:val="20"/>
          <w:szCs w:val="20"/>
          <w:color w:val="auto"/>
        </w:rPr>
      </w:pPr>
    </w:p>
    <w:p>
      <w:pPr>
        <w:jc w:val="both"/>
        <w:ind w:left="60" w:right="600" w:firstLine="9"/>
        <w:spacing w:after="0" w:line="257" w:lineRule="auto"/>
        <w:tabs>
          <w:tab w:leader="none" w:pos="2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 xml:space="preserve">As discussed further in Note 2 </w:t>
      </w:r>
      <w:r>
        <w:rPr>
          <w:rFonts w:ascii="Arial" w:cs="Arial" w:eastAsia="Arial" w:hAnsi="Arial"/>
          <w:sz w:val="12"/>
          <w:szCs w:val="12"/>
          <w:b w:val="1"/>
          <w:bCs w:val="1"/>
          <w:color w:val="auto"/>
        </w:rPr>
        <w:t>—</w:t>
      </w:r>
      <w:r>
        <w:rPr>
          <w:rFonts w:ascii="Arial" w:cs="Arial" w:eastAsia="Arial" w:hAnsi="Arial"/>
          <w:sz w:val="12"/>
          <w:szCs w:val="12"/>
          <w:color w:val="auto"/>
        </w:rPr>
        <w:t xml:space="preserve"> Summary of Significant Accounting Policies, the Lease Agreements are bifurcated between operating leases and direct financing leases, resulting in land that is subject to operating lease treatment being recorded as a Real Estate Investments accounted for using the operating method on the Company's Balance Sheet and included in this Schedule III. Building assets that triggered direct financing lease treatment are recorded Investment in direct financing leases, net on the Company's Balance Sheet and are not included in this Schedule III.</w:t>
      </w:r>
    </w:p>
    <w:p>
      <w:pPr>
        <w:spacing w:after="0" w:line="100" w:lineRule="exact"/>
        <w:rPr>
          <w:rFonts w:ascii="Arial" w:cs="Arial" w:eastAsia="Arial" w:hAnsi="Arial"/>
          <w:sz w:val="12"/>
          <w:szCs w:val="12"/>
          <w:color w:val="auto"/>
        </w:rPr>
      </w:pPr>
    </w:p>
    <w:p>
      <w:pPr>
        <w:ind w:left="240" w:hanging="171"/>
        <w:spacing w:after="0"/>
        <w:tabs>
          <w:tab w:leader="none" w:pos="2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Pledged to secure obligations under the CPLV CMBS Debt</w:t>
      </w:r>
    </w:p>
    <w:p>
      <w:pPr>
        <w:spacing w:after="0" w:line="120" w:lineRule="exact"/>
        <w:rPr>
          <w:rFonts w:ascii="Arial" w:cs="Arial" w:eastAsia="Arial" w:hAnsi="Arial"/>
          <w:sz w:val="13"/>
          <w:szCs w:val="13"/>
          <w:color w:val="auto"/>
        </w:rPr>
      </w:pPr>
    </w:p>
    <w:p>
      <w:pPr>
        <w:ind w:left="240" w:hanging="171"/>
        <w:spacing w:after="0"/>
        <w:tabs>
          <w:tab w:leader="none" w:pos="24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Pledged to secure obligations under the Senior Secured Credit Facilities</w:t>
      </w:r>
    </w:p>
    <w:p>
      <w:pPr>
        <w:spacing w:after="0" w:line="39" w:lineRule="exact"/>
        <w:rPr>
          <w:rFonts w:ascii="Arial" w:cs="Arial" w:eastAsia="Arial" w:hAnsi="Arial"/>
          <w:sz w:val="13"/>
          <w:szCs w:val="13"/>
          <w:color w:val="auto"/>
        </w:rPr>
      </w:pPr>
    </w:p>
    <w:p>
      <w:pPr>
        <w:ind w:left="60" w:right="580" w:firstLine="9"/>
        <w:spacing w:after="0" w:line="273" w:lineRule="auto"/>
        <w:tabs>
          <w:tab w:leader="none" w:pos="249"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transaction to sell the Eastside Property to a subsidiary of Caesars closed on December 22, 2017. Due to a put/call option on the land parcels, it was determined that the transaction does not meet the requirements of a completed sale for accounting purposes. As a result, we reclassified $73.6 million from Real estate investments accounted for using the operating method to Land.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A summary of activity for real estate assets and accumulated depreciation for the period October 6, 2017 through December 31, 2017 is as follows: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Real Estate</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Accumulated Depreciation</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October 6, 2017</w:t>
            </w:r>
          </w:p>
        </w:tc>
        <w:tc>
          <w:tcPr>
            <w:tcW w:w="1480" w:type="dxa"/>
            <w:vAlign w:val="bottom"/>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Pr>
          <w:p>
            <w:pPr>
              <w:ind w:left="480"/>
              <w:spacing w:after="0"/>
              <w:rPr>
                <w:sz w:val="20"/>
                <w:szCs w:val="20"/>
                <w:color w:val="auto"/>
              </w:rPr>
            </w:pPr>
            <w:r>
              <w:rPr>
                <w:rFonts w:ascii="Arial" w:cs="Arial" w:eastAsia="Arial" w:hAnsi="Arial"/>
                <w:sz w:val="14"/>
                <w:szCs w:val="14"/>
                <w:color w:val="auto"/>
              </w:rPr>
              <w:t>Additions</w:t>
            </w:r>
          </w:p>
        </w:tc>
        <w:tc>
          <w:tcPr>
            <w:tcW w:w="14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800" w:type="dxa"/>
            <w:vAlign w:val="bottom"/>
          </w:tcPr>
          <w:p>
            <w:pPr>
              <w:ind w:left="1560"/>
              <w:spacing w:after="0"/>
              <w:rPr>
                <w:sz w:val="20"/>
                <w:szCs w:val="20"/>
                <w:color w:val="auto"/>
              </w:rPr>
            </w:pPr>
            <w:r>
              <w:rPr>
                <w:rFonts w:ascii="Arial" w:cs="Arial" w:eastAsia="Arial" w:hAnsi="Arial"/>
                <w:sz w:val="14"/>
                <w:szCs w:val="14"/>
                <w:color w:val="auto"/>
              </w:rPr>
              <w:t>—</w:t>
            </w:r>
          </w:p>
        </w:tc>
      </w:tr>
      <w:tr>
        <w:trPr>
          <w:trHeight w:val="276"/>
        </w:trPr>
        <w:tc>
          <w:tcPr>
            <w:tcW w:w="718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Disposals</w:t>
            </w:r>
          </w:p>
        </w:tc>
        <w:tc>
          <w:tcPr>
            <w:tcW w:w="14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800" w:type="dxa"/>
            <w:vAlign w:val="bottom"/>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64"/>
        </w:trPr>
        <w:tc>
          <w:tcPr>
            <w:tcW w:w="718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Depreciation expense</w:t>
            </w:r>
          </w:p>
        </w:tc>
        <w:tc>
          <w:tcPr>
            <w:tcW w:w="1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ind w:left="1560"/>
              <w:spacing w:after="0"/>
              <w:rPr>
                <w:sz w:val="20"/>
                <w:szCs w:val="20"/>
                <w:color w:val="auto"/>
              </w:rPr>
            </w:pPr>
            <w:r>
              <w:rPr>
                <w:rFonts w:ascii="Arial" w:cs="Arial" w:eastAsia="Arial" w:hAnsi="Arial"/>
                <w:sz w:val="14"/>
                <w:szCs w:val="14"/>
                <w:color w:val="auto"/>
              </w:rPr>
              <w:t>—</w:t>
            </w: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2017</w:t>
            </w:r>
          </w:p>
        </w:tc>
        <w:tc>
          <w:tcPr>
            <w:tcW w:w="1480" w:type="dxa"/>
            <w:vAlign w:val="bottom"/>
            <w:tcBorders>
              <w:bottom w:val="single" w:sz="8" w:color="auto"/>
            </w:tcBorders>
            <w:shd w:val="clear" w:color="auto" w:fill="CCEEFF"/>
          </w:tcPr>
          <w:p>
            <w:pPr>
              <w:jc w:val="right"/>
              <w:ind w:right="13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1,184,000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4"/>
                <w:szCs w:val="14"/>
                <w:color w:val="auto"/>
              </w:rPr>
              <w:t>—</w:t>
            </w:r>
          </w:p>
        </w:tc>
      </w:tr>
      <w:tr>
        <w:trPr>
          <w:trHeight w:val="20"/>
        </w:trPr>
        <w:tc>
          <w:tcPr>
            <w:tcW w:w="7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742" w:right="259" w:bottom="1440" w:gutter="0" w:footer="0" w:header="0"/>
        </w:sectPr>
      </w:pPr>
    </w:p>
    <w:bookmarkStart w:id="114" w:name="page115"/>
    <w:bookmarkEnd w:id="114"/>
    <w:p>
      <w:pPr>
        <w:spacing w:after="0"/>
        <w:tabs>
          <w:tab w:leader="none" w:pos="110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219"/>
          </w:cols>
          <w:pgMar w:left="240" w:top="909"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SIGNATURES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391" w:lineRule="exact"/>
        <w:rPr>
          <w:sz w:val="20"/>
          <w:szCs w:val="20"/>
          <w:color w:val="auto"/>
        </w:rPr>
      </w:pPr>
    </w:p>
    <w:p>
      <w:pPr>
        <w:ind w:left="60"/>
        <w:spacing w:after="0"/>
        <w:tabs>
          <w:tab w:leader="none" w:pos="4820" w:val="left"/>
          <w:tab w:leader="none" w:pos="6920" w:val="left"/>
        </w:tabs>
        <w:rPr>
          <w:sz w:val="20"/>
          <w:szCs w:val="20"/>
          <w:color w:val="auto"/>
        </w:rPr>
      </w:pPr>
      <w:r>
        <w:rPr>
          <w:rFonts w:ascii="Arial" w:cs="Arial" w:eastAsia="Arial" w:hAnsi="Arial"/>
          <w:sz w:val="18"/>
          <w:szCs w:val="18"/>
          <w:color w:val="auto"/>
        </w:rPr>
        <w:t>March 28,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BALTAZAR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163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8">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5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Edward Baltazar Pitoniak</w:t>
      </w:r>
    </w:p>
    <w:p>
      <w:pPr>
        <w:spacing w:after="0" w:line="63"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of the officers and directors of VICI Properties Inc., whose signature appears below, in so signing, also makes, constitutes and appoints each of Edward Pitoniak, David Kieske and Kenneth Kuick,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6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EDWARD BALTAZAR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Baltazar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DAVID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David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KENNETH J. KUICK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1"/>
              </w:rPr>
              <w:t>Kenneth J. Kuick</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6"/>
              </w:rPr>
              <w:t>/S/ JAMES ROBERT ABRAHAMSON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Chair of the Board of Directors</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James Robert Abrahamson</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EUGENE IRWIN DAVIS</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Eugene Irwin Davis</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ERIC LITTMANN HAUSLER</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Eric Littmann Hausler</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ELIZABETH I. HOLLAND</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Elizabeth I. Holland</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8"/>
              </w:rPr>
              <w:t>/S/ CRAIG MACNAB</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Craig Macnab</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9"/>
              </w:rPr>
              <w:t>/S/ MICHAEL DAVID RUMBOLZ</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March 28, 2018</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David Rumbolz</w:t>
            </w:r>
          </w:p>
        </w:tc>
        <w:tc>
          <w:tcPr>
            <w:tcW w:w="1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792" w:right="2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Grant Agreement</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AGREEMENT, made as of [*], 2018, between VICI Properties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 (the “</w:t>
      </w:r>
      <w:r>
        <w:rPr>
          <w:rFonts w:ascii="Arial" w:cs="Arial" w:eastAsia="Arial" w:hAnsi="Arial"/>
          <w:sz w:val="18"/>
          <w:szCs w:val="18"/>
          <w:u w:val="single" w:color="auto"/>
          <w:color w:val="auto"/>
        </w:rPr>
        <w:t>Grantee</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WHEREAS, the Company has adopted and maintains the VICI Properties Inc. 2017 Stock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to provide certain key persons, on whose initiative and efforts the successful conduct of the business of the Company depends, and who are responsible for the management, growth and protection of the business of the Company or its subsidiaries, with incentives to: (a) enter into and remain in the service of the Company or a Company subsidiary, (b) acquire a proprietary interest in the success of the Company, (c) maximize their performance and (d) enhance the long-term performance of the Company (whether directly or indirectly through enhancing the long-term performance of a Company subsidiary);</w:t>
      </w:r>
    </w:p>
    <w:p>
      <w:pPr>
        <w:spacing w:after="0" w:line="173"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WHEREAS, the Plan provides that the Compensation Committee of the Board of Directors of the Company or such other committee to which the Board of Directors has delegated such authority or the Board of Directors (such committee or the Board of Directors, as applicable, the “</w:t>
      </w:r>
      <w:r>
        <w:rPr>
          <w:rFonts w:ascii="Arial" w:cs="Arial" w:eastAsia="Arial" w:hAnsi="Arial"/>
          <w:sz w:val="16"/>
          <w:szCs w:val="16"/>
          <w:u w:val="single" w:color="auto"/>
          <w:color w:val="auto"/>
        </w:rPr>
        <w:t>Administrator</w:t>
      </w:r>
      <w:r>
        <w:rPr>
          <w:rFonts w:ascii="Arial" w:cs="Arial" w:eastAsia="Arial" w:hAnsi="Arial"/>
          <w:sz w:val="16"/>
          <w:szCs w:val="16"/>
          <w:color w:val="auto"/>
        </w:rPr>
        <w:t>”) shall administer the Plan and determine the key persons to whom awards shall be granted and the amount and type of such awards; and</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purposes of the Plan would be furthered by a grant to the Grantee;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NOW, THEREFORE, in consideration of the premises and the mutual covenants hereinafter set forth,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p>
      <w:pPr>
        <w:ind w:right="20" w:firstLine="1305"/>
        <w:spacing w:after="0" w:line="324"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w:t>
      </w:r>
      <w:r>
        <w:rPr>
          <w:rFonts w:ascii="Arial" w:cs="Arial" w:eastAsia="Arial" w:hAnsi="Arial"/>
          <w:sz w:val="18"/>
          <w:szCs w:val="18"/>
          <w:color w:val="auto"/>
        </w:rPr>
        <w:t>. Pursuant to, and subject to, the terms and conditions set forth herein and in the Plan, the Company hereby grants to the Grantee [*] restricted shares of Common Stock (the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080" w:hanging="775"/>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Grant Date</w:t>
      </w:r>
      <w:r>
        <w:rPr>
          <w:rFonts w:ascii="Arial" w:cs="Arial" w:eastAsia="Arial" w:hAnsi="Arial"/>
          <w:sz w:val="18"/>
          <w:szCs w:val="18"/>
          <w:color w:val="auto"/>
        </w:rPr>
        <w:t>. The Grant Date of the Restricted Stock is [*].</w:t>
      </w:r>
    </w:p>
    <w:p>
      <w:pPr>
        <w:spacing w:after="0" w:line="211" w:lineRule="exact"/>
        <w:rPr>
          <w:rFonts w:ascii="Arial" w:cs="Arial" w:eastAsia="Arial" w:hAnsi="Arial"/>
          <w:sz w:val="18"/>
          <w:szCs w:val="18"/>
          <w:color w:val="auto"/>
        </w:rPr>
      </w:pPr>
    </w:p>
    <w:p>
      <w:pPr>
        <w:jc w:val="both"/>
        <w:ind w:firstLine="1305"/>
        <w:spacing w:after="0" w:line="364" w:lineRule="auto"/>
        <w:tabs>
          <w:tab w:leader="none" w:pos="208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Incorporation of Plan</w:t>
      </w:r>
      <w:r>
        <w:rPr>
          <w:rFonts w:ascii="Arial" w:cs="Arial" w:eastAsia="Arial" w:hAnsi="Arial"/>
          <w:sz w:val="16"/>
          <w:szCs w:val="16"/>
          <w:color w:val="auto"/>
        </w:rPr>
        <w:t>. All terms, conditions and restrictions of the Plan are incorporated herein and made part hereof as if stated herein. If there is any conflict between the terms and conditions of the Plan and this Agreement, the terms and conditions of the Plan, as interpreted by the Administrator, shall govern. Except as otherwise provided herein, all capitalized terms used herein shall have the meaning given to such terms in the Plan.</w:t>
      </w:r>
    </w:p>
    <w:p>
      <w:pPr>
        <w:spacing w:after="0" w:line="94" w:lineRule="exact"/>
        <w:rPr>
          <w:rFonts w:ascii="Arial" w:cs="Arial" w:eastAsia="Arial" w:hAnsi="Arial"/>
          <w:sz w:val="16"/>
          <w:szCs w:val="16"/>
          <w:color w:val="auto"/>
        </w:rPr>
      </w:pPr>
    </w:p>
    <w:p>
      <w:pPr>
        <w:ind w:firstLine="1305"/>
        <w:spacing w:after="0" w:line="407" w:lineRule="auto"/>
        <w:tabs>
          <w:tab w:leader="none" w:pos="209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Vesting</w:t>
      </w:r>
      <w:r>
        <w:rPr>
          <w:rFonts w:ascii="Arial" w:cs="Arial" w:eastAsia="Arial" w:hAnsi="Arial"/>
          <w:sz w:val="17"/>
          <w:szCs w:val="17"/>
          <w:color w:val="auto"/>
        </w:rPr>
        <w:t>. [Subject to Section 6 hereof and the further provisions of this Agreement, the Restricted Stock shall vest on [*], subject to the Grantee’s continued service with the Company on such date.] [The Restricted Stock shall be fully vested as of the Grant Date.]</w:t>
      </w:r>
    </w:p>
    <w:p>
      <w:pPr>
        <w:spacing w:after="0" w:line="52" w:lineRule="exact"/>
        <w:rPr>
          <w:rFonts w:ascii="Arial" w:cs="Arial" w:eastAsia="Arial" w:hAnsi="Arial"/>
          <w:sz w:val="17"/>
          <w:szCs w:val="17"/>
          <w:color w:val="auto"/>
        </w:rPr>
      </w:pPr>
    </w:p>
    <w:p>
      <w:pPr>
        <w:jc w:val="both"/>
        <w:ind w:firstLine="1305"/>
        <w:spacing w:after="0" w:line="323" w:lineRule="auto"/>
        <w:tabs>
          <w:tab w:leader="none" w:pos="20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Restrictions on Transferability</w:t>
      </w:r>
      <w:r>
        <w:rPr>
          <w:rFonts w:ascii="Arial" w:cs="Arial" w:eastAsia="Arial" w:hAnsi="Arial"/>
          <w:sz w:val="17"/>
          <w:szCs w:val="17"/>
          <w:color w:val="auto"/>
        </w:rPr>
        <w:t>. The Restricted Stock may not be transferred, pledged, assigned, hypothecated or otherwise disposed of in any way by the Grantee, except by will or by the laws of descent and distribution. In the event that the Grantee becomes legally incapacitated, the Grantee’s rights with respect to the Restricted Stock shall be exercisable by the Grantee’s legal guardian or legal representative. The Restricted Stock shall not be subject to execution, attachment or similar process. Any attempted assignment, transfer, pledge, hypothecation or other disposition of the Restricted Stock contrary to the provisions hereof, and the levy of any execution, attachment or similar process upon any of the shares of Restricted Stock, shall be null and void and without effect. [The provisions of this Section 5 shall remain in effect until [*].]</w:t>
      </w:r>
    </w:p>
    <w:p>
      <w:pPr>
        <w:spacing w:after="0" w:line="123" w:lineRule="exact"/>
        <w:rPr>
          <w:rFonts w:ascii="Arial" w:cs="Arial" w:eastAsia="Arial" w:hAnsi="Arial"/>
          <w:sz w:val="17"/>
          <w:szCs w:val="17"/>
          <w:color w:val="auto"/>
        </w:rPr>
      </w:pPr>
    </w:p>
    <w:p>
      <w:pPr>
        <w:jc w:val="both"/>
        <w:ind w:firstLine="1305"/>
        <w:spacing w:after="0" w:line="329" w:lineRule="auto"/>
        <w:tabs>
          <w:tab w:leader="none" w:pos="2080"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Termination of Service</w:t>
      </w:r>
      <w:r>
        <w:rPr>
          <w:rFonts w:ascii="Arial" w:cs="Arial" w:eastAsia="Arial" w:hAnsi="Arial"/>
          <w:sz w:val="17"/>
          <w:szCs w:val="17"/>
          <w:color w:val="auto"/>
        </w:rPr>
        <w:t>. In the event that the Grantee’s service with the Company terminates before the Restricted Stock is vested, the unvested Restricted Stock, together with any dividends or distributions related to such Restricted Stock, as set forth in Section 9 hereof, shall be forfeited as of the date such service terminates and the Grantee shall not be entitled to any compensation or other amount with respect to such forfeited Restricted Stock and dividends or distributions [, unless otherwise provided in Grantee’s employment agreement with the Company].</w:t>
      </w:r>
    </w:p>
    <w:p>
      <w:pPr>
        <w:sectPr>
          <w:pgSz w:w="11900" w:h="16838" w:orient="portrait"/>
          <w:cols w:equalWidth="0" w:num="1">
            <w:col w:w="11420"/>
          </w:cols>
          <w:pgMar w:left="240" w:top="742" w:right="239" w:bottom="1440" w:gutter="0" w:footer="0" w:header="0"/>
        </w:sectPr>
      </w:pPr>
    </w:p>
    <w:bookmarkStart w:id="117" w:name="page118"/>
    <w:bookmarkEnd w:id="117"/>
    <w:p>
      <w:pPr>
        <w:ind w:left="1420" w:hanging="775"/>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660" w:firstLine="1953"/>
        <w:spacing w:after="0" w:line="264" w:lineRule="auto"/>
        <w:tabs>
          <w:tab w:leader="none" w:pos="16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Reasonably promptly after the Grant Date, the Company shall issue stock certificates, registered in the name of the Grantee, evidencing the shares of Restricted Stock or shall make (or cause to be made) an appropriate book entry reflecting the Grantee’s ownership of the shares of Restricted Stock. The Restricted Stock, if certificated, shall bear the following legend: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SALE, TRANSFER, ASSIGNMENT, PLEDGE, HYPOTHECATION ENCUMBRANCE OR OTHER DISPOSAL OF THE SECURITIES REPRESENTED BY THIS CERTIFICATE ARE SUBJECT TO THE TERMS OF THE VICI PROPERTIES INC. 2017 STOCK INCENTIVE PLAN AND A RESTRICTED STOCK GRANT AGREEMENT BETWEEN VICI PROPERTIES INC. AND THE HOLDER OF RECORD OF THE SECURITIES REPRESENTED BY THIS CERTIFICATE. NO TRANSFER OF THE SECURITIES REPRESENTED BY THIS CERTIFICATE IN CONTRAVENTION OF SUCH PLAN AND RESTRICTED STOCK GRANT AGREEMENT SHALL BE VALID OR EFFECTIVE. COPIES OF SUCH AGREEMENT MAY BE OBTAINED BY WRITTEN REQUEST MADE BY THE HOLDER OF RECORD OF THE CERTIFICATE TO THE SECRETARY OF VICI PROPERTIES INC.</w:t>
      </w:r>
    </w:p>
    <w:p>
      <w:pPr>
        <w:spacing w:after="0" w:line="178" w:lineRule="exact"/>
        <w:rPr>
          <w:sz w:val="20"/>
          <w:szCs w:val="20"/>
          <w:color w:val="auto"/>
        </w:rPr>
      </w:pPr>
    </w:p>
    <w:p>
      <w:pPr>
        <w:jc w:val="both"/>
        <w:ind w:left="-660" w:firstLine="1953"/>
        <w:spacing w:after="0" w:line="264" w:lineRule="auto"/>
        <w:tabs>
          <w:tab w:leader="none" w:pos="172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Each certificate issued pursuant to Section 7(a) hereof, together with the stock powers relating to such shares of Restricted Stock, shall be held in the custody of the Company. The Company shall issue to the Grantee a receipt evidencing the certificates held by it which are registered in the name of the Grantee.</w:t>
      </w:r>
    </w:p>
    <w:p>
      <w:pPr>
        <w:spacing w:after="0" w:line="181" w:lineRule="exact"/>
        <w:rPr>
          <w:rFonts w:ascii="Arial" w:cs="Arial" w:eastAsia="Arial" w:hAnsi="Arial"/>
          <w:sz w:val="18"/>
          <w:szCs w:val="18"/>
          <w:color w:val="auto"/>
        </w:rPr>
      </w:pPr>
    </w:p>
    <w:p>
      <w:pPr>
        <w:jc w:val="both"/>
        <w:ind w:left="-660" w:firstLine="1953"/>
        <w:spacing w:after="0" w:line="257" w:lineRule="auto"/>
        <w:tabs>
          <w:tab w:leader="none" w:pos="1738"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Reasonably promptly after the restrictions on transferability set forth in Section 5 hereof lapse, in the case of certificated shares, in exchange for the surrender to the Company of the receipt evidencing the Restricted Stock, delivered to the Grantee under Section 7(b) hereof, and the receipts evidencing any other securities received in respect of such shares, if any, the Company shall issue and deliver to the Grantee (or the Grantee’s legal representative, beneficiary or heir) the certificate evidencing the Restricted Stock and such other securities, free of the legend provided in Section 7(a) hereof.</w:t>
      </w:r>
    </w:p>
    <w:p>
      <w:pPr>
        <w:spacing w:after="0" w:line="188" w:lineRule="exact"/>
        <w:rPr>
          <w:rFonts w:ascii="Arial" w:cs="Arial" w:eastAsia="Arial" w:hAnsi="Arial"/>
          <w:sz w:val="18"/>
          <w:szCs w:val="18"/>
          <w:color w:val="auto"/>
        </w:rPr>
      </w:pPr>
    </w:p>
    <w:p>
      <w:pPr>
        <w:jc w:val="both"/>
        <w:ind w:left="-660" w:firstLine="1953"/>
        <w:spacing w:after="0" w:line="257" w:lineRule="auto"/>
        <w:tabs>
          <w:tab w:leader="none" w:pos="17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may require as a condition of the delivery of stock certificates pursuant to Section 7(c) hereof that the Executive remit to the Company an amount sufficient in the opinion of the Company to satisfy any federal, state and other governmental tax withholding requirements related to the vesting of the shares represented by such certificate. The Administrator, in its sole discretion, may permit the Executive to satisfy such obligation by delivering shares of Common Stock or by directing the Company to withhold from delivery shares of Common Stock, in either case valued at their Fair Market Value on the Vesting Date with fractional shares being settled in cash.</w:t>
      </w:r>
    </w:p>
    <w:p>
      <w:pPr>
        <w:spacing w:after="0" w:line="188" w:lineRule="exact"/>
        <w:rPr>
          <w:rFonts w:ascii="Arial" w:cs="Arial" w:eastAsia="Arial" w:hAnsi="Arial"/>
          <w:sz w:val="18"/>
          <w:szCs w:val="18"/>
          <w:color w:val="auto"/>
        </w:rPr>
      </w:pPr>
    </w:p>
    <w:p>
      <w:pPr>
        <w:jc w:val="both"/>
        <w:ind w:left="-660" w:firstLine="1953"/>
        <w:spacing w:after="0" w:line="276" w:lineRule="auto"/>
        <w:tabs>
          <w:tab w:leader="none" w:pos="1667"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Grantee shall not be deemed for any purpose to be, or have rights as, a shareholder of the Company by virtue of the grant of Restricted Stock, except to the extent a stock certificate is issued therefor or an appropriate book entry is made reflecting the issuance thereof pursuant to Section 7(a) hereof, and then only from the date such certificate is issued or such book entry is made. Upon the issuance of a stock certificate or the making of an appropriate book entry, the Grantee shall have all of the rights of a shareholder with respect to the Restricted Stock, including the right to vote the shares, subject to the restrictions on transferability and the forfeiture provisions, as set forth in this Agreement.</w:t>
      </w:r>
    </w:p>
    <w:p>
      <w:pPr>
        <w:spacing w:after="0" w:line="199" w:lineRule="exact"/>
        <w:rPr>
          <w:rFonts w:ascii="Arial" w:cs="Arial" w:eastAsia="Arial" w:hAnsi="Arial"/>
          <w:sz w:val="17"/>
          <w:szCs w:val="17"/>
          <w:color w:val="auto"/>
        </w:rPr>
      </w:pPr>
    </w:p>
    <w:p>
      <w:pPr>
        <w:jc w:val="both"/>
        <w:ind w:left="-660" w:firstLine="1305"/>
        <w:spacing w:after="0" w:line="320"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Securities Matters</w:t>
      </w:r>
      <w:r>
        <w:rPr>
          <w:rFonts w:ascii="Arial" w:cs="Arial" w:eastAsia="Arial" w:hAnsi="Arial"/>
          <w:sz w:val="17"/>
          <w:szCs w:val="17"/>
          <w:color w:val="auto"/>
        </w:rPr>
        <w:t>. The Company shall be under no obligation to effect the registration pursuant to the Securities Act of 1933, as amended (the “</w:t>
      </w:r>
      <w:r>
        <w:rPr>
          <w:rFonts w:ascii="Arial" w:cs="Arial" w:eastAsia="Arial" w:hAnsi="Arial"/>
          <w:sz w:val="17"/>
          <w:szCs w:val="17"/>
          <w:u w:val="single" w:color="auto"/>
          <w:color w:val="auto"/>
        </w:rPr>
        <w:t>1933 Act</w:t>
      </w:r>
      <w:r>
        <w:rPr>
          <w:rFonts w:ascii="Arial" w:cs="Arial" w:eastAsia="Arial" w:hAnsi="Arial"/>
          <w:sz w:val="17"/>
          <w:szCs w:val="17"/>
          <w:color w:val="auto"/>
        </w:rPr>
        <w:t>”) of any interests in the Plan or any shares of Common Stock to be issued thereunder or to effect similar compliance under any state laws. The Company shall not be obligated to cause to be issued any shares, whether by means of stock certificates or appropriate book entries, unless and until the Company is advised by its counsel that the issuance of such shares is in compliance with all applicable laws, regulations of governmental authority and the requirements of any securities exchange on which shares of Common Stock are traded. The Administrator may require, as a condition of the issuance of shares of Common Stock pursuant to the terms hereof, that the recipient of such shares make such covenants, agreements and representations, and that any certificates bear such legends and any book entries be subject to such electronic coding, as the Administrator, in its sole discretion, deems necessary or desirable. The Grantee specifically understands and agrees that the shares of Common Stock, if and when issued, may be “restricted securities,” as that term is defined in Rule 144 under the 1933 Act and, accordingly, the Grantee</w:t>
      </w:r>
    </w:p>
    <w:p>
      <w:pPr>
        <w:sectPr>
          <w:pgSz w:w="11900" w:h="16838" w:orient="portrait"/>
          <w:cols w:equalWidth="0" w:num="1">
            <w:col w:w="10760"/>
          </w:cols>
          <w:pgMar w:left="900" w:top="611"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may be required to hold the shares indefinitely unless they are registered under such Act or an exemption from such registration is available.</w:t>
      </w:r>
    </w:p>
    <w:p>
      <w:pPr>
        <w:spacing w:after="0" w:line="266" w:lineRule="exact"/>
        <w:rPr>
          <w:sz w:val="20"/>
          <w:szCs w:val="20"/>
          <w:color w:val="auto"/>
        </w:rPr>
      </w:pPr>
    </w:p>
    <w:p>
      <w:pPr>
        <w:ind w:left="2080" w:hanging="775"/>
        <w:spacing w:after="0"/>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Dividends, etc</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1953"/>
        <w:spacing w:after="0" w:line="289" w:lineRule="auto"/>
        <w:tabs>
          <w:tab w:leader="none" w:pos="2381" w:val="left"/>
        </w:tabs>
        <w:numPr>
          <w:ilvl w:val="1"/>
          <w:numId w:val="38"/>
        </w:numPr>
        <w:rPr>
          <w:rFonts w:ascii="Arial" w:cs="Arial" w:eastAsia="Arial" w:hAnsi="Arial"/>
          <w:sz w:val="16"/>
          <w:szCs w:val="16"/>
          <w:color w:val="auto"/>
        </w:rPr>
      </w:pPr>
      <w:r>
        <w:rPr>
          <w:rFonts w:ascii="Arial" w:cs="Arial" w:eastAsia="Arial" w:hAnsi="Arial"/>
          <w:sz w:val="16"/>
          <w:szCs w:val="16"/>
          <w:color w:val="auto"/>
        </w:rPr>
        <w:t>Unless the Administrator otherwise determines, any property received by the Grantee with respect to a share of Restricted Stock as a result of any cash dividend, stock dividend, recapitalization, merger, consolidation, combination, exchange of shares or otherwise, (i) will not vest until such share of Restricted Stock vests, (ii) may be held by the Company and (iii) shall be subject to the provisions of this Agreement, including the restrictions set forth in Section 8, and to all other restrictions as apply to the shares in respect of which such property was paid. The Company shall issue to the Grantee a receipt evidencing the property held by it in respect of the Restricted Stock. Any such property (but not including securities) received by the Grantee with respect to a share of Restricted Stock shall be returned to the Company in the event such share of Restricted Stock is forfeited. Any securities received by the Grantee with respect to a share of Restricted Stock as a result of any dividend, recapitalization, merger, consolidation, combination, exchange of shares or otherwise will not vest until such share of Restricted Stock vests and shall be forfeited if such share of Restricted Stock is forfeited. Unless the Administrator otherwise determines, such securities shall bear a legend, as set forth in Section 7(a) hereof.</w:t>
      </w:r>
    </w:p>
    <w:p>
      <w:pPr>
        <w:spacing w:after="0" w:line="112" w:lineRule="exact"/>
        <w:rPr>
          <w:rFonts w:ascii="Arial" w:cs="Arial" w:eastAsia="Arial" w:hAnsi="Arial"/>
          <w:sz w:val="16"/>
          <w:szCs w:val="16"/>
          <w:color w:val="auto"/>
        </w:rPr>
      </w:pPr>
    </w:p>
    <w:p>
      <w:pPr>
        <w:jc w:val="both"/>
        <w:ind w:firstLine="1953"/>
        <w:spacing w:after="0" w:line="297" w:lineRule="auto"/>
        <w:tabs>
          <w:tab w:leader="none" w:pos="242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cash dividends received with respect to the Restricted Stock that are held by the Company pending vesting of the underlying shares of Restricted Stock, shall be deemed invested in a number of shares of Common Stock, including fractional shares, equal to (i) the value of the dividend that the Grantee received with respect to the Restricted Stock divided by (ii) the closing price of a share of Common Stock on the date the dividend was issued. If the Restricted Stock is forfeited, the corresponding dividends shall be forfeited as well. At such time as the Restricted Stock vests, the Company shall pay the Grantee an amount in cash equal to the value of the shares of Common Stock in which such dividends are deemed invested.</w:t>
      </w:r>
    </w:p>
    <w:p>
      <w:pPr>
        <w:spacing w:after="0" w:line="185" w:lineRule="exact"/>
        <w:rPr>
          <w:rFonts w:ascii="Arial" w:cs="Arial" w:eastAsia="Arial" w:hAnsi="Arial"/>
          <w:sz w:val="16"/>
          <w:szCs w:val="16"/>
          <w:color w:val="auto"/>
        </w:rPr>
      </w:pPr>
    </w:p>
    <w:p>
      <w:pPr>
        <w:jc w:val="both"/>
        <w:ind w:firstLine="1305"/>
        <w:spacing w:after="0" w:line="323" w:lineRule="auto"/>
        <w:tabs>
          <w:tab w:leader="none" w:pos="217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hereto upon any breach or default of any party under this Agreement, shall impair any such right, power or remedy of such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or any provisions or conditions of this Agreement, must be in a writing signed by such party and shall be effective only to the extent specifically set forth in such writing.</w:t>
      </w:r>
    </w:p>
    <w:p>
      <w:pPr>
        <w:spacing w:after="0" w:line="177" w:lineRule="exact"/>
        <w:rPr>
          <w:rFonts w:ascii="Arial" w:cs="Arial" w:eastAsia="Arial" w:hAnsi="Arial"/>
          <w:sz w:val="17"/>
          <w:szCs w:val="17"/>
          <w:color w:val="auto"/>
        </w:rPr>
      </w:pPr>
    </w:p>
    <w:p>
      <w:pPr>
        <w:ind w:left="2180" w:hanging="875"/>
        <w:spacing w:after="0"/>
        <w:tabs>
          <w:tab w:leader="none" w:pos="2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Right of Discharge Preserved</w:t>
      </w:r>
      <w:r>
        <w:rPr>
          <w:rFonts w:ascii="Arial" w:cs="Arial" w:eastAsia="Arial" w:hAnsi="Arial"/>
          <w:sz w:val="18"/>
          <w:szCs w:val="18"/>
          <w:color w:val="auto"/>
        </w:rPr>
        <w:t>.</w:t>
      </w:r>
    </w:p>
    <w:p>
      <w:pPr>
        <w:spacing w:after="0" w:line="50" w:lineRule="exact"/>
        <w:rPr>
          <w:sz w:val="20"/>
          <w:szCs w:val="20"/>
          <w:color w:val="auto"/>
        </w:rPr>
      </w:pPr>
    </w:p>
    <w:p>
      <w:pPr>
        <w:ind w:left="660" w:firstLine="1293"/>
        <w:spacing w:after="0" w:line="324" w:lineRule="auto"/>
        <w:tabs>
          <w:tab w:leader="none" w:pos="27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Nothing in this Agreement shall confer upon the Grantee the right to continue in the service of the Company, or affect any right which the Company may have to terminate such service.</w:t>
      </w:r>
    </w:p>
    <w:p>
      <w:pPr>
        <w:spacing w:after="0" w:line="170" w:lineRule="exact"/>
        <w:rPr>
          <w:rFonts w:ascii="Arial" w:cs="Arial" w:eastAsia="Arial" w:hAnsi="Arial"/>
          <w:sz w:val="18"/>
          <w:szCs w:val="18"/>
          <w:color w:val="auto"/>
        </w:rPr>
      </w:pPr>
    </w:p>
    <w:p>
      <w:pPr>
        <w:jc w:val="both"/>
        <w:ind w:firstLine="1305"/>
        <w:spacing w:after="0" w:line="304" w:lineRule="auto"/>
        <w:tabs>
          <w:tab w:leader="none" w:pos="21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the Plan and any employment agreement between the Grantee and the Company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contains the entire understanding of the parties with respect to its subject matter. There are no restrictions, agreements, promises, representations, warranties, covenants or undertakings with respect to the subject matter hereof other than those expressly set forth herein. This Agreement and the Employment Agreement, including, without limitation, the Plan, supersedes all prior agreements and understandings, written or oral, between the parties with respect to its subject matter.</w:t>
      </w:r>
    </w:p>
    <w:p>
      <w:pPr>
        <w:spacing w:after="0" w:line="188" w:lineRule="exact"/>
        <w:rPr>
          <w:rFonts w:ascii="Arial" w:cs="Arial" w:eastAsia="Arial" w:hAnsi="Arial"/>
          <w:sz w:val="18"/>
          <w:szCs w:val="18"/>
          <w:color w:val="auto"/>
        </w:rPr>
      </w:pPr>
    </w:p>
    <w:p>
      <w:pPr>
        <w:ind w:firstLine="1305"/>
        <w:spacing w:after="0" w:line="324" w:lineRule="auto"/>
        <w:tabs>
          <w:tab w:leader="none" w:pos="21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shall constitute one and the same instrument.</w:t>
      </w:r>
    </w:p>
    <w:p>
      <w:pPr>
        <w:spacing w:after="0" w:line="170" w:lineRule="exact"/>
        <w:rPr>
          <w:rFonts w:ascii="Arial" w:cs="Arial" w:eastAsia="Arial" w:hAnsi="Arial"/>
          <w:sz w:val="18"/>
          <w:szCs w:val="18"/>
          <w:color w:val="auto"/>
        </w:rPr>
      </w:pPr>
    </w:p>
    <w:p>
      <w:pPr>
        <w:ind w:firstLine="1305"/>
        <w:spacing w:after="0" w:line="324" w:lineRule="auto"/>
        <w:tabs>
          <w:tab w:leader="none" w:pos="217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without regard to the provisions governing conflict of laws.</w:t>
      </w:r>
    </w:p>
    <w:p>
      <w:pPr>
        <w:spacing w:after="0" w:line="170" w:lineRule="exact"/>
        <w:rPr>
          <w:rFonts w:ascii="Arial" w:cs="Arial" w:eastAsia="Arial" w:hAnsi="Arial"/>
          <w:sz w:val="18"/>
          <w:szCs w:val="18"/>
          <w:color w:val="auto"/>
        </w:rPr>
      </w:pPr>
    </w:p>
    <w:p>
      <w:pPr>
        <w:jc w:val="both"/>
        <w:ind w:firstLine="1305"/>
        <w:spacing w:after="0" w:line="323" w:lineRule="auto"/>
        <w:tabs>
          <w:tab w:leader="none" w:pos="217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Forfeiture and Recapture</w:t>
      </w:r>
      <w:r>
        <w:rPr>
          <w:rFonts w:ascii="Arial" w:cs="Arial" w:eastAsia="Arial" w:hAnsi="Arial"/>
          <w:sz w:val="17"/>
          <w:szCs w:val="17"/>
          <w:color w:val="auto"/>
        </w:rPr>
        <w:t>. The Restricted Stock and any dividends or other distributions paid with respect to the Restricted Stock will be subject to recoupment in accordance with any existing clawback or recoupment policy, or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as the Board determines necessary or appropriate, including but not limited to a reacquisition right in respect of previously acquired shares of Common Stock or other cash or property</w:t>
      </w:r>
    </w:p>
    <w:p>
      <w:pPr>
        <w:sectPr>
          <w:pgSz w:w="11900" w:h="16838" w:orient="portrait"/>
          <w:cols w:equalWidth="0" w:num="1">
            <w:col w:w="11420"/>
          </w:cols>
          <w:pgMar w:left="240" w:top="611"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upon the occurrence of Cause. The implementation of any such clawback or recoupment policy will not constitute Good Reason.</w:t>
      </w:r>
    </w:p>
    <w:p>
      <w:pPr>
        <w:spacing w:after="0" w:line="266" w:lineRule="exact"/>
        <w:rPr>
          <w:sz w:val="20"/>
          <w:szCs w:val="20"/>
          <w:color w:val="auto"/>
        </w:rPr>
      </w:pPr>
    </w:p>
    <w:p>
      <w:pPr>
        <w:jc w:val="both"/>
        <w:ind w:firstLine="1305"/>
        <w:spacing w:after="0" w:line="301" w:lineRule="auto"/>
        <w:tabs>
          <w:tab w:leader="none" w:pos="217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Obligation to Notify</w:t>
      </w:r>
      <w:r>
        <w:rPr>
          <w:rFonts w:ascii="Arial" w:cs="Arial" w:eastAsia="Arial" w:hAnsi="Arial"/>
          <w:sz w:val="18"/>
          <w:szCs w:val="18"/>
          <w:color w:val="auto"/>
        </w:rPr>
        <w:t>. If the Grantee makes the election permitted under Section 83(b) of the Internal Revenue Code of 1986, as amended (that is, an election to include in gross income in the year of transfer the amounts specified in Section 83(b)), the Grantee shall notify the Company of such election within 10 days of filing notice of the election with the Internal Revenue Service and shall within the same 10-day period remit to the Company an amount sufficient in the opinion of the Company to satisfy any federal, state and other governmental tax withholding requirements related to such inclusion in the Grantee’s income. The Grantee should consult with his or her tax advisor to determine the tax consequences of acquiring the Restricted Stock and the advantages and disadvantages of filing the Section 83(b) election. The Grantee acknowledges that it is his or her sole responsibility, and not the Company’s, to file a timely election under Section 83(b), even if the Grantee requests the Company or its representatives to make this filing on his or her behalf.</w:t>
      </w:r>
    </w:p>
    <w:p>
      <w:pPr>
        <w:spacing w:after="0" w:line="192" w:lineRule="exact"/>
        <w:rPr>
          <w:rFonts w:ascii="Arial" w:cs="Arial" w:eastAsia="Arial" w:hAnsi="Arial"/>
          <w:sz w:val="18"/>
          <w:szCs w:val="18"/>
          <w:color w:val="auto"/>
        </w:rPr>
      </w:pPr>
    </w:p>
    <w:p>
      <w:pPr>
        <w:jc w:val="both"/>
        <w:ind w:firstLine="1305"/>
        <w:spacing w:after="0" w:line="311" w:lineRule="auto"/>
        <w:tabs>
          <w:tab w:leader="none" w:pos="217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Grantee Acknowledgment</w:t>
      </w:r>
      <w:r>
        <w:rPr>
          <w:rFonts w:ascii="Arial" w:cs="Arial" w:eastAsia="Arial" w:hAnsi="Arial"/>
          <w:sz w:val="18"/>
          <w:szCs w:val="18"/>
          <w:color w:val="auto"/>
        </w:rPr>
        <w:t>. The Grantee hereby acknowledges receipt of a copy of the Plan. The Grantee hereby acknowledges that all decisions, determinations and interpretations of the Administrator in respect of the Plan, this Agreement and the Restricted Stock shall be final and conclusive.</w:t>
      </w:r>
    </w:p>
    <w:p>
      <w:pPr>
        <w:spacing w:after="0" w:line="181" w:lineRule="exact"/>
        <w:rPr>
          <w:rFonts w:ascii="Arial" w:cs="Arial" w:eastAsia="Arial" w:hAnsi="Arial"/>
          <w:sz w:val="18"/>
          <w:szCs w:val="18"/>
          <w:color w:val="auto"/>
        </w:rPr>
      </w:pPr>
    </w:p>
    <w:p>
      <w:pPr>
        <w:jc w:val="both"/>
        <w:ind w:firstLine="1305"/>
        <w:spacing w:after="0" w:line="322" w:lineRule="auto"/>
        <w:tabs>
          <w:tab w:leader="none" w:pos="217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or an exemption thereunder and shall be construed and administered in accordance with Section 409A. Notwithstanding any other provision of the Plan or this Agreement, payments provided under this Agreement may only be made upon an event and in a manner that complies with Section 409A or an applicable exemption. Any payments under this Agreement that may be excluded from Section 409A shall be excluded from Section 409A to the maximum extent possible. Notwithstanding the foregoing, the Company makes no representations that the payments and benefits provided under this Agreement comply with Section 409A, and in no event shall the Company or any of its subsidiaries or affiliates be liable for all or any portion of any taxes, penalties, interest or other expenses that may be incurred by the Grantee on account of non-compliance with Section 409A.</w:t>
      </w:r>
    </w:p>
    <w:p>
      <w:pPr>
        <w:spacing w:after="0" w:line="176" w:lineRule="exact"/>
        <w:rPr>
          <w:rFonts w:ascii="Arial" w:cs="Arial" w:eastAsia="Arial" w:hAnsi="Arial"/>
          <w:sz w:val="17"/>
          <w:szCs w:val="17"/>
          <w:color w:val="auto"/>
        </w:rPr>
      </w:pPr>
    </w:p>
    <w:p>
      <w:pPr>
        <w:jc w:val="both"/>
        <w:ind w:firstLine="1305"/>
        <w:spacing w:after="0" w:line="364" w:lineRule="auto"/>
        <w:tabs>
          <w:tab w:leader="none" w:pos="217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by the Grantee shall be given to the Company in writing and such notice shall be deemed duly given only upon receipt thereof by the General Counsel of the Company, or the person acting in such capacity, at the Company’s principal executive offices. Any notice hereunder by the Company shall be given to the Grantee in writing at the most recent address as the Grantee may have on file with the Company.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827" w:right="239" w:bottom="1440" w:gutter="0" w:footer="0" w:header="0"/>
        </w:sectPr>
      </w:pPr>
    </w:p>
    <w:bookmarkStart w:id="120" w:name="page121"/>
    <w:bookmarkEnd w:id="120"/>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IN WITNESS WHEREOF, the Company has caused this Agreement to be duly executed by its duly authorized officer, and the Grantee has hereunto signed this Agreement on his or her own behalf, thereby representing that the Grantee has carefully read and understands this Agreement and the Plan as of the day and year first written above.</w:t>
      </w:r>
    </w:p>
    <w:p>
      <w:pPr>
        <w:spacing w:after="0" w:line="200" w:lineRule="exact"/>
        <w:rPr>
          <w:sz w:val="20"/>
          <w:szCs w:val="20"/>
          <w:color w:val="auto"/>
        </w:rPr>
      </w:pPr>
    </w:p>
    <w:p>
      <w:pPr>
        <w:spacing w:after="0" w:line="35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VICI PROPERTIES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546735</wp:posOffset>
            </wp:positionV>
            <wp:extent cx="37649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of Grantee]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to Restricted Stock Grant Agreement]</w:t>
      </w:r>
    </w:p>
    <w:p>
      <w:pPr>
        <w:sectPr>
          <w:pgSz w:w="11900" w:h="16838" w:orient="portrait"/>
          <w:cols w:equalWidth="0" w:num="1">
            <w:col w:w="11420"/>
          </w:cols>
          <w:pgMar w:left="240" w:top="1440" w:right="23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Subsidiaries of VICI Properties Inc.</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 of Entity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50"/>
        </w:trPr>
        <w:tc>
          <w:tcPr>
            <w:tcW w:w="5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Bally’s Atlantic City LLC</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5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Biloxi Hammond,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Bluegrass Downs Property Owner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Caesars Atlantic City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Cascata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Chariot Run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Claudine Propco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Claudine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CPLV Mezz 1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CPLV Mezz 2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CPLV Mezz 3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CPLV Property Owner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Grand Bear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Grand Biloxi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Harrah’s Bossier City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Louisiana</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Council Bluffs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Harrah’s Joliet LandCo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Lake Tahoe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Harrah’s Metropolis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Harrah’s Reno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Harvey’s Lake Tahoe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Bossier City Prop LLC</w:t>
            </w:r>
          </w:p>
        </w:tc>
        <w:tc>
          <w:tcPr>
            <w:tcW w:w="5360" w:type="dxa"/>
            <w:vAlign w:val="bottom"/>
          </w:tcPr>
          <w:p>
            <w:pPr>
              <w:ind w:left="20"/>
              <w:spacing w:after="0"/>
              <w:rPr>
                <w:sz w:val="20"/>
                <w:szCs w:val="20"/>
                <w:color w:val="auto"/>
              </w:rPr>
            </w:pPr>
            <w:r>
              <w:rPr>
                <w:rFonts w:ascii="Arial" w:cs="Arial" w:eastAsia="Arial" w:hAnsi="Arial"/>
                <w:sz w:val="18"/>
                <w:szCs w:val="18"/>
                <w:color w:val="auto"/>
              </w:rPr>
              <w:t>Louisiana</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Horseshoe Council Bluffs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Horseshoe Southern Indiana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Horseshoe Tunica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Miscellaneous Land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New Harrah’s North Kansas City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New Horseshoe Hammond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New Tunica Roadhouse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Propco Gulfport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Propco TRS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Rio Secco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Vegas Development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Vegas Operating Property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VICI FC Inc.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VICI Golf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VICI Properties 1 LLC</w:t>
            </w:r>
          </w:p>
        </w:tc>
        <w:tc>
          <w:tcPr>
            <w:tcW w:w="24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VICI Properties GP LLC</w:t>
            </w:r>
          </w:p>
        </w:tc>
        <w:tc>
          <w:tcPr>
            <w:tcW w:w="53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VICI Properties L.P.</w:t>
            </w:r>
          </w:p>
        </w:tc>
        <w:tc>
          <w:tcPr>
            <w:tcW w:w="240" w:type="dxa"/>
            <w:vAlign w:val="bottom"/>
            <w:shd w:val="clear" w:color="auto" w:fill="CCEEFF"/>
          </w:tcPr>
          <w:p>
            <w:pPr>
              <w:spacing w:after="0"/>
              <w:rPr>
                <w:sz w:val="19"/>
                <w:szCs w:val="19"/>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Delaware</w:t>
            </w:r>
          </w:p>
        </w:tc>
      </w:tr>
      <w:tr>
        <w:trPr>
          <w:trHeight w:val="41"/>
        </w:trPr>
        <w:tc>
          <w:tcPr>
            <w:tcW w:w="58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360" w:type="dxa"/>
            <w:vAlign w:val="bottom"/>
            <w:shd w:val="clear" w:color="auto" w:fill="CCEEFF"/>
          </w:tcPr>
          <w:p>
            <w:pPr>
              <w:spacing w:after="0"/>
              <w:rPr>
                <w:sz w:val="3"/>
                <w:szCs w:val="3"/>
                <w:color w:val="auto"/>
              </w:rPr>
            </w:pPr>
          </w:p>
        </w:tc>
      </w:tr>
    </w:tbl>
    <w:p>
      <w:pPr>
        <w:sectPr>
          <w:pgSz w:w="11900" w:h="16838" w:orient="portrait"/>
          <w:cols w:equalWidth="0" w:num="1">
            <w:col w:w="11420"/>
          </w:cols>
          <w:pgMar w:left="240" w:top="364" w:right="239" w:bottom="1440" w:gutter="0" w:footer="0" w:header="0"/>
        </w:sectPr>
      </w:pPr>
    </w:p>
    <w:bookmarkStart w:id="122" w:name="page123"/>
    <w:bookmarkEnd w:id="1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Registration Statement No. 333-220949 on Form S-8 of our report dated March 28, 2018 relating to the consolidated financial statements and financial statement schedules of VICI Properties Inc. and its subsidiaries which report expresses an unqualified opinion appearing in this Annual Report on Form 10-K of VICI Properties Inc. for the period from October 6, 2017 to December 31, 2017.</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28, 2018</w:t>
      </w:r>
    </w:p>
    <w:p>
      <w:pPr>
        <w:sectPr>
          <w:pgSz w:w="11900" w:h="16838" w:orient="portrait"/>
          <w:cols w:equalWidth="0" w:num="1">
            <w:col w:w="11420"/>
          </w:cols>
          <w:pgMar w:left="240" w:top="57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We consent to the incorporation by reference in Registration Statement No. 333-220949 on Form S-8 of our report dated March 28, 2018, relating to the combined financial statements of Caesars Entertainment Outdoor which report expresses an unqualified opinion appearing in this Annual Report on Form 10-K of VICI Properties Inc. as of October 5, 2017 and for the period from January 1, 2017 to October 5, 2017.</w:t>
      </w: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28, 2018</w:t>
      </w:r>
    </w:p>
    <w:p>
      <w:pPr>
        <w:sectPr>
          <w:pgSz w:w="11900" w:h="16838" w:orient="portrait"/>
          <w:cols w:equalWidth="0" w:num="1">
            <w:col w:w="11420"/>
          </w:cols>
          <w:pgMar w:left="240" w:top="57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23.3</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 333-220949 on Form S-8 of our report dated May 12, 2017, relating to the combined statement of investments of real estate assets to be contributed to VICI Properties Inc. which report expresses an unqualified opinion appearing in this Annual Report on Form 10-K of VICI Properties Inc. for the year ended December 31,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Las Vegas, Nevada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28, 2018</w:t>
      </w:r>
    </w:p>
    <w:p>
      <w:pPr>
        <w:sectPr>
          <w:pgSz w:w="11900" w:h="16838" w:orient="portrait"/>
          <w:cols w:equalWidth="0" w:num="1">
            <w:col w:w="11420"/>
          </w:cols>
          <w:pgMar w:left="240" w:top="57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2018</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2018</w:t>
      </w:r>
    </w:p>
    <w:p>
      <w:pPr>
        <w:spacing w:after="0" w:line="63" w:lineRule="exact"/>
        <w:rPr>
          <w:sz w:val="20"/>
          <w:szCs w:val="20"/>
          <w:color w:val="auto"/>
        </w:rPr>
      </w:pPr>
    </w:p>
    <w:p>
      <w:pPr>
        <w:ind w:left="47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2017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2018</w:t>
      </w:r>
    </w:p>
    <w:p>
      <w:pPr>
        <w:spacing w:after="0" w:line="63" w:lineRule="exact"/>
        <w:rPr>
          <w:sz w:val="20"/>
          <w:szCs w:val="20"/>
          <w:color w:val="auto"/>
        </w:rPr>
      </w:pPr>
    </w:p>
    <w:p>
      <w:pPr>
        <w:ind w:left="472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2017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28, 2018</w:t>
      </w:r>
    </w:p>
    <w:p>
      <w:pPr>
        <w:spacing w:after="0" w:line="63" w:lineRule="exact"/>
        <w:rPr>
          <w:sz w:val="20"/>
          <w:szCs w:val="20"/>
          <w:color w:val="auto"/>
        </w:rPr>
      </w:pPr>
    </w:p>
    <w:p>
      <w:pPr>
        <w:ind w:left="472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Letter"/>
      <w:start w:val="3"/>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lowerRoman"/>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lowerRoman"/>
      <w:start w:val="2"/>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decimal"/>
      <w:start w:val="3"/>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7"/>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2"/>
    </w:lvl>
  </w:abstractNum>
  <w:abstractNum w:abstractNumId="36">
    <w:nsid w:val="153EA438"/>
    <w:multiLevelType w:val="hybridMultilevel"/>
    <w:lvl w:ilvl="0">
      <w:lvlJc w:val="left"/>
      <w:lvlText w:val="%1."/>
      <w:numFmt w:val="decimal"/>
      <w:start w:val="8"/>
    </w:lvl>
    <w:lvl w:ilvl="1">
      <w:lvlJc w:val="left"/>
      <w:lvlText w:val="%2"/>
      <w:numFmt w:val="lowerLetter"/>
      <w:start w:val="1"/>
    </w:lvl>
  </w:abstractNum>
  <w:abstractNum w:abstractNumId="37">
    <w:nsid w:val="3855585C"/>
    <w:multiLevelType w:val="hybridMultilevel"/>
    <w:lvl w:ilvl="0">
      <w:lvlJc w:val="left"/>
      <w:lvlText w:val="%1."/>
      <w:numFmt w:val="decimal"/>
      <w:start w:val="9"/>
    </w:lvl>
    <w:lvl w:ilvl="1">
      <w:lvlJc w:val="left"/>
      <w:lvlText w:val="(%2)"/>
      <w:numFmt w:val="lowerLetter"/>
      <w:start w:val="1"/>
    </w:lvl>
  </w:abstractNum>
  <w:abstractNum w:abstractNumId="38">
    <w:nsid w:val="70A64E2A"/>
    <w:multiLevelType w:val="hybridMultilevel"/>
    <w:lvl w:ilvl="0">
      <w:lvlJc w:val="left"/>
      <w:lvlText w:val="%1"/>
      <w:numFmt w:val="decimal"/>
      <w:start w:val="1"/>
    </w:lvl>
    <w:lvl w:ilvl="1">
      <w:lvlJc w:val="left"/>
      <w:lvlText w:val="%2."/>
      <w:numFmt w:val="decimal"/>
      <w:start w:val="1"/>
    </w:lvl>
  </w:abstractNum>
  <w:abstractNum w:abstractNumId="39">
    <w:nsid w:val="6A2342EC"/>
    <w:multiLevelType w:val="hybridMultilevel"/>
    <w:lvl w:ilvl="0">
      <w:lvlJc w:val="left"/>
      <w:lvlText w:val="%1."/>
      <w:numFmt w:val="decimal"/>
      <w:start w:val="12"/>
    </w:lvl>
    <w:lvl w:ilvl="1">
      <w:lvlJc w:val="left"/>
      <w:lvlText w:val="%2"/>
      <w:numFmt w:val="decimal"/>
      <w:start w:val="1"/>
    </w:lvl>
  </w:abstractNum>
  <w:abstractNum w:abstractNumId="40">
    <w:nsid w:val="2A487CB0"/>
    <w:multiLevelType w:val="hybridMultilevel"/>
    <w:lvl w:ilvl="0">
      <w:lvlJc w:val="left"/>
      <w:lvlText w:val="%1."/>
      <w:numFmt w:val="decimal"/>
      <w:start w:val="16"/>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Roman"/>
      <w:start w:val="1"/>
    </w:lvl>
  </w:abstractNum>
  <w:abstractNum w:abstractNumId="44">
    <w:nsid w:val="57E4CCA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78" Type="http://schemas.openxmlformats.org/officeDocument/2006/relationships/image" Target="media/image25.png"/><Relationship Id="rId79" Type="http://schemas.openxmlformats.org/officeDocument/2006/relationships/image" Target="media/image26.png"/><Relationship Id="rId80" Type="http://schemas.openxmlformats.org/officeDocument/2006/relationships/image" Target="media/image27.png"/><Relationship Id="rId81" Type="http://schemas.openxmlformats.org/officeDocument/2006/relationships/image" Target="media/image28.png"/><Relationship Id="rId82" Type="http://schemas.openxmlformats.org/officeDocument/2006/relationships/image" Target="media/image29.png"/><Relationship Id="rId83" Type="http://schemas.openxmlformats.org/officeDocument/2006/relationships/image" Target="media/image30.png"/><Relationship Id="rId84" Type="http://schemas.openxmlformats.org/officeDocument/2006/relationships/image" Target="media/image31.png"/><Relationship Id="rId32" Type="http://schemas.openxmlformats.org/officeDocument/2006/relationships/hyperlink" Target="http://www.sec.gov/Archives/edgar/data/1678179/000119312517255745/d428782dex99t3e2.htm" TargetMode="External"/><Relationship Id="rId33" Type="http://schemas.openxmlformats.org/officeDocument/2006/relationships/hyperlink" Target="http://www.sec.gov/Archives/edgar/data/1705696/000119312517307477/d470550dex21.htm" TargetMode="External"/><Relationship Id="rId34" Type="http://schemas.openxmlformats.org/officeDocument/2006/relationships/hyperlink" Target="http://www.sec.gov/Archives/edgar/data/1705696/000119312517307477/d470550dex31.htm" TargetMode="External"/><Relationship Id="rId35" Type="http://schemas.openxmlformats.org/officeDocument/2006/relationships/hyperlink" Target="http://www.sec.gov/Archives/edgar/data/1705696/000119312517307477/d470550dex32.htm" TargetMode="External"/><Relationship Id="rId36" Type="http://schemas.openxmlformats.org/officeDocument/2006/relationships/hyperlink" Target="http://www.sec.gov/Archives/edgar/data/1705696/000119312517307477/d470550dex41.htm" TargetMode="External"/><Relationship Id="rId37" Type="http://schemas.openxmlformats.org/officeDocument/2006/relationships/hyperlink" Target="http://www.sec.gov/Archives/edgar/data/1705696/000119312517307477/d470550dex42.htm" TargetMode="External"/><Relationship Id="rId38" Type="http://schemas.openxmlformats.org/officeDocument/2006/relationships/hyperlink" Target="http://www.sec.gov/Archives/edgar/data/1705696/000119312517307477/d470550dex43.htm" TargetMode="External"/><Relationship Id="rId39" Type="http://schemas.openxmlformats.org/officeDocument/2006/relationships/hyperlink" Target="http://www.sec.gov/Archives/edgar/data/1705696/000119312518011685/d496153dex45.htm" TargetMode="External"/><Relationship Id="rId40" Type="http://schemas.openxmlformats.org/officeDocument/2006/relationships/hyperlink" Target="http://www.sec.gov/Archives/edgar/data/1705696/000119312517307477/d470550dex101.htm" TargetMode="External"/><Relationship Id="rId41" Type="http://schemas.openxmlformats.org/officeDocument/2006/relationships/hyperlink" Target="http://www.sec.gov/Archives/edgar/data/1705696/000119312517307477/d470550dex102.htm" TargetMode="External"/><Relationship Id="rId42" Type="http://schemas.openxmlformats.org/officeDocument/2006/relationships/hyperlink" Target="http://www.sec.gov/Archives/edgar/data/1705696/000119312517307477/d470550dex103.htm" TargetMode="External"/><Relationship Id="rId43" Type="http://schemas.openxmlformats.org/officeDocument/2006/relationships/hyperlink" Target="http://www.sec.gov/Archives/edgar/data/1705696/000119312517307477/d470550dex104.htm" TargetMode="External"/><Relationship Id="rId44" Type="http://schemas.openxmlformats.org/officeDocument/2006/relationships/hyperlink" Target="http://www.sec.gov/Archives/edgar/data/1705696/000119312517307477/d470550dex105.htm" TargetMode="External"/><Relationship Id="rId45" Type="http://schemas.openxmlformats.org/officeDocument/2006/relationships/hyperlink" Target="http://www.sec.gov/Archives/edgar/data/1705696/000119312517307477/d470550dex106.htm" TargetMode="External"/><Relationship Id="rId46" Type="http://schemas.openxmlformats.org/officeDocument/2006/relationships/hyperlink" Target="http://www.sec.gov/Archives/edgar/data/1705696/000119312517307477/d470550dex107.htm" TargetMode="External"/><Relationship Id="rId47" Type="http://schemas.openxmlformats.org/officeDocument/2006/relationships/hyperlink" Target="http://www.sec.gov/Archives/edgar/data/1705696/000119312517307477/d470550dex109.htm" TargetMode="External"/><Relationship Id="rId48" Type="http://schemas.openxmlformats.org/officeDocument/2006/relationships/hyperlink" Target="http://www.sec.gov/Archives/edgar/data/1705696/000119312517307477/d470550dex1010.htm" TargetMode="External"/><Relationship Id="rId49" Type="http://schemas.openxmlformats.org/officeDocument/2006/relationships/hyperlink" Target="http://www.sec.gov/Archives/edgar/data/1705696/000119312517307477/d470550dex1011.htm" TargetMode="External"/><Relationship Id="rId50" Type="http://schemas.openxmlformats.org/officeDocument/2006/relationships/hyperlink" Target="http://www.sec.gov/Archives/edgar/data/1705696/000119312517307477/d470550dex1012.htm" TargetMode="External"/><Relationship Id="rId51" Type="http://schemas.openxmlformats.org/officeDocument/2006/relationships/hyperlink" Target="http://www.sec.gov/Archives/edgar/data/1705696/000119312517307477/d470550dex1013.htm" TargetMode="External"/><Relationship Id="rId52" Type="http://schemas.openxmlformats.org/officeDocument/2006/relationships/hyperlink" Target="http://www.sec.gov/Archives/edgar/data/1705696/000119312517307477/d470550dex1014.htm" TargetMode="External"/><Relationship Id="rId53" Type="http://schemas.openxmlformats.org/officeDocument/2006/relationships/hyperlink" Target="http://www.sec.gov/Archives/edgar/data/1705696/000119312517307477/d470550dex1015.htm" TargetMode="External"/><Relationship Id="rId54" Type="http://schemas.openxmlformats.org/officeDocument/2006/relationships/hyperlink" Target="http://www.sec.gov/Archives/edgar/data/1705696/000119312517307477/d470550dex1016.htm" TargetMode="External"/><Relationship Id="rId55" Type="http://schemas.openxmlformats.org/officeDocument/2006/relationships/hyperlink" Target="http://www.sec.gov/Archives/edgar/data/1705696/000119312517307477/d470550dex1017.htm" TargetMode="External"/><Relationship Id="rId56" Type="http://schemas.openxmlformats.org/officeDocument/2006/relationships/hyperlink" Target="http://www.sec.gov/Archives/edgar/data/1705696/000119312517307477/d470550dex1018.htm" TargetMode="External"/><Relationship Id="rId57" Type="http://schemas.openxmlformats.org/officeDocument/2006/relationships/hyperlink" Target="http://www.sec.gov/Archives/edgar/data/1705696/000119312517307477/d470550dex1019.htm" TargetMode="External"/><Relationship Id="rId58" Type="http://schemas.openxmlformats.org/officeDocument/2006/relationships/hyperlink" Target="http://www.sec.gov/Archives/edgar/data/1705696/000119312517307477/d470550dex1020.htm" TargetMode="External"/><Relationship Id="rId59" Type="http://schemas.openxmlformats.org/officeDocument/2006/relationships/hyperlink" Target="http://www.sec.gov/Archives/edgar/data/1705696/000119312517307477/d470550dex1021.htm" TargetMode="External"/><Relationship Id="rId60" Type="http://schemas.openxmlformats.org/officeDocument/2006/relationships/hyperlink" Target="http://www.sec.gov/Archives/edgar/data/1705696/000119312517307477/d470550dex1022.htm" TargetMode="External"/><Relationship Id="rId61" Type="http://schemas.openxmlformats.org/officeDocument/2006/relationships/hyperlink" Target="http://www.sec.gov/Archives/edgar/data/1705696/000119312517307477/d470550dex1023.htm" TargetMode="External"/><Relationship Id="rId62" Type="http://schemas.openxmlformats.org/officeDocument/2006/relationships/hyperlink" Target="http://www.sec.gov/Archives/edgar/data/1705696/000119312517297902/d392523dex1020.htm" TargetMode="External"/><Relationship Id="rId63" Type="http://schemas.openxmlformats.org/officeDocument/2006/relationships/hyperlink" Target="http://www.sec.gov/Archives/edgar/data/1705696/000119312517307477/d470550dex1025.htm" TargetMode="External"/><Relationship Id="rId64" Type="http://schemas.openxmlformats.org/officeDocument/2006/relationships/hyperlink" Target="http://www.sec.gov/Archives/edgar/data/1705696/000119312517307477/d470550dex1026.htm" TargetMode="External"/><Relationship Id="rId65" Type="http://schemas.openxmlformats.org/officeDocument/2006/relationships/hyperlink" Target="http://www.sec.gov/Archives/edgar/data/1705696/000119312517307477/d470550dex1027.htm" TargetMode="External"/><Relationship Id="rId66" Type="http://schemas.openxmlformats.org/officeDocument/2006/relationships/hyperlink" Target="http://www.sec.gov/Archives/edgar/data/1705696/000119312517307477/d470550dex1028.htm" TargetMode="External"/><Relationship Id="rId67" Type="http://schemas.openxmlformats.org/officeDocument/2006/relationships/hyperlink" Target="http://www.sec.gov/Archives/edgar/data/1705696/000170569617000026/exhibit101hlvpurch112917.htm" TargetMode="External"/><Relationship Id="rId68" Type="http://schemas.openxmlformats.org/officeDocument/2006/relationships/hyperlink" Target="http://www.sec.gov/Archives/edgar/data/1705696/000170569617000026/exhibit102landsale112917.htm" TargetMode="External"/><Relationship Id="rId69" Type="http://schemas.openxmlformats.org/officeDocument/2006/relationships/hyperlink" Target="http://www.sec.gov/Archives/edgar/data/1705696/000170569617000026/ex103guaranty112917.htm" TargetMode="External"/><Relationship Id="rId70" Type="http://schemas.openxmlformats.org/officeDocument/2006/relationships/hyperlink" Target="http://www.sec.gov/Archives/edgar/data/1705696/000170569617000026/exh104stocksale112917.htm" TargetMode="External"/><Relationship Id="rId71" Type="http://schemas.openxmlformats.org/officeDocument/2006/relationships/hyperlink" Target="http://www.sec.gov/Archives/edgar/data/1705696/000119312517378498/d476186dex101.htm" TargetMode="External"/><Relationship Id="rId72" Type="http://schemas.openxmlformats.org/officeDocument/2006/relationships/hyperlink" Target="http://www.sec.gov/Archives/edgar/data/1705696/000119312517378498/d476186dex102.htm" TargetMode="External"/><Relationship Id="rId73" Type="http://schemas.openxmlformats.org/officeDocument/2006/relationships/hyperlink" Target="http://www.sec.gov/Archives/edgar/data/1705696/000119312518011685/d496153dex1032.htm" TargetMode="External"/><Relationship Id="rId74" Type="http://schemas.openxmlformats.org/officeDocument/2006/relationships/hyperlink" Target="http://www.sec.gov/Archives/edgar/data/1705696/000119312518011685/d496153dex1033.htm" TargetMode="External"/><Relationship Id="rId75" Type="http://schemas.openxmlformats.org/officeDocument/2006/relationships/hyperlink" Target="http://www.sec.gov/Archives/edgar/data/1705696/000119312518011685/d496153dex1036.htm" TargetMode="External"/><Relationship Id="rId76" Type="http://schemas.openxmlformats.org/officeDocument/2006/relationships/hyperlink" Target="http://www.sec.gov/Archives/edgar/data/1705696/000119312518011685/d496153dex1037.htm" TargetMode="External"/><Relationship Id="rId77" Type="http://schemas.openxmlformats.org/officeDocument/2006/relationships/hyperlink" Target="http://www.sec.gov/Archives/edgar/data/1705696/000119312518011685/d496153dex103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2020-01-14T21:52:45Z</dcterms:created>
  <dcterms:modified xsi:type="dcterms:W3CDTF">2020-01-14T21:52:45Z</dcterms:modified>
</cp:coreProperties>
</file>